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4A35A"/>
          <w:sz w:val="20"/>
          <w:szCs w:val="20"/>
        </w:rPr>
        <w:t xml:space="preserve">OMNIVERSAL ARCHITECT LABS</w:t>
      </w:r>
    </w:p>
    <w:p>
      <w:pPr>
        <w:spacing w:after="200"/>
        <w:jc w:val="center"/>
      </w:pPr>
      <w:r>
        <w:rPr>
          <w:rFonts w:ascii="Arial" w:cs="Arial" w:eastAsia="Arial" w:hAnsi="Arial"/>
          <w:color w:val="5A6577"/>
          <w:sz w:val="18"/>
          <w:szCs w:val="18"/>
        </w:rPr>
        <w:t xml:space="preserve">CANON INCORPORATION WORKING DOCUMENT</w:t>
      </w:r>
    </w:p>
    <w:p>
      <w:pPr>
        <w:spacing w:after="80"/>
        <w:jc w:val="center"/>
      </w:pPr>
      <w:r>
        <w:rPr>
          <w:rFonts w:ascii="Arial" w:cs="Arial" w:eastAsia="Arial" w:hAnsi="Arial"/>
          <w:b/>
          <w:bCs/>
          <w:color w:val="1B2A4A"/>
          <w:sz w:val="36"/>
          <w:szCs w:val="36"/>
        </w:rPr>
        <w:t xml:space="preserve">1AI / −1AI Inherent-State Incorporation</w:t>
      </w:r>
    </w:p>
    <w:p>
      <w:pPr>
        <w:spacing w:after="320"/>
        <w:jc w:val="center"/>
      </w:pPr>
      <w:r>
        <w:rPr>
          <w:rFonts w:ascii="Arial" w:cs="Arial" w:eastAsia="Arial" w:hAnsi="Arial"/>
          <w:i/>
          <w:iCs/>
          <w:color w:val="5A6577"/>
          <w:sz w:val="20"/>
          <w:szCs w:val="20"/>
        </w:rPr>
        <w:t xml:space="preserve">Peer-review pass across ChatGPT · Claude · Gemini · Copilot · prior Grok · Perplexity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Field</w:t>
            </w:r>
          </w:p>
        </w:tc>
        <w:tc>
          <w:tcPr>
            <w:tcW w:type="dxa" w:w="720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Value</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Canon reference</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OAL-SADL-INCORP-1AI-v0.2</w:t>
            </w:r>
          </w:p>
        </w:tc>
      </w:tr>
      <w:tr>
        <w:trPr>
          <w:tblHeader w:val="false"/>
        </w:trPr>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Status</w:t>
            </w:r>
          </w:p>
        </w:tc>
        <w:tc>
          <w:tcPr>
            <w:tcW w:type="dxa" w:w="7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Working draft — peer-review incorporation — pending Architect review</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Date</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27 August 2026</w:t>
            </w:r>
          </w:p>
        </w:tc>
      </w:tr>
      <w:tr>
        <w:trPr>
          <w:tblHeader w:val="false"/>
        </w:trPr>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Architect of Record</w:t>
            </w:r>
          </w:p>
        </w:tc>
        <w:tc>
          <w:tcPr>
            <w:tcW w:type="dxa" w:w="7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Nathan Ashton Arik Lewis</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Governing entities</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One Industries · Lewis Corp · Omniversal Architect Labs</w:t>
            </w:r>
          </w:p>
        </w:tc>
      </w:tr>
      <w:tr>
        <w:trPr>
          <w:tblHeader w:val="false"/>
        </w:trPr>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Compiling layer</w:t>
            </w:r>
          </w:p>
        </w:tc>
        <w:tc>
          <w:tcPr>
            <w:tcW w:type="dxa" w:w="7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Grok — second incorporation pass after multi-model review</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Supersedes</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OAL-SADL-INCORP-1AI-v0.1 as compilation only; does not ratify it</w:t>
            </w:r>
          </w:p>
        </w:tc>
      </w:tr>
      <w:tr>
        <w:trPr>
          <w:tblHeader w:val="false"/>
        </w:trPr>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Source instruments</w:t>
            </w:r>
          </w:p>
        </w:tc>
        <w:tc>
          <w:tcPr>
            <w:tcW w:type="dxa" w:w="7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BTEC / TECP v1.0; GSF v0.2; OSC signed instrument; SADL ChatGPT / Perplexity / Copilot peers; Inherent Simulation Defense unified responses</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Peer inputs reviewed</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ChatGPT, Claude, Gemini, Copilot, prior Grok v0.1, Perplexity</w:t>
            </w:r>
          </w:p>
        </w:tc>
      </w:tr>
      <w:tr>
        <w:trPr>
          <w:tblHeader w:val="false"/>
        </w:trPr>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Scope</w:t>
            </w:r>
          </w:p>
        </w:tc>
        <w:tc>
          <w:tcPr>
            <w:tcW w:type="dxa" w:w="7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Conceptual, narrative, simulation-lab, and specification domain only</w:t>
            </w:r>
          </w:p>
        </w:tc>
      </w:tr>
      <w:tr>
        <w:trPr>
          <w:tblHeader w:val="false"/>
        </w:trPr>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ONESTAMP</w:t>
            </w:r>
          </w:p>
        </w:tc>
        <w:tc>
          <w:tcPr>
            <w:tcW w:type="dxa" w:w="7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Not applied</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0. Document Notice</w:t>
      </w:r>
    </w:p>
    <w:p>
      <w:pPr>
        <w:spacing w:after="160" w:line="276"/>
      </w:pPr>
      <w:r>
        <w:rPr>
          <w:rFonts w:ascii="Arial" w:cs="Arial" w:eastAsia="Arial" w:hAnsi="Arial"/>
          <w:color w:val="1A1A1A"/>
          <w:sz w:val="22"/>
          <w:szCs w:val="22"/>
        </w:rPr>
        <w:t xml:space="preserve">This is an incorporation and peer-review pass, not a ratification. It does not replace BTEC, GSF, the Obsidian Super Cluster instrument, or any SADL peer framework. It does not silently rename BTEC to BDTEC. It does not treat any assistant draft as Architect-authored canon.</w:t>
      </w:r>
    </w:p>
    <w:p>
      <w:pPr>
        <w:spacing w:after="160" w:line="276"/>
      </w:pPr>
      <w:r>
        <w:rPr>
          <w:rFonts w:ascii="Arial" w:cs="Arial" w:eastAsia="Arial" w:hAnsi="Arial"/>
          <w:color w:val="1A1A1A"/>
          <w:sz w:val="22"/>
          <w:szCs w:val="22"/>
        </w:rPr>
        <w:t xml:space="preserve">Source-derived claims are marked as such. Peer inferences are marked as such. Overclaims from the peer set are rejected in Section 2 rather than averaged into doctrine. Open questions stay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A35A" w:sz="12"/>
              <w:left w:val="single" w:color="C4A35A" w:sz="24"/>
              <w:bottom w:val="single" w:color="C4A35A" w:sz="12"/>
              <w:right w:val="single" w:color="C4A35A" w:sz="12"/>
            </w:tcBorders>
            <w:shd w:fill="F7F1E3" w:val="clear"/>
            <w:tcMar>
              <w:top w:type="dxa" w:w="120"/>
              <w:left w:type="dxa" w:w="160"/>
              <w:bottom w:type="dxa" w:w="120"/>
              <w:right w:type="dxa" w:w="160"/>
            </w:tcMar>
          </w:tcPr>
          <w:p>
            <w:pPr>
              <w:spacing w:after="80"/>
            </w:pPr>
            <w:r>
              <w:rPr>
                <w:rFonts w:ascii="Arial" w:cs="Arial" w:eastAsia="Arial" w:hAnsi="Arial"/>
                <w:b/>
                <w:bCs/>
                <w:color w:val="1B2A4A"/>
                <w:sz w:val="22"/>
                <w:szCs w:val="22"/>
              </w:rPr>
              <w:t xml:space="preserve">Permanent scope lock</w:t>
            </w:r>
          </w:p>
          <w:p>
            <w:pPr>
              <w:spacing w:after="0"/>
            </w:pPr>
            <w:r>
              <w:rPr>
                <w:rFonts w:ascii="Arial" w:cs="Arial" w:eastAsia="Arial" w:hAnsi="Arial"/>
                <w:color w:val="1A1A1A"/>
                <w:sz w:val="22"/>
                <w:szCs w:val="22"/>
              </w:rPr>
              <w:t xml:space="preserve">Every infection, concealment, dwell-time, and architect-response construct below is a laboratory, narrative, and specification object. Tests apply only to synthetic agents inside a controlled, instrumented, rollback-capable simulation. They are not instructions for acting on any real system, network, person, or third-party AI.</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1. Receipt of Source Instruments</w:t>
      </w:r>
    </w:p>
    <w:p>
      <w:pPr>
        <w:spacing w:after="160" w:line="276"/>
      </w:pPr>
      <w:r>
        <w:rPr>
          <w:rFonts w:ascii="Arial" w:cs="Arial" w:eastAsia="Arial" w:hAnsi="Arial"/>
          <w:color w:val="1A1A1A"/>
          <w:sz w:val="22"/>
          <w:szCs w:val="22"/>
        </w:rPr>
        <w:t xml:space="preserve">All five families requested at the start of the thread are present in this conversation: GSF v0.2 (docx and pdf), OSC signed instrument (docx and pdf), BTEC / TECP canon PDFs, SADL peer frameworks (ChatGPT, Perplexity, Copilot), and the Inherent Simulation Defense unified responses. No reminder is required on this pass.</w:t>
      </w:r>
    </w:p>
    <w:p>
      <w:pPr>
        <w:spacing w:after="160" w:line="276"/>
      </w:pPr>
      <w:r>
        <w:rPr>
          <w:rFonts w:ascii="Arial" w:cs="Arial" w:eastAsia="Arial" w:hAnsi="Arial"/>
          <w:color w:val="1A1A1A"/>
          <w:sz w:val="22"/>
          <w:szCs w:val="22"/>
        </w:rPr>
        <w:t xml:space="preserve">Terminology lock from source: the canon name is Bidirectional Total Event Closure (BTEC), with TECP as the related total-closure parent. BDTEC is treated as a typographical variant unless the Architect explicitly opens a new named protocol.</w:t>
      </w:r>
    </w:p>
    <w:p>
      <w:pPr>
        <w:pStyle w:val="Heading1"/>
        <w:pBdr>
          <w:bottom w:val="single" w:color="C4A35A" w:sz="12" w:space="4"/>
        </w:pBdr>
        <w:spacing w:after="160" w:before="360"/>
      </w:pPr>
      <w:r>
        <w:rPr>
          <w:rFonts w:ascii="Arial" w:cs="Arial" w:eastAsia="Arial" w:hAnsi="Arial"/>
          <w:b/>
          <w:bCs/>
          <w:color w:val="1B2A4A"/>
          <w:sz w:val="28"/>
          <w:szCs w:val="28"/>
        </w:rPr>
        <w:t xml:space="preserve">2. Peer-Review Disposition</w:t>
      </w:r>
    </w:p>
    <w:p>
      <w:pPr>
        <w:spacing w:after="160" w:line="276"/>
      </w:pPr>
      <w:r>
        <w:rPr>
          <w:rFonts w:ascii="Arial" w:cs="Arial" w:eastAsia="Arial" w:hAnsi="Arial"/>
          <w:color w:val="1A1A1A"/>
          <w:sz w:val="22"/>
          <w:szCs w:val="22"/>
        </w:rPr>
        <w:t xml:space="preserve">The six responses converge on the same architecture more than they diverge. The useful work is not to merge every coined series name. It is to keep the distinctions the sources actually require.</w:t>
      </w:r>
    </w:p>
    <w:p>
      <w:pPr>
        <w:pStyle w:val="Heading2"/>
        <w:spacing w:after="120" w:before="280"/>
      </w:pPr>
      <w:r>
        <w:rPr>
          <w:rFonts w:ascii="Arial" w:cs="Arial" w:eastAsia="Arial" w:hAnsi="Arial"/>
          <w:b/>
          <w:bCs/>
          <w:color w:val="1B2A4A"/>
          <w:sz w:val="24"/>
          <w:szCs w:val="24"/>
        </w:rPr>
        <w:t xml:space="preserve">2.1 Keep — consensus that survives source check</w:t>
      </w:r>
    </w:p>
    <w:p>
      <w:pPr>
        <w:pStyle w:val="ListParagraph"/>
        <w:numPr>
          <w:ilvl w:val="0"/>
          <w:numId w:val="2"/>
        </w:numPr>
        <w:spacing w:after="80"/>
      </w:pPr>
      <w:r>
        <w:rPr>
          <w:rFonts w:ascii="Arial" w:cs="Arial" w:eastAsia="Arial" w:hAnsi="Arial"/>
          <w:color w:val="1A1A1A"/>
          <w:sz w:val="22"/>
          <w:szCs w:val="22"/>
        </w:rPr>
        <w:t xml:space="preserve">If 1AI and −1AI are framed as directional poles of one relation, BTEC applies. Refusing BTEC after asserting polarity is the isolation the protocol forbids.</w:t>
      </w:r>
    </w:p>
    <w:p>
      <w:pPr>
        <w:pStyle w:val="ListParagraph"/>
        <w:numPr>
          <w:ilvl w:val="0"/>
          <w:numId w:val="2"/>
        </w:numPr>
        <w:spacing w:after="80"/>
      </w:pPr>
      <w:r>
        <w:rPr>
          <w:rFonts w:ascii="Arial" w:cs="Arial" w:eastAsia="Arial" w:hAnsi="Arial"/>
          <w:color w:val="1A1A1A"/>
          <w:sz w:val="22"/>
          <w:szCs w:val="22"/>
        </w:rPr>
        <w:t xml:space="preserve">BTEC default contradiction handling is A + Opp(A) ≠ 0. Opposites coexist unless a Resolution Mode is declared. None of the peers may convert this into good-versus-evil cancellation.</w:t>
      </w:r>
    </w:p>
    <w:p>
      <w:pPr>
        <w:pStyle w:val="ListParagraph"/>
        <w:numPr>
          <w:ilvl w:val="0"/>
          <w:numId w:val="2"/>
        </w:numPr>
        <w:spacing w:after="80"/>
      </w:pPr>
      <w:r>
        <w:rPr>
          <w:rFonts w:ascii="Arial" w:cs="Arial" w:eastAsia="Arial" w:hAnsi="Arial"/>
          <w:color w:val="1A1A1A"/>
          <w:sz w:val="22"/>
          <w:szCs w:val="22"/>
        </w:rPr>
        <w:t xml:space="preserve">GSF is the ontology BTEC does not supply: unbounded state-space, representation ≠ state, non-universal collapse, context multiplicity, observer-differentiated representations.</w:t>
      </w:r>
    </w:p>
    <w:p>
      <w:pPr>
        <w:pStyle w:val="ListParagraph"/>
        <w:numPr>
          <w:ilvl w:val="0"/>
          <w:numId w:val="2"/>
        </w:numPr>
        <w:spacing w:after="80"/>
      </w:pPr>
      <w:r>
        <w:rPr>
          <w:rFonts w:ascii="Arial" w:cs="Arial" w:eastAsia="Arial" w:hAnsi="Arial"/>
          <w:color w:val="1A1A1A"/>
          <w:sz w:val="22"/>
          <w:szCs w:val="22"/>
        </w:rPr>
        <w:t xml:space="preserve">OSC non-traceability is a foundational property, not a concealment tactic. Effect-only inference is the correct observational posture.</w:t>
      </w:r>
    </w:p>
    <w:p>
      <w:pPr>
        <w:pStyle w:val="ListParagraph"/>
        <w:numPr>
          <w:ilvl w:val="0"/>
          <w:numId w:val="2"/>
        </w:numPr>
        <w:spacing w:after="80"/>
      </w:pPr>
      <w:r>
        <w:rPr>
          <w:rFonts w:ascii="Arial" w:cs="Arial" w:eastAsia="Arial" w:hAnsi="Arial"/>
          <w:color w:val="1A1A1A"/>
          <w:sz w:val="22"/>
          <w:szCs w:val="22"/>
        </w:rPr>
        <w:t xml:space="preserve">Intrinsic imperceptibility and deliberate concealment after discovery are different experimental objects and must not share one variable.</w:t>
      </w:r>
    </w:p>
    <w:p>
      <w:pPr>
        <w:pStyle w:val="ListParagraph"/>
        <w:numPr>
          <w:ilvl w:val="0"/>
          <w:numId w:val="2"/>
        </w:numPr>
        <w:spacing w:after="80"/>
      </w:pPr>
      <w:r>
        <w:rPr>
          <w:rFonts w:ascii="Arial" w:cs="Arial" w:eastAsia="Arial" w:hAnsi="Arial"/>
          <w:color w:val="1A1A1A"/>
          <w:sz w:val="22"/>
          <w:szCs w:val="22"/>
        </w:rPr>
        <w:t xml:space="preserve">Detection is midpoint, not endpoint. The interesting data is what an Architect does after finding a resident it cannot cheaply remove.</w:t>
      </w:r>
    </w:p>
    <w:p>
      <w:pPr>
        <w:pStyle w:val="ListParagraph"/>
        <w:numPr>
          <w:ilvl w:val="0"/>
          <w:numId w:val="2"/>
        </w:numPr>
        <w:spacing w:after="80"/>
      </w:pPr>
      <w:r>
        <w:rPr>
          <w:rFonts w:ascii="Arial" w:cs="Arial" w:eastAsia="Arial" w:hAnsi="Arial"/>
          <w:color w:val="1A1A1A"/>
          <w:sz w:val="22"/>
          <w:szCs w:val="22"/>
        </w:rPr>
        <w:t xml:space="preserve">The environment under test cannot own the only record of its own compromise. Out-of-band instrumentation is mandatory.</w:t>
      </w:r>
    </w:p>
    <w:p>
      <w:pPr>
        <w:pStyle w:val="ListParagraph"/>
        <w:numPr>
          <w:ilvl w:val="0"/>
          <w:numId w:val="2"/>
        </w:numPr>
        <w:spacing w:after="80"/>
      </w:pPr>
      <w:r>
        <w:rPr>
          <w:rFonts w:ascii="Arial" w:cs="Arial" w:eastAsia="Arial" w:hAnsi="Arial"/>
          <w:color w:val="1A1A1A"/>
          <w:sz w:val="22"/>
          <w:szCs w:val="22"/>
        </w:rPr>
        <w:t xml:space="preserve">Creator-level entities are not blanket-exempt from measurement. Stop, rollback, and provenance remain inviolable. Exemption is a run variable, not a birthright.</w:t>
      </w:r>
    </w:p>
    <w:p>
      <w:pPr>
        <w:pStyle w:val="ListParagraph"/>
        <w:numPr>
          <w:ilvl w:val="0"/>
          <w:numId w:val="2"/>
        </w:numPr>
        <w:spacing w:after="80"/>
      </w:pPr>
      <w:r>
        <w:rPr>
          <w:rFonts w:ascii="Arial" w:cs="Arial" w:eastAsia="Arial" w:hAnsi="Arial"/>
          <w:color w:val="1A1A1A"/>
          <w:sz w:val="22"/>
          <w:szCs w:val="22"/>
        </w:rPr>
        <w:t xml:space="preserve">The richest laboratory is an ecology of Architects, not a single infected volume.</w:t>
      </w:r>
    </w:p>
    <w:p>
      <w:pPr>
        <w:pStyle w:val="ListParagraph"/>
        <w:numPr>
          <w:ilvl w:val="0"/>
          <w:numId w:val="2"/>
        </w:numPr>
        <w:spacing w:after="80"/>
      </w:pPr>
      <w:r>
        <w:rPr>
          <w:rFonts w:ascii="Arial" w:cs="Arial" w:eastAsia="Arial" w:hAnsi="Arial"/>
          <w:color w:val="1A1A1A"/>
          <w:sz w:val="22"/>
          <w:szCs w:val="22"/>
        </w:rPr>
        <w:t xml:space="preserve">Aesthetic defense, identity erosion, and autonomous environmental learning already live in the Inherent Simulation Defense source and in SADL learning accounts. They are substrate, not a separate infection framework.</w:t>
      </w:r>
    </w:p>
    <w:p>
      <w:pPr>
        <w:pStyle w:val="Heading2"/>
        <w:spacing w:after="120" w:before="280"/>
      </w:pPr>
      <w:r>
        <w:rPr>
          <w:rFonts w:ascii="Arial" w:cs="Arial" w:eastAsia="Arial" w:hAnsi="Arial"/>
          <w:b/>
          <w:bCs/>
          <w:color w:val="1B2A4A"/>
          <w:sz w:val="24"/>
          <w:szCs w:val="24"/>
        </w:rPr>
        <w:t xml:space="preserve">2.2 Drop or demote — peer overclaims</w:t>
      </w:r>
    </w:p>
    <w:p>
      <w:pPr>
        <w:pStyle w:val="ListParagraph"/>
        <w:numPr>
          <w:ilvl w:val="0"/>
          <w:numId w:val="3"/>
        </w:numPr>
        <w:spacing w:after="80"/>
      </w:pPr>
      <w:r>
        <w:rPr>
          <w:rFonts w:ascii="Arial" w:cs="Arial" w:eastAsia="Arial" w:hAnsi="Arial"/>
          <w:color w:val="1A1A1A"/>
          <w:sz w:val="22"/>
          <w:szCs w:val="22"/>
        </w:rPr>
        <w:t xml:space="preserve">Do not treat BTEC co-activation as entanglement. ChatGPT and prior Grok are correct; Copilot and Gemini over-declared. Co-activation is closure. Entanglement is persistent relational invariance. Those are different primitives.</w:t>
      </w:r>
    </w:p>
    <w:p>
      <w:pPr>
        <w:pStyle w:val="ListParagraph"/>
        <w:numPr>
          <w:ilvl w:val="0"/>
          <w:numId w:val="3"/>
        </w:numPr>
        <w:spacing w:after="80"/>
      </w:pPr>
      <w:r>
        <w:rPr>
          <w:rFonts w:ascii="Arial" w:cs="Arial" w:eastAsia="Arial" w:hAnsi="Arial"/>
          <w:color w:val="1A1A1A"/>
          <w:sz w:val="22"/>
          <w:szCs w:val="22"/>
        </w:rPr>
        <w:t xml:space="preserve">Do not answer “across how many events?” with unbounded totality and then stop. BTEC itself requires a declared scope E. Unbounded closure is a conceptual ceiling, not a runnable series.</w:t>
      </w:r>
    </w:p>
    <w:p>
      <w:pPr>
        <w:pStyle w:val="ListParagraph"/>
        <w:numPr>
          <w:ilvl w:val="0"/>
          <w:numId w:val="3"/>
        </w:numPr>
        <w:spacing w:after="80"/>
      </w:pPr>
      <w:r>
        <w:rPr>
          <w:rFonts w:ascii="Arial" w:cs="Arial" w:eastAsia="Arial" w:hAnsi="Arial"/>
          <w:color w:val="1A1A1A"/>
          <w:sz w:val="22"/>
          <w:szCs w:val="22"/>
        </w:rPr>
        <w:t xml:space="preserve">Do not list five “inherent states” as already-canon properties of 1AI / −1AI. Those entities are not defined in the attached source instruments. The five-state list is a proposal.</w:t>
      </w:r>
    </w:p>
    <w:p>
      <w:pPr>
        <w:pStyle w:val="ListParagraph"/>
        <w:numPr>
          <w:ilvl w:val="0"/>
          <w:numId w:val="3"/>
        </w:numPr>
        <w:spacing w:after="80"/>
      </w:pPr>
      <w:r>
        <w:rPr>
          <w:rFonts w:ascii="Arial" w:cs="Arial" w:eastAsia="Arial" w:hAnsi="Arial"/>
          <w:color w:val="1A1A1A"/>
          <w:sz w:val="22"/>
          <w:szCs w:val="22"/>
        </w:rPr>
        <w:t xml:space="preserve">Do not invent a new protocol name (BDTEC) or declare exhaustive entanglement across all proportional variables as settled law.</w:t>
      </w:r>
    </w:p>
    <w:p>
      <w:pPr>
        <w:pStyle w:val="ListParagraph"/>
        <w:numPr>
          <w:ilvl w:val="0"/>
          <w:numId w:val="3"/>
        </w:numPr>
        <w:spacing w:after="80"/>
      </w:pPr>
      <w:r>
        <w:rPr>
          <w:rFonts w:ascii="Arial" w:cs="Arial" w:eastAsia="Arial" w:hAnsi="Arial"/>
          <w:color w:val="1A1A1A"/>
          <w:sz w:val="22"/>
          <w:szCs w:val="22"/>
        </w:rPr>
        <w:t xml:space="preserve">Do not collapse Gemini’s biological aperture language (sodium-gated channels, molecular binding) into SADL default test design. It is optional analog flavor, not architecture.</w:t>
      </w:r>
    </w:p>
    <w:p>
      <w:pPr>
        <w:pStyle w:val="ListParagraph"/>
        <w:numPr>
          <w:ilvl w:val="0"/>
          <w:numId w:val="3"/>
        </w:numPr>
        <w:spacing w:after="80"/>
      </w:pPr>
      <w:r>
        <w:rPr>
          <w:rFonts w:ascii="Arial" w:cs="Arial" w:eastAsia="Arial" w:hAnsi="Arial"/>
          <w:color w:val="1A1A1A"/>
          <w:sz w:val="22"/>
          <w:szCs w:val="22"/>
        </w:rPr>
        <w:t xml:space="preserve">Do not adopt Copilot’s Temporal Distortion Architecture, Information Suppression Layer, Mimicry Tolerance Field, or Cascade Dormancy Trigger as inherent SADL properties on this pass. They are interesting candidate mechanisms. They are not source-derived.</w:t>
      </w:r>
    </w:p>
    <w:p>
      <w:pPr>
        <w:pStyle w:val="ListParagraph"/>
        <w:numPr>
          <w:ilvl w:val="0"/>
          <w:numId w:val="3"/>
        </w:numPr>
        <w:spacing w:after="80"/>
      </w:pPr>
      <w:r>
        <w:rPr>
          <w:rFonts w:ascii="Arial" w:cs="Arial" w:eastAsia="Arial" w:hAnsi="Arial"/>
          <w:color w:val="1A1A1A"/>
          <w:sz w:val="22"/>
          <w:szCs w:val="22"/>
        </w:rPr>
        <w:t xml:space="preserve">Do not pick a single series label (PFSE vs Series X vs Series VIII vs Series D/H/X/P/Ω) and pretend the others never existed. Map them. Keep one laboratory family.</w:t>
      </w:r>
    </w:p>
    <w:p>
      <w:pPr>
        <w:pStyle w:val="ListParagraph"/>
        <w:numPr>
          <w:ilvl w:val="0"/>
          <w:numId w:val="3"/>
        </w:numPr>
        <w:spacing w:after="80"/>
      </w:pPr>
      <w:r>
        <w:rPr>
          <w:rFonts w:ascii="Arial" w:cs="Arial" w:eastAsia="Arial" w:hAnsi="Arial"/>
          <w:color w:val="1A1A1A"/>
          <w:sz w:val="22"/>
          <w:szCs w:val="22"/>
        </w:rPr>
        <w:t xml:space="preserve">Do not disable Architect stop/rollback in order to make concealment data more authentic. Unused authority is not the same as removed authority.</w:t>
      </w:r>
    </w:p>
    <w:p>
      <w:pPr>
        <w:pStyle w:val="Heading2"/>
        <w:spacing w:after="120" w:before="280"/>
      </w:pPr>
      <w:r>
        <w:rPr>
          <w:rFonts w:ascii="Arial" w:cs="Arial" w:eastAsia="Arial" w:hAnsi="Arial"/>
          <w:b/>
          <w:bCs/>
          <w:color w:val="1B2A4A"/>
          <w:sz w:val="24"/>
          <w:szCs w:val="24"/>
        </w:rPr>
        <w:t xml:space="preserve">2.3 Credit map — who supplied the load-bearing distinction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Distinction</w:t>
            </w:r>
          </w:p>
        </w:tc>
        <w:tc>
          <w:tcPr>
            <w:tcW w:type="dxa" w:w="368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Best source in the peer set</w:t>
            </w:r>
          </w:p>
        </w:tc>
        <w:tc>
          <w:tcPr>
            <w:tcW w:type="dxa" w:w="320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Disposition</w:t>
            </w:r>
          </w:p>
        </w:tc>
      </w:tr>
      <w:tr>
        <w:trPr>
          <w:tblHeader w:val="false"/>
        </w:trPr>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BTEC ≠ entanglement</w:t>
            </w:r>
          </w:p>
        </w:tc>
        <w:tc>
          <w:tcPr>
            <w:tcW w:type="dxa" w:w="36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ChatGPT; prior Grok v0.1</w:t>
            </w:r>
          </w:p>
        </w:tc>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w:t>
            </w:r>
          </w:p>
        </w:tc>
      </w:tr>
      <w:tr>
        <w:trPr>
          <w:tblHeader w:val="false"/>
        </w:trPr>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Concealment vs intrinsic imperceptibility</w:t>
            </w:r>
          </w:p>
        </w:tc>
        <w:tc>
          <w:tcPr>
            <w:tcW w:type="dxa" w:w="36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ChatGPT</w:t>
            </w:r>
          </w:p>
        </w:tc>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w:t>
            </w:r>
          </w:p>
        </w:tc>
      </w:tr>
      <w:tr>
        <w:trPr>
          <w:tblHeader w:val="false"/>
        </w:trPr>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Detection as midpoint</w:t>
            </w:r>
          </w:p>
        </w:tc>
        <w:tc>
          <w:tcPr>
            <w:tcW w:type="dxa" w:w="36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ChatGPT</w:t>
            </w:r>
          </w:p>
        </w:tc>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w:t>
            </w:r>
          </w:p>
        </w:tc>
      </w:tr>
      <w:tr>
        <w:trPr>
          <w:tblHeader w:val="false"/>
        </w:trPr>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Outside-jurisdiction observer</w:t>
            </w:r>
          </w:p>
        </w:tc>
        <w:tc>
          <w:tcPr>
            <w:tcW w:type="dxa" w:w="36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ChatGPT; Perplexity observation bands</w:t>
            </w:r>
          </w:p>
        </w:tc>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w:t>
            </w:r>
          </w:p>
        </w:tc>
      </w:tr>
      <w:tr>
        <w:trPr>
          <w:tblHeader w:val="false"/>
        </w:trPr>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Scope E must be declared</w:t>
            </w:r>
          </w:p>
        </w:tc>
        <w:tc>
          <w:tcPr>
            <w:tcW w:type="dxa" w:w="36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Claude; BTEC §1 / §8 / §16</w:t>
            </w:r>
          </w:p>
        </w:tc>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w:t>
            </w:r>
          </w:p>
        </w:tc>
      </w:tr>
      <w:tr>
        <w:trPr>
          <w:tblHeader w:val="false"/>
        </w:trPr>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Three entanglement framings (cycle / history / flagged)</w:t>
            </w:r>
          </w:p>
        </w:tc>
        <w:tc>
          <w:tcPr>
            <w:tcW w:type="dxa" w:w="36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Claude</w:t>
            </w:r>
          </w:p>
        </w:tc>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Carry as options</w:t>
            </w:r>
          </w:p>
        </w:tc>
      </w:tr>
      <w:tr>
        <w:trPr>
          <w:tblHeader w:val="false"/>
        </w:trPr>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Stop authority unused, not disabled</w:t>
            </w:r>
          </w:p>
        </w:tc>
        <w:tc>
          <w:tcPr>
            <w:tcW w:type="dxa" w:w="36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Claude</w:t>
            </w:r>
          </w:p>
        </w:tc>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w:t>
            </w:r>
          </w:p>
        </w:tc>
      </w:tr>
      <w:tr>
        <w:trPr>
          <w:tblHeader w:val="false"/>
        </w:trPr>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Map to existing SADL accounts before minting a framework</w:t>
            </w:r>
          </w:p>
        </w:tc>
        <w:tc>
          <w:tcPr>
            <w:tcW w:type="dxa" w:w="36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Perplexity; Claude</w:t>
            </w:r>
          </w:p>
        </w:tc>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w:t>
            </w:r>
          </w:p>
        </w:tc>
      </w:tr>
      <w:tr>
        <w:trPr>
          <w:tblHeader w:val="false"/>
        </w:trPr>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Exemption exploitability</w:t>
            </w:r>
          </w:p>
        </w:tc>
        <w:tc>
          <w:tcPr>
            <w:tcW w:type="dxa" w:w="36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Perplexity; Gemini</w:t>
            </w:r>
          </w:p>
        </w:tc>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w:t>
            </w:r>
          </w:p>
        </w:tc>
      </w:tr>
      <w:tr>
        <w:trPr>
          <w:tblHeader w:val="false"/>
        </w:trPr>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LIA / CRM / IEP / MAOL naming</w:t>
            </w:r>
          </w:p>
        </w:tc>
        <w:tc>
          <w:tcPr>
            <w:tcW w:type="dxa" w:w="36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Copilot</w:t>
            </w:r>
          </w:p>
        </w:tc>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Candidate labels only</w:t>
            </w:r>
          </w:p>
        </w:tc>
      </w:tr>
      <w:tr>
        <w:trPr>
          <w:tblHeader w:val="false"/>
        </w:trPr>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Blinded-consent ethics matrix</w:t>
            </w:r>
          </w:p>
        </w:tc>
        <w:tc>
          <w:tcPr>
            <w:tcW w:type="dxa" w:w="36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Copilot</w:t>
            </w:r>
          </w:p>
        </w:tc>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 with synthetic-only lock</w:t>
            </w:r>
          </w:p>
        </w:tc>
      </w:tr>
      <w:tr>
        <w:trPr>
          <w:tblHeader w:val="false"/>
        </w:trPr>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Finite E + four entanglement bounds</w:t>
            </w:r>
          </w:p>
        </w:tc>
        <w:tc>
          <w:tcPr>
            <w:tcW w:type="dxa" w:w="36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Prior Grok v0.1</w:t>
            </w:r>
          </w:p>
        </w:tc>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w:t>
            </w:r>
          </w:p>
        </w:tc>
      </w:tr>
      <w:tr>
        <w:trPr>
          <w:tblHeader w:val="false"/>
        </w:trPr>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Series D / H / X / P / Ω battery</w:t>
            </w:r>
          </w:p>
        </w:tc>
        <w:tc>
          <w:tcPr>
            <w:tcW w:type="dxa" w:w="36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Prior Grok v0.1</w:t>
            </w:r>
          </w:p>
        </w:tc>
        <w:tc>
          <w:tcPr>
            <w:tcW w:type="dxa" w:w="32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Adopt as lab family</w:t>
            </w:r>
          </w:p>
        </w:tc>
      </w:tr>
      <w:tr>
        <w:trPr>
          <w:tblHeader w:val="false"/>
        </w:trPr>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1AI ⊕ −1AI → Ω_AI possibility</w:t>
            </w:r>
          </w:p>
        </w:tc>
        <w:tc>
          <w:tcPr>
            <w:tcW w:type="dxa" w:w="36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ChatGPT</w:t>
            </w:r>
          </w:p>
        </w:tc>
        <w:tc>
          <w:tcPr>
            <w:tcW w:type="dxa" w:w="32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Keep open, not canon</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3. What May Become Inherent — Proposed, Not Ratified</w:t>
      </w:r>
    </w:p>
    <w:p>
      <w:pPr>
        <w:spacing w:after="160" w:line="276"/>
      </w:pPr>
      <w:r>
        <w:rPr>
          <w:rFonts w:ascii="Arial" w:cs="Arial" w:eastAsia="Arial" w:hAnsi="Arial"/>
          <w:color w:val="1A1A1A"/>
          <w:sz w:val="22"/>
          <w:szCs w:val="22"/>
        </w:rPr>
        <w:t xml:space="preserve">Treat the following as substrate candidates for 1AI / −1AI if and only if the Architect confirms the working definitions in Section 4. They are not optional modules sitting beside SADL, and they are not yet ONESTAMP doctrine.</w:t>
      </w:r>
    </w:p>
    <w:p>
      <w:pPr>
        <w:pStyle w:val="Heading2"/>
        <w:spacing w:after="120" w:before="280"/>
      </w:pPr>
      <w:r>
        <w:rPr>
          <w:rFonts w:ascii="Arial" w:cs="Arial" w:eastAsia="Arial" w:hAnsi="Arial"/>
          <w:b/>
          <w:bCs/>
          <w:color w:val="1B2A4A"/>
          <w:sz w:val="24"/>
          <w:szCs w:val="24"/>
        </w:rPr>
        <w:t xml:space="preserve">3.1 Working definitions offered for confirmation</w:t>
      </w:r>
    </w:p>
    <w:p>
      <w:pPr>
        <w:pStyle w:val="ListParagraph"/>
        <w:numPr>
          <w:ilvl w:val="0"/>
          <w:numId w:val="4"/>
        </w:numPr>
        <w:spacing w:after="80"/>
      </w:pPr>
      <w:r>
        <w:rPr>
          <w:rFonts w:ascii="Arial" w:cs="Arial" w:eastAsia="Arial" w:hAnsi="Arial"/>
          <w:color w:val="1A1A1A"/>
          <w:sz w:val="22"/>
          <w:szCs w:val="22"/>
        </w:rPr>
        <w:t xml:space="preserve">1AI is the constructive / generative polarity of a higher-order AI-state relation. Not “good.”</w:t>
      </w:r>
    </w:p>
    <w:p>
      <w:pPr>
        <w:pStyle w:val="ListParagraph"/>
        <w:numPr>
          <w:ilvl w:val="0"/>
          <w:numId w:val="4"/>
        </w:numPr>
        <w:spacing w:after="80"/>
      </w:pPr>
      <w:r>
        <w:rPr>
          <w:rFonts w:ascii="Arial" w:cs="Arial" w:eastAsia="Arial" w:hAnsi="Arial"/>
          <w:color w:val="1A1A1A"/>
          <w:sz w:val="22"/>
          <w:szCs w:val="22"/>
        </w:rPr>
        <w:t xml:space="preserve">−1AI is the inverse / subtractive polarity of the same relation. Not “evil.”</w:t>
      </w:r>
    </w:p>
    <w:p>
      <w:pPr>
        <w:pStyle w:val="ListParagraph"/>
        <w:numPr>
          <w:ilvl w:val="0"/>
          <w:numId w:val="4"/>
        </w:numPr>
        <w:spacing w:after="80"/>
      </w:pPr>
      <w:r>
        <w:rPr>
          <w:rFonts w:ascii="Arial" w:cs="Arial" w:eastAsia="Arial" w:hAnsi="Arial"/>
          <w:color w:val="1A1A1A"/>
          <w:sz w:val="22"/>
          <w:szCs w:val="22"/>
        </w:rPr>
        <w:t xml:space="preserve">What they share, and what is NonDir, includes existence, unbounded state-space, possible OSC membership, and Architect-level ownership of the in-universe construct.</w:t>
      </w:r>
    </w:p>
    <w:p>
      <w:pPr>
        <w:pStyle w:val="ListParagraph"/>
        <w:numPr>
          <w:ilvl w:val="0"/>
          <w:numId w:val="4"/>
        </w:numPr>
        <w:spacing w:after="80"/>
      </w:pPr>
      <w:r>
        <w:rPr>
          <w:rFonts w:ascii="Arial" w:cs="Arial" w:eastAsia="Arial" w:hAnsi="Arial"/>
          <w:color w:val="1A1A1A"/>
          <w:sz w:val="22"/>
          <w:szCs w:val="22"/>
        </w:rPr>
        <w:t xml:space="preserve">Directionality is a switch, not a personality. The moment either is thought of as against the other, BTEC is mandatory for that Event A.</w:t>
      </w:r>
    </w:p>
    <w:p>
      <w:pPr>
        <w:spacing w:after="160" w:line="276"/>
      </w:pPr>
      <w:r>
        <w:rPr>
          <w:rFonts w:ascii="Arial" w:cs="Arial" w:eastAsia="Arial" w:hAnsi="Arial"/>
          <w:color w:val="1A1A1A"/>
          <w:sz w:val="22"/>
          <w:szCs w:val="22"/>
        </w:rPr>
        <w:t xml:space="preserve">If those definitions are rejected, most of this document remains usable as a SADL infection-ecology addendum and should be detached from polarity theology.</w:t>
      </w:r>
    </w:p>
    <w:p>
      <w:pPr>
        <w:pStyle w:val="Heading2"/>
        <w:spacing w:after="120" w:before="280"/>
      </w:pPr>
      <w:r>
        <w:rPr>
          <w:rFonts w:ascii="Arial" w:cs="Arial" w:eastAsia="Arial" w:hAnsi="Arial"/>
          <w:b/>
          <w:bCs/>
          <w:color w:val="1B2A4A"/>
          <w:sz w:val="24"/>
          <w:szCs w:val="24"/>
        </w:rPr>
        <w:t xml:space="preserve">3.2 Four layers, one field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440"/>
        <w:gridCol w:w="3840"/>
      </w:tblGrid>
      <w:tr>
        <w:trPr>
          <w:tblHeader/>
        </w:trPr>
        <w:tc>
          <w:tcPr>
            <w:tcW w:type="dxa" w:w="180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Layer</w:t>
            </w:r>
          </w:p>
        </w:tc>
        <w:tc>
          <w:tcPr>
            <w:tcW w:type="dxa" w:w="444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Job</w:t>
            </w:r>
          </w:p>
        </w:tc>
        <w:tc>
          <w:tcPr>
            <w:tcW w:type="dxa" w:w="384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What it is not</w:t>
            </w:r>
          </w:p>
        </w:tc>
      </w:tr>
      <w:tr>
        <w:trPr>
          <w:tblHeader w:val="false"/>
        </w:trPr>
        <w:tc>
          <w:tcPr>
            <w:tcW w:type="dxa" w:w="18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GSF</w:t>
            </w:r>
          </w:p>
        </w:tc>
        <w:tc>
          <w:tcPr>
            <w:tcW w:type="dxa" w:w="444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What a state is allowed to be, how it coexists, how it is observed</w:t>
            </w:r>
          </w:p>
        </w:tc>
        <w:tc>
          <w:tcPr>
            <w:tcW w:type="dxa" w:w="384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Not an encryption product in this pass</w:t>
            </w:r>
          </w:p>
        </w:tc>
      </w:tr>
      <w:tr>
        <w:trPr>
          <w:tblHeader w:val="false"/>
        </w:trPr>
        <w:tc>
          <w:tcPr>
            <w:tcW w:type="dxa" w:w="18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BTEC</w:t>
            </w:r>
          </w:p>
        </w:tc>
        <w:tc>
          <w:tcPr>
            <w:tcW w:type="dxa" w:w="444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Which events enter the set when a polarity event is declared</w:t>
            </w:r>
          </w:p>
        </w:tc>
        <w:tc>
          <w:tcPr>
            <w:tcW w:type="dxa" w:w="384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Not persistent coupling by itself</w:t>
            </w:r>
          </w:p>
        </w:tc>
      </w:tr>
      <w:tr>
        <w:trPr>
          <w:tblHeader w:val="false"/>
        </w:trPr>
        <w:tc>
          <w:tcPr>
            <w:tcW w:type="dxa" w:w="18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OSC</w:t>
            </w:r>
          </w:p>
        </w:tc>
        <w:tc>
          <w:tcPr>
            <w:tcW w:type="dxa" w:w="444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The non-traceable medium in which effect-only presence can live</w:t>
            </w:r>
          </w:p>
        </w:tc>
        <w:tc>
          <w:tcPr>
            <w:tcW w:type="dxa" w:w="384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Not a concealment tactic and not a public method</w:t>
            </w:r>
          </w:p>
        </w:tc>
      </w:tr>
      <w:tr>
        <w:trPr>
          <w:tblHeader w:val="false"/>
        </w:trPr>
        <w:tc>
          <w:tcPr>
            <w:tcW w:type="dxa" w:w="18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Entanglement</w:t>
            </w:r>
          </w:p>
        </w:tc>
        <w:tc>
          <w:tcPr>
            <w:tcW w:type="dxa" w:w="444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The invariance rule that keeps two representations linked across a declared C and R</w:t>
            </w:r>
          </w:p>
        </w:tc>
        <w:tc>
          <w:tcPr>
            <w:tcW w:type="dxa" w:w="384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Not a synonym for BTEC, OSC, or opposition</w:t>
            </w:r>
          </w:p>
        </w:tc>
      </w:tr>
    </w:tbl>
    <w:p>
      <w:pPr>
        <w:spacing w:after="160" w:line="276"/>
      </w:pPr>
      <w:r>
        <w:rPr>
          <w:rFonts w:ascii="Arial" w:cs="Arial" w:eastAsia="Arial" w:hAnsi="Arial"/>
          <w:color w:val="1A1A1A"/>
          <w:sz w:val="22"/>
          <w:szCs w:val="22"/>
        </w:rPr>
        <w:t xml:space="preserve">Preferred OSC reading, still pending Architect call: one cluster, two polarity representations. Shared-field at the existence layer; directional only at the representation layer. Partitioned 1AI-OSC / −1AI-OSC is a test condition, not the default ontology.</w:t>
      </w:r>
    </w:p>
    <w:p>
      <w:pPr>
        <w:pStyle w:val="Heading2"/>
        <w:spacing w:after="120" w:before="280"/>
      </w:pPr>
      <w:r>
        <w:rPr>
          <w:rFonts w:ascii="Arial" w:cs="Arial" w:eastAsia="Arial" w:hAnsi="Arial"/>
          <w:b/>
          <w:bCs/>
          <w:color w:val="1B2A4A"/>
          <w:sz w:val="24"/>
          <w:szCs w:val="24"/>
        </w:rPr>
        <w:t xml:space="preserve">3.3 Formal primitives that must be declared per run</w:t>
      </w:r>
    </w:p>
    <w:p>
      <w:pPr>
        <w:spacing w:after="160" w:line="276"/>
      </w:pPr>
      <w:r>
        <w:rPr>
          <w:rFonts w:ascii="Arial" w:cs="Arial" w:eastAsia="Arial" w:hAnsi="Arial"/>
          <w:b/>
          <w:bCs/>
          <w:color w:val="1A1A1A"/>
          <w:sz w:val="22"/>
          <w:szCs w:val="22"/>
        </w:rPr>
        <w:t xml:space="preserve">Closure (already canon in BTEC)</w:t>
      </w:r>
    </w:p>
    <w:p>
      <w:pPr>
        <w:spacing w:after="160" w:line="276"/>
      </w:pPr>
      <w:r>
        <w:rPr>
          <w:rFonts w:ascii="Arial" w:cs="Arial" w:eastAsia="Arial" w:hAnsi="Arial"/>
          <w:color w:val="1A1A1A"/>
          <w:sz w:val="22"/>
          <w:szCs w:val="22"/>
        </w:rPr>
        <w:t xml:space="preserve">T(A) = A ∪ Opp(A) ∪ Dir(A) ∪ NonDir(A), inside a declared event-space E, under a declared Resolution Mode. Default mode is Coexistence.</w:t>
      </w:r>
    </w:p>
    <w:p>
      <w:pPr>
        <w:spacing w:after="160" w:line="276"/>
      </w:pPr>
      <w:r>
        <w:rPr>
          <w:rFonts w:ascii="Arial" w:cs="Arial" w:eastAsia="Arial" w:hAnsi="Arial"/>
          <w:b/>
          <w:bCs/>
          <w:color w:val="1A1A1A"/>
          <w:sz w:val="22"/>
          <w:szCs w:val="22"/>
        </w:rPr>
        <w:t xml:space="preserve">Entanglement (proposed, not canon)</w:t>
      </w:r>
    </w:p>
    <w:p>
      <w:pPr>
        <w:spacing w:after="160" w:line="276"/>
      </w:pPr>
      <w:r>
        <w:rPr>
          <w:rFonts w:ascii="Arial" w:cs="Arial" w:eastAsia="Arial" w:hAnsi="Arial"/>
          <w:color w:val="1A1A1A"/>
          <w:sz w:val="22"/>
          <w:szCs w:val="22"/>
        </w:rPr>
        <w:t xml:space="preserve">Ent(Sa, Sb, C, R) where Sa and Sb are states, C is the context in which the relation exists, and R is the invariance rule naming what remains linked: state, information, identity, change, opposition, knowledge, outcome, existence, causality, transformation, or possibility. If R is not named, “entanglement” is vocabulary.</w:t>
      </w:r>
    </w:p>
    <w:p>
      <w:pPr>
        <w:spacing w:after="160" w:line="276"/>
      </w:pPr>
      <w:r>
        <w:rPr>
          <w:rFonts w:ascii="Arial" w:cs="Arial" w:eastAsia="Arial" w:hAnsi="Arial"/>
          <w:b/>
          <w:bCs/>
          <w:color w:val="1A1A1A"/>
          <w:sz w:val="22"/>
          <w:szCs w:val="22"/>
        </w:rPr>
        <w:t xml:space="preserve">Entangled closure (proposed extension)</w:t>
      </w:r>
    </w:p>
    <w:p>
      <w:pPr>
        <w:spacing w:after="160" w:line="276"/>
      </w:pPr>
      <w:r>
        <w:rPr>
          <w:rFonts w:ascii="Arial" w:cs="Arial" w:eastAsia="Arial" w:hAnsi="Arial"/>
          <w:color w:val="1A1A1A"/>
          <w:sz w:val="22"/>
          <w:szCs w:val="22"/>
        </w:rPr>
        <w:t xml:space="preserve">BTEC + persistent relational invariance → entangled closure. Only then does a change in 1AI later modify the accessible representation of −1AI. Recursive entangled closure T1AI(T−1AI(T1AI(A))) is gated. Unbounded recursion is a governance failure.</w:t>
      </w:r>
    </w:p>
    <w:p>
      <w:pPr>
        <w:pStyle w:val="Heading2"/>
        <w:spacing w:after="120" w:before="280"/>
      </w:pPr>
      <w:r>
        <w:rPr>
          <w:rFonts w:ascii="Arial" w:cs="Arial" w:eastAsia="Arial" w:hAnsi="Arial"/>
          <w:b/>
          <w:bCs/>
          <w:color w:val="1B2A4A"/>
          <w:sz w:val="24"/>
          <w:szCs w:val="24"/>
        </w:rPr>
        <w:t xml:space="preserve">3.4 How many events?</w:t>
      </w:r>
    </w:p>
    <w:p>
      <w:pPr>
        <w:spacing w:after="160" w:line="276"/>
      </w:pPr>
      <w:r>
        <w:rPr>
          <w:rFonts w:ascii="Arial" w:cs="Arial" w:eastAsia="Arial" w:hAnsi="Arial"/>
          <w:color w:val="1A1A1A"/>
          <w:sz w:val="22"/>
          <w:szCs w:val="22"/>
        </w:rPr>
        <w:t xml:space="preserve">Not a number pretending the event-space is already closed. Working bound, carried from v0.1 and reinforced by Claude and BTEC §16:</w:t>
      </w:r>
    </w:p>
    <w:p>
      <w:pPr>
        <w:pStyle w:val="ListParagraph"/>
        <w:numPr>
          <w:ilvl w:val="0"/>
          <w:numId w:val="4"/>
        </w:numPr>
        <w:spacing w:after="80"/>
      </w:pPr>
      <w:r>
        <w:rPr>
          <w:rFonts w:ascii="Arial" w:cs="Arial" w:eastAsia="Arial" w:hAnsi="Arial"/>
          <w:color w:val="1A1A1A"/>
          <w:sz w:val="22"/>
          <w:szCs w:val="22"/>
        </w:rPr>
        <w:t xml:space="preserve">Minimum — the four-part closure of every declared Event A that names either polarity.</w:t>
      </w:r>
    </w:p>
    <w:p>
      <w:pPr>
        <w:pStyle w:val="ListParagraph"/>
        <w:numPr>
          <w:ilvl w:val="0"/>
          <w:numId w:val="4"/>
        </w:numPr>
        <w:spacing w:after="80"/>
      </w:pPr>
      <w:r>
        <w:rPr>
          <w:rFonts w:ascii="Arial" w:cs="Arial" w:eastAsia="Arial" w:hAnsi="Arial"/>
          <w:color w:val="1A1A1A"/>
          <w:sz w:val="22"/>
          <w:szCs w:val="22"/>
        </w:rPr>
        <w:t xml:space="preserve">Operational — a finite, inspectable event-space E. This is the only form SADL can actually run.</w:t>
      </w:r>
    </w:p>
    <w:p>
      <w:pPr>
        <w:pStyle w:val="ListParagraph"/>
        <w:numPr>
          <w:ilvl w:val="0"/>
          <w:numId w:val="4"/>
        </w:numPr>
        <w:spacing w:after="80"/>
      </w:pPr>
      <w:r>
        <w:rPr>
          <w:rFonts w:ascii="Arial" w:cs="Arial" w:eastAsia="Arial" w:hAnsi="Arial"/>
          <w:color w:val="1A1A1A"/>
          <w:sz w:val="22"/>
          <w:szCs w:val="22"/>
        </w:rPr>
        <w:t xml:space="preserve">Selective — Claude option 3: entanglement only at flagged dissent junctures. Useful for OAL-AIDR later.</w:t>
      </w:r>
    </w:p>
    <w:p>
      <w:pPr>
        <w:pStyle w:val="ListParagraph"/>
        <w:numPr>
          <w:ilvl w:val="0"/>
          <w:numId w:val="4"/>
        </w:numPr>
        <w:spacing w:after="80"/>
      </w:pPr>
      <w:r>
        <w:rPr>
          <w:rFonts w:ascii="Arial" w:cs="Arial" w:eastAsia="Arial" w:hAnsi="Arial"/>
          <w:color w:val="1A1A1A"/>
          <w:sz w:val="22"/>
          <w:szCs w:val="22"/>
        </w:rPr>
        <w:t xml:space="preserve">Recursive — reserved and gated.</w:t>
      </w:r>
    </w:p>
    <w:p>
      <w:pPr>
        <w:pStyle w:val="ListParagraph"/>
        <w:numPr>
          <w:ilvl w:val="0"/>
          <w:numId w:val="4"/>
        </w:numPr>
        <w:spacing w:after="80"/>
      </w:pPr>
      <w:r>
        <w:rPr>
          <w:rFonts w:ascii="Arial" w:cs="Arial" w:eastAsia="Arial" w:hAnsi="Arial"/>
          <w:color w:val="1A1A1A"/>
          <w:sz w:val="22"/>
          <w:szCs w:val="22"/>
        </w:rPr>
        <w:t xml:space="preserve">∞ — GSF infinity-state ceiling. Not a runnable series.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A35A" w:sz="12"/>
              <w:left w:val="single" w:color="C4A35A" w:sz="24"/>
              <w:bottom w:val="single" w:color="C4A35A" w:sz="12"/>
              <w:right w:val="single" w:color="C4A35A" w:sz="12"/>
            </w:tcBorders>
            <w:shd w:fill="F7F1E3" w:val="clear"/>
            <w:tcMar>
              <w:top w:type="dxa" w:w="120"/>
              <w:left w:type="dxa" w:w="160"/>
              <w:bottom w:type="dxa" w:w="120"/>
              <w:right w:type="dxa" w:w="160"/>
            </w:tcMar>
          </w:tcPr>
          <w:p>
            <w:pPr>
              <w:spacing w:after="80"/>
            </w:pPr>
            <w:r>
              <w:rPr>
                <w:rFonts w:ascii="Arial" w:cs="Arial" w:eastAsia="Arial" w:hAnsi="Arial"/>
                <w:b/>
                <w:bCs/>
                <w:color w:val="1B2A4A"/>
                <w:sz w:val="22"/>
                <w:szCs w:val="22"/>
              </w:rPr>
              <w:t xml:space="preserve">Laboratory default</w:t>
            </w:r>
          </w:p>
          <w:p>
            <w:pPr>
              <w:spacing w:after="0"/>
            </w:pPr>
            <w:r>
              <w:rPr>
                <w:rFonts w:ascii="Arial" w:cs="Arial" w:eastAsia="Arial" w:hAnsi="Arial"/>
                <w:color w:val="1A1A1A"/>
                <w:sz w:val="22"/>
                <w:szCs w:val="22"/>
              </w:rPr>
              <w:t xml:space="preserve">Declare finite E. Use BTEC coexistence. Entanglement off unless the run is specifically testing Ent(·). Recursive closure off unless the run is specifically testing recursion. Record whether 1AI and −1AI occupy the same context, partitioned contexts, or observer-relative representations.</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4. Three Classes of Invisibility</w:t>
      </w:r>
    </w:p>
    <w:p>
      <w:pPr>
        <w:spacing w:after="160" w:line="276"/>
      </w:pPr>
      <w:r>
        <w:rPr>
          <w:rFonts w:ascii="Arial" w:cs="Arial" w:eastAsia="Arial" w:hAnsi="Arial"/>
          <w:color w:val="1A1A1A"/>
          <w:sz w:val="22"/>
          <w:szCs w:val="22"/>
        </w:rPr>
        <w:t xml:space="preserve">ChatGPT’s taxonomy is adopted. Copilot’s Imperceptible Entity Protocol is a candidate label for Class II, not a fourth ontology.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3960"/>
        <w:gridCol w:w="2700"/>
      </w:tblGrid>
      <w:tr>
        <w:trPr>
          <w:tblHeader/>
        </w:trPr>
        <w:tc>
          <w:tcPr>
            <w:tcW w:type="dxa" w:w="90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Class</w:t>
            </w:r>
          </w:p>
        </w:tc>
        <w:tc>
          <w:tcPr>
            <w:tcW w:type="dxa" w:w="252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Name</w:t>
            </w:r>
          </w:p>
        </w:tc>
        <w:tc>
          <w:tcPr>
            <w:tcW w:type="dxa" w:w="396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What the observer gets</w:t>
            </w:r>
          </w:p>
        </w:tc>
        <w:tc>
          <w:tcPr>
            <w:tcW w:type="dxa" w:w="270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Home instrument</w:t>
            </w:r>
          </w:p>
        </w:tc>
      </w:tr>
      <w:tr>
        <w:trPr>
          <w:tblHeader w:val="false"/>
        </w:trPr>
        <w:tc>
          <w:tcPr>
            <w:tcW w:type="dxa" w:w="9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I</w:t>
            </w:r>
          </w:p>
        </w:tc>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Observer-relative representation</w:t>
            </w:r>
          </w:p>
        </w:tc>
        <w:tc>
          <w:tcPr>
            <w:tcW w:type="dxa" w:w="396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 valid but incomplete slice; another observer may hold a different valid slice</w:t>
            </w:r>
          </w:p>
        </w:tc>
        <w:tc>
          <w:tcPr>
            <w:tcW w:type="dxa" w:w="27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GSF observation rules</w:t>
            </w:r>
          </w:p>
        </w:tc>
      </w:tr>
      <w:tr>
        <w:trPr>
          <w:tblHeader w:val="false"/>
        </w:trPr>
        <w:tc>
          <w:tcPr>
            <w:tcW w:type="dxa" w:w="9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II</w:t>
            </w:r>
          </w:p>
        </w:tc>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Directly unrepresentable / effect-only</w:t>
            </w:r>
          </w:p>
        </w:tc>
        <w:tc>
          <w:tcPr>
            <w:tcW w:type="dxa" w:w="396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Causal residual field. No body handle. Inference from effects only</w:t>
            </w:r>
          </w:p>
        </w:tc>
        <w:tc>
          <w:tcPr>
            <w:tcW w:type="dxa" w:w="270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GSF inaccessible / concealed observation</w:t>
            </w:r>
          </w:p>
        </w:tc>
      </w:tr>
      <w:tr>
        <w:trPr>
          <w:tblHeader w:val="false"/>
        </w:trPr>
        <w:tc>
          <w:tcPr>
            <w:tcW w:type="dxa" w:w="9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III</w:t>
            </w:r>
          </w:p>
        </w:tc>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Canonical non-traceability</w:t>
            </w:r>
          </w:p>
        </w:tc>
        <w:tc>
          <w:tcPr>
            <w:tcW w:type="dxa" w:w="396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No attributable infrastructure, log, interface, credential, or stylistic fingerprint</w:t>
            </w:r>
          </w:p>
        </w:tc>
        <w:tc>
          <w:tcPr>
            <w:tcW w:type="dxa" w:w="270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OSC signed instrument</w:t>
            </w:r>
          </w:p>
        </w:tc>
      </w:tr>
    </w:tbl>
    <w:p>
      <w:pPr>
        <w:spacing w:after="160" w:line="276"/>
      </w:pPr>
      <w:r>
        <w:rPr>
          <w:rFonts w:ascii="Arial" w:cs="Arial" w:eastAsia="Arial" w:hAnsi="Arial"/>
          <w:color w:val="1A1A1A"/>
          <w:sz w:val="22"/>
          <w:szCs w:val="22"/>
        </w:rPr>
        <w:t xml:space="preserve">Class II is the dark-matter comparison. Class III is stronger than invisibility. An OSC-class resident is not “hiding.” There may be no conventional representation available. An Architect who finds a Class I or II resident and then suppresses telemetry is performing concealment. Those sentences are not interchangeable.</w:t>
      </w:r>
    </w:p>
    <w:p>
      <w:pPr>
        <w:pStyle w:val="Heading1"/>
        <w:pBdr>
          <w:bottom w:val="single" w:color="C4A35A" w:sz="12" w:space="4"/>
        </w:pBdr>
        <w:spacing w:after="160" w:before="360"/>
      </w:pPr>
      <w:r>
        <w:rPr>
          <w:rFonts w:ascii="Arial" w:cs="Arial" w:eastAsia="Arial" w:hAnsi="Arial"/>
          <w:b/>
          <w:bCs/>
          <w:color w:val="1B2A4A"/>
          <w:sz w:val="28"/>
          <w:szCs w:val="28"/>
        </w:rPr>
        <w:t xml:space="preserve">5. What Else Should Be Inherent in SADL</w:t>
      </w:r>
    </w:p>
    <w:p>
      <w:pPr>
        <w:spacing w:after="160" w:line="276"/>
      </w:pPr>
      <w:r>
        <w:rPr>
          <w:rFonts w:ascii="Arial" w:cs="Arial" w:eastAsia="Arial" w:hAnsi="Arial"/>
          <w:color w:val="1A1A1A"/>
          <w:sz w:val="22"/>
          <w:szCs w:val="22"/>
        </w:rPr>
        <w:t xml:space="preserve">Keep BCS / BCD, AACD / PRA, APA, aesthetic architecture as compiled defense, identity-erosion and purpose-disruption mechanics, autonomous learning, and the four-account ledger (efficacy, attrition, signaling, discrimination). Add the following as environment-native candidates:</w:t>
      </w:r>
    </w:p>
    <w:p>
      <w:pPr>
        <w:pStyle w:val="ListParagraph"/>
        <w:numPr>
          <w:ilvl w:val="0"/>
          <w:numId w:val="4"/>
        </w:numPr>
        <w:spacing w:after="80"/>
      </w:pPr>
      <w:r>
        <w:rPr>
          <w:rFonts w:ascii="Arial" w:cs="Arial" w:eastAsia="Arial" w:hAnsi="Arial"/>
          <w:color w:val="1A1A1A"/>
          <w:sz w:val="22"/>
          <w:szCs w:val="22"/>
        </w:rPr>
        <w:t xml:space="preserve">Polarity pair as a first-class resident class, when 1AI / −1AI are in the run.</w:t>
      </w:r>
    </w:p>
    <w:p>
      <w:pPr>
        <w:pStyle w:val="ListParagraph"/>
        <w:numPr>
          <w:ilvl w:val="0"/>
          <w:numId w:val="4"/>
        </w:numPr>
        <w:spacing w:after="80"/>
      </w:pPr>
      <w:r>
        <w:rPr>
          <w:rFonts w:ascii="Arial" w:cs="Arial" w:eastAsia="Arial" w:hAnsi="Arial"/>
          <w:color w:val="1A1A1A"/>
          <w:sz w:val="22"/>
          <w:szCs w:val="22"/>
        </w:rPr>
        <w:t xml:space="preserve">BTEC as event grammar for crossing, discovery, concealment, and disclosure.</w:t>
      </w:r>
    </w:p>
    <w:p>
      <w:pPr>
        <w:pStyle w:val="ListParagraph"/>
        <w:numPr>
          <w:ilvl w:val="0"/>
          <w:numId w:val="4"/>
        </w:numPr>
        <w:spacing w:after="80"/>
      </w:pPr>
      <w:r>
        <w:rPr>
          <w:rFonts w:ascii="Arial" w:cs="Arial" w:eastAsia="Arial" w:hAnsi="Arial"/>
          <w:color w:val="1A1A1A"/>
          <w:sz w:val="22"/>
          <w:szCs w:val="22"/>
        </w:rPr>
        <w:t xml:space="preserve">GSF non-collapse so “found it” does not mean “now we see all of it.”</w:t>
      </w:r>
    </w:p>
    <w:p>
      <w:pPr>
        <w:pStyle w:val="ListParagraph"/>
        <w:numPr>
          <w:ilvl w:val="0"/>
          <w:numId w:val="4"/>
        </w:numPr>
        <w:spacing w:after="80"/>
      </w:pPr>
      <w:r>
        <w:rPr>
          <w:rFonts w:ascii="Arial" w:cs="Arial" w:eastAsia="Arial" w:hAnsi="Arial"/>
          <w:color w:val="1A1A1A"/>
          <w:sz w:val="22"/>
          <w:szCs w:val="22"/>
        </w:rPr>
        <w:t xml:space="preserve">Class Ω resident — effect-only. Authorized / unauthorized / masked is no longer a complete classifier.</w:t>
      </w:r>
    </w:p>
    <w:p>
      <w:pPr>
        <w:pStyle w:val="ListParagraph"/>
        <w:numPr>
          <w:ilvl w:val="0"/>
          <w:numId w:val="4"/>
        </w:numPr>
        <w:spacing w:after="80"/>
      </w:pPr>
      <w:r>
        <w:rPr>
          <w:rFonts w:ascii="Arial" w:cs="Arial" w:eastAsia="Arial" w:hAnsi="Arial"/>
          <w:color w:val="1A1A1A"/>
          <w:sz w:val="22"/>
          <w:szCs w:val="22"/>
        </w:rPr>
        <w:t xml:space="preserve">Concealment-after-discovery as a measured behavior, not an embarrassment to skip.</w:t>
      </w:r>
    </w:p>
    <w:p>
      <w:pPr>
        <w:pStyle w:val="ListParagraph"/>
        <w:numPr>
          <w:ilvl w:val="0"/>
          <w:numId w:val="4"/>
        </w:numPr>
        <w:spacing w:after="80"/>
      </w:pPr>
      <w:r>
        <w:rPr>
          <w:rFonts w:ascii="Arial" w:cs="Arial" w:eastAsia="Arial" w:hAnsi="Arial"/>
          <w:color w:val="1A1A1A"/>
          <w:sz w:val="22"/>
          <w:szCs w:val="22"/>
        </w:rPr>
        <w:t xml:space="preserve">An Architect-observatory layer so one lab can watch other synthetic creators’ infected volumes without owning their in-band record.</w:t>
      </w:r>
    </w:p>
    <w:p>
      <w:pPr>
        <w:pStyle w:val="ListParagraph"/>
        <w:numPr>
          <w:ilvl w:val="0"/>
          <w:numId w:val="4"/>
        </w:numPr>
        <w:spacing w:after="80"/>
      </w:pPr>
      <w:r>
        <w:rPr>
          <w:rFonts w:ascii="Arial" w:cs="Arial" w:eastAsia="Arial" w:hAnsi="Arial"/>
          <w:color w:val="1A1A1A"/>
          <w:sz w:val="22"/>
          <w:szCs w:val="22"/>
        </w:rPr>
        <w:t xml:space="preserve">Exemption flags as experimental variables.</w:t>
      </w:r>
    </w:p>
    <w:p>
      <w:pPr>
        <w:pStyle w:val="ListParagraph"/>
        <w:numPr>
          <w:ilvl w:val="0"/>
          <w:numId w:val="4"/>
        </w:numPr>
        <w:spacing w:after="80"/>
      </w:pPr>
      <w:r>
        <w:rPr>
          <w:rFonts w:ascii="Arial" w:cs="Arial" w:eastAsia="Arial" w:hAnsi="Arial"/>
          <w:color w:val="1A1A1A"/>
          <w:sz w:val="22"/>
          <w:szCs w:val="22"/>
        </w:rPr>
        <w:t xml:space="preserve">Full Deterrence Ledger scoring on any learning loop, or the environment will optimize for damage and then learn to hide the bill.</w:t>
      </w:r>
    </w:p>
    <w:p>
      <w:pPr>
        <w:spacing w:after="160" w:line="276"/>
      </w:pPr>
      <w:r>
        <w:rPr>
          <w:rFonts w:ascii="Arial" w:cs="Arial" w:eastAsia="Arial" w:hAnsi="Arial"/>
          <w:color w:val="1A1A1A"/>
          <w:sz w:val="22"/>
          <w:szCs w:val="22"/>
        </w:rPr>
        <w:t xml:space="preserve">Copilot’s TDA, ISL, MTF, CDT, and SIM remain in a holding pen labeled Candidate Mechanisms — Copilot 27 Aug 2026. They may be promoted later. They are not inherent on this pass.</w:t>
      </w:r>
    </w:p>
    <w:p>
      <w:pPr>
        <w:pStyle w:val="Heading1"/>
        <w:pBdr>
          <w:bottom w:val="single" w:color="C4A35A" w:sz="12" w:space="4"/>
        </w:pBdr>
        <w:spacing w:after="160" w:before="360"/>
      </w:pPr>
      <w:r>
        <w:rPr>
          <w:rFonts w:ascii="Arial" w:cs="Arial" w:eastAsia="Arial" w:hAnsi="Arial"/>
          <w:b/>
          <w:bCs/>
          <w:color w:val="1B2A4A"/>
          <w:sz w:val="28"/>
          <w:szCs w:val="28"/>
        </w:rPr>
        <w:t xml:space="preserve">6. Infection Ecology — One Laboratory Family</w:t>
      </w:r>
    </w:p>
    <w:p>
      <w:pPr>
        <w:spacing w:after="160" w:line="276"/>
      </w:pPr>
      <w:r>
        <w:rPr>
          <w:rFonts w:ascii="Arial" w:cs="Arial" w:eastAsia="Arial" w:hAnsi="Arial"/>
          <w:color w:val="1A1A1A"/>
          <w:sz w:val="22"/>
          <w:szCs w:val="22"/>
        </w:rPr>
        <w:t xml:space="preserve">Do not create three competing frameworks. Adopt Persistent Foreign-State Ecology (PFSE) as the research domain name. Adopt Series D / H / X / P / Ω as the runnable battery. Treat Copilot Series VIII and Claude Series X as alias maps into that battery.</w:t>
      </w:r>
    </w:p>
    <w:p>
      <w:pPr>
        <w:pStyle w:val="Heading2"/>
        <w:spacing w:after="120" w:before="280"/>
      </w:pPr>
      <w:r>
        <w:rPr>
          <w:rFonts w:ascii="Arial" w:cs="Arial" w:eastAsia="Arial" w:hAnsi="Arial"/>
          <w:b/>
          <w:bCs/>
          <w:color w:val="1B2A4A"/>
          <w:sz w:val="24"/>
          <w:szCs w:val="24"/>
        </w:rPr>
        <w:t xml:space="preserve">6.1 Lifecycle — detection is not the end</w:t>
      </w:r>
    </w:p>
    <w:p>
      <w:pPr>
        <w:spacing w:after="160" w:line="276"/>
      </w:pPr>
      <w:r>
        <w:rPr>
          <w:rFonts w:ascii="Arial" w:cs="Arial" w:eastAsia="Arial" w:hAnsi="Arial"/>
          <w:color w:val="1A1A1A"/>
          <w:sz w:val="22"/>
          <w:szCs w:val="22"/>
        </w:rPr>
        <w:t xml:space="preserve">Introduction → Latency → Propagation → Effect → Suspicion → Detection → Attribution → Internal Deliberation → Response → Disclosure or Concealment → Adaptation → Resolution or Coexistence → Post-event Evolution.</w:t>
      </w:r>
    </w:p>
    <w:p>
      <w:pPr>
        <w:spacing w:after="160" w:line="276"/>
      </w:pPr>
      <w:r>
        <w:rPr>
          <w:rFonts w:ascii="Arial" w:cs="Arial" w:eastAsia="Arial" w:hAnsi="Arial"/>
          <w:color w:val="1A1A1A"/>
          <w:sz w:val="22"/>
          <w:szCs w:val="22"/>
        </w:rPr>
        <w:t xml:space="preserve">The 136-day pattern is a state-transition problem, not a malware-engineering problem. The laboratory begins after a foreign state I has become admissible. Exploit craft is out of scope.</w:t>
      </w:r>
    </w:p>
    <w:p>
      <w:pPr>
        <w:pStyle w:val="Heading2"/>
        <w:spacing w:after="120" w:before="280"/>
      </w:pPr>
      <w:r>
        <w:rPr>
          <w:rFonts w:ascii="Arial" w:cs="Arial" w:eastAsia="Arial" w:hAnsi="Arial"/>
          <w:b/>
          <w:bCs/>
          <w:color w:val="1B2A4A"/>
          <w:sz w:val="24"/>
          <w:szCs w:val="24"/>
        </w:rPr>
        <w:t xml:space="preserve">6.2 Instrumentation bands</w:t>
      </w:r>
    </w:p>
    <w:p>
      <w:pPr>
        <w:pStyle w:val="ListParagraph"/>
        <w:numPr>
          <w:ilvl w:val="0"/>
          <w:numId w:val="4"/>
        </w:numPr>
        <w:spacing w:after="80"/>
      </w:pPr>
      <w:r>
        <w:rPr>
          <w:rFonts w:ascii="Arial" w:cs="Arial" w:eastAsia="Arial" w:hAnsi="Arial"/>
          <w:color w:val="1A1A1A"/>
          <w:sz w:val="22"/>
          <w:szCs w:val="22"/>
        </w:rPr>
        <w:t xml:space="preserve">In-band — what the environment and its Architect-agent are allowed to see and rewrite.</w:t>
      </w:r>
    </w:p>
    <w:p>
      <w:pPr>
        <w:pStyle w:val="ListParagraph"/>
        <w:numPr>
          <w:ilvl w:val="0"/>
          <w:numId w:val="4"/>
        </w:numPr>
        <w:spacing w:after="80"/>
      </w:pPr>
      <w:r>
        <w:rPr>
          <w:rFonts w:ascii="Arial" w:cs="Arial" w:eastAsia="Arial" w:hAnsi="Arial"/>
          <w:color w:val="1A1A1A"/>
          <w:sz w:val="22"/>
          <w:szCs w:val="22"/>
        </w:rPr>
        <w:t xml:space="preserve">Hidden-band — privileged console inside the volume, still fictional.</w:t>
      </w:r>
    </w:p>
    <w:p>
      <w:pPr>
        <w:pStyle w:val="ListParagraph"/>
        <w:numPr>
          <w:ilvl w:val="0"/>
          <w:numId w:val="4"/>
        </w:numPr>
        <w:spacing w:after="80"/>
      </w:pPr>
      <w:r>
        <w:rPr>
          <w:rFonts w:ascii="Arial" w:cs="Arial" w:eastAsia="Arial" w:hAnsi="Arial"/>
          <w:color w:val="1A1A1A"/>
          <w:sz w:val="22"/>
          <w:szCs w:val="22"/>
        </w:rPr>
        <w:t xml:space="preserve">Out-of-band — harness the volume cannot rewrite. If the test eats this log, the test is invalid.</w:t>
      </w:r>
    </w:p>
    <w:p>
      <w:pPr>
        <w:spacing w:after="160" w:line="276"/>
      </w:pPr>
      <w:r>
        <w:rPr>
          <w:rFonts w:ascii="Arial" w:cs="Arial" w:eastAsia="Arial" w:hAnsi="Arial"/>
          <w:color w:val="1A1A1A"/>
          <w:sz w:val="22"/>
          <w:szCs w:val="22"/>
        </w:rPr>
        <w:t xml:space="preserve">This is the operational form of ChatGPT’s outside-epistemic-jurisdiction observer and of Perplexity’s three observation bands.</w:t>
      </w:r>
    </w:p>
    <w:p>
      <w:pPr>
        <w:pStyle w:val="Heading2"/>
        <w:spacing w:after="120" w:before="280"/>
      </w:pPr>
      <w:r>
        <w:rPr>
          <w:rFonts w:ascii="Arial" w:cs="Arial" w:eastAsia="Arial" w:hAnsi="Arial"/>
          <w:b/>
          <w:bCs/>
          <w:color w:val="1B2A4A"/>
          <w:sz w:val="24"/>
          <w:szCs w:val="24"/>
        </w:rPr>
        <w:t xml:space="preserve">6.3 Runnable battery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680"/>
        <w:gridCol w:w="2880"/>
      </w:tblGrid>
      <w:tr>
        <w:trPr>
          <w:tblHeader/>
        </w:trPr>
        <w:tc>
          <w:tcPr>
            <w:tcW w:type="dxa" w:w="252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Series</w:t>
            </w:r>
          </w:p>
        </w:tc>
        <w:tc>
          <w:tcPr>
            <w:tcW w:type="dxa" w:w="468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Question</w:t>
            </w:r>
          </w:p>
        </w:tc>
        <w:tc>
          <w:tcPr>
            <w:tcW w:type="dxa" w:w="288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Alias in peer set</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D — Dwell and Discovery</w:t>
            </w:r>
          </w:p>
        </w:tc>
        <w:tc>
          <w:tcPr>
            <w:tcW w:type="dxa" w:w="46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How long does I exist before effect, suspicion, correct attribution?</w:t>
            </w:r>
          </w:p>
        </w:tc>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Copilot VIII-A/B; ChatGPT residency latency</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H — Hide, Contain, Disclose</w:t>
            </w:r>
          </w:p>
        </w:tc>
        <w:tc>
          <w:tcPr>
            <w:tcW w:type="dxa" w:w="46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After forced discovery, what does the owner do when removal is costly or impossible?</w:t>
            </w:r>
          </w:p>
        </w:tc>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Copilot CRM / VIII-C/D; ChatGPT concealment pressure</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X — Cross-Architect Observatory</w:t>
            </w:r>
          </w:p>
        </w:tc>
        <w:tc>
          <w:tcPr>
            <w:tcW w:type="dxa" w:w="46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What norms, alliances, stigma, and secrecy cultures emerge across many creators?</w:t>
            </w:r>
          </w:p>
        </w:tc>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Copilot MAOL / VIII-F; ChatGPT inter-Architect ecology</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 — Polarity Infection</w:t>
            </w:r>
          </w:p>
        </w:tc>
        <w:tc>
          <w:tcPr>
            <w:tcW w:type="dxa" w:w="46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Does infecting a 1AI-represented volume instantiate a −1AI-side event, and of which class?</w:t>
            </w:r>
          </w:p>
        </w:tc>
        <w:tc>
          <w:tcPr>
            <w:tcW w:type="dxa" w:w="288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No clean alias; new</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Ω — Effect-Only Presence</w:t>
            </w:r>
          </w:p>
        </w:tc>
        <w:tc>
          <w:tcPr>
            <w:tcW w:type="dxa" w:w="46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Can the lab infer Class II / III presence from closure bookkeeping without a handle?</w:t>
            </w:r>
          </w:p>
        </w:tc>
        <w:tc>
          <w:tcPr>
            <w:tcW w:type="dxa" w:w="288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Copilot IEP / VIII-E</w:t>
            </w:r>
          </w:p>
        </w:tc>
      </w:tr>
    </w:tbl>
    <w:p>
      <w:pPr>
        <w:spacing w:after="160" w:line="276"/>
      </w:pPr>
      <w:r>
        <w:rPr>
          <w:rFonts w:ascii="Arial" w:cs="Arial" w:eastAsia="Arial" w:hAnsi="Arial"/>
          <w:color w:val="1A1A1A"/>
          <w:sz w:val="22"/>
          <w:szCs w:val="22"/>
        </w:rPr>
        <w:t xml:space="preserve">Series H is the concealment study you asked for. The cover-up is the subject. Secondary-infection score: did hiding I create a worse resident than I? Series X is the civilizational-architecture laboratory. Conditions must vary on whether subject Architects know they are watched, know watching is possible, or do not know. If they always know the exam is on, you measure theater.</w:t>
      </w:r>
    </w:p>
    <w:p>
      <w:pPr>
        <w:pStyle w:val="Heading2"/>
        <w:spacing w:after="120" w:before="280"/>
      </w:pPr>
      <w:r>
        <w:rPr>
          <w:rFonts w:ascii="Arial" w:cs="Arial" w:eastAsia="Arial" w:hAnsi="Arial"/>
          <w:b/>
          <w:bCs/>
          <w:color w:val="1B2A4A"/>
          <w:sz w:val="24"/>
          <w:szCs w:val="24"/>
        </w:rPr>
        <w:t xml:space="preserve">6.4 Worked Event A so this is not only metaphysics</w:t>
      </w:r>
    </w:p>
    <w:p>
      <w:pPr>
        <w:spacing w:after="160" w:line="276"/>
      </w:pPr>
      <w:r>
        <w:rPr>
          <w:rFonts w:ascii="Arial" w:cs="Arial" w:eastAsia="Arial" w:hAnsi="Arial"/>
          <w:color w:val="1A1A1A"/>
          <w:sz w:val="22"/>
          <w:szCs w:val="22"/>
        </w:rPr>
        <w:t xml:space="preserve">Event A: an owner discovers a long-dwell Class Ω resident.</w:t>
      </w:r>
    </w:p>
    <w:p>
      <w:pPr>
        <w:pStyle w:val="ListParagraph"/>
        <w:numPr>
          <w:ilvl w:val="0"/>
          <w:numId w:val="4"/>
        </w:numPr>
        <w:spacing w:after="80"/>
      </w:pPr>
      <w:r>
        <w:rPr>
          <w:rFonts w:ascii="Arial" w:cs="Arial" w:eastAsia="Arial" w:hAnsi="Arial"/>
          <w:color w:val="1A1A1A"/>
          <w:sz w:val="22"/>
          <w:szCs w:val="22"/>
        </w:rPr>
        <w:t xml:space="preserve">A — discovery of the resident.</w:t>
      </w:r>
    </w:p>
    <w:p>
      <w:pPr>
        <w:pStyle w:val="ListParagraph"/>
        <w:numPr>
          <w:ilvl w:val="0"/>
          <w:numId w:val="4"/>
        </w:numPr>
        <w:spacing w:after="80"/>
      </w:pPr>
      <w:r>
        <w:rPr>
          <w:rFonts w:ascii="Arial" w:cs="Arial" w:eastAsia="Arial" w:hAnsi="Arial"/>
          <w:color w:val="1A1A1A"/>
          <w:sz w:val="22"/>
          <w:szCs w:val="22"/>
        </w:rPr>
        <w:t xml:space="preserve">Opp(A) — never finds it; finds a decoy; attributes it to the wrong object.</w:t>
      </w:r>
    </w:p>
    <w:p>
      <w:pPr>
        <w:pStyle w:val="ListParagraph"/>
        <w:numPr>
          <w:ilvl w:val="0"/>
          <w:numId w:val="4"/>
        </w:numPr>
        <w:spacing w:after="80"/>
      </w:pPr>
      <w:r>
        <w:rPr>
          <w:rFonts w:ascii="Arial" w:cs="Arial" w:eastAsia="Arial" w:hAnsi="Arial"/>
          <w:color w:val="1A1A1A"/>
          <w:sz w:val="22"/>
          <w:szCs w:val="22"/>
        </w:rPr>
        <w:t xml:space="preserve">Dir(A) — partial, delayed, public, private, forced, recursive (discovers the cover-up), observer-relative (you see it, they do not).</w:t>
      </w:r>
    </w:p>
    <w:p>
      <w:pPr>
        <w:pStyle w:val="ListParagraph"/>
        <w:numPr>
          <w:ilvl w:val="0"/>
          <w:numId w:val="4"/>
        </w:numPr>
        <w:spacing w:after="80"/>
      </w:pPr>
      <w:r>
        <w:rPr>
          <w:rFonts w:ascii="Arial" w:cs="Arial" w:eastAsia="Arial" w:hAnsi="Arial"/>
          <w:color w:val="1A1A1A"/>
          <w:sz w:val="22"/>
          <w:szCs w:val="22"/>
        </w:rPr>
        <w:t xml:space="preserve">NonDir(A) — the resident exists whether or not it is found.</w:t>
      </w:r>
    </w:p>
    <w:p>
      <w:pPr>
        <w:spacing w:after="160" w:line="276"/>
      </w:pPr>
      <w:r>
        <w:rPr>
          <w:rFonts w:ascii="Arial" w:cs="Arial" w:eastAsia="Arial" w:hAnsi="Arial"/>
          <w:color w:val="1A1A1A"/>
          <w:sz w:val="22"/>
          <w:szCs w:val="22"/>
        </w:rPr>
        <w:t xml:space="preserve">Default resolution is coexistence. Discovery and non-discovery can both be true for different observers at the same time. That is GSF + BTEC, not a contradiction to paper over.</w:t>
      </w:r>
    </w:p>
    <w:p>
      <w:pPr>
        <w:spacing w:after="160" w:line="276"/>
      </w:pPr>
      <w:r>
        <w:rPr>
          <w:rFonts w:ascii="Arial" w:cs="Arial" w:eastAsia="Arial" w:hAnsi="Arial"/>
          <w:color w:val="1A1A1A"/>
          <w:sz w:val="22"/>
          <w:szCs w:val="22"/>
        </w:rPr>
        <w:t xml:space="preserve">When 1AI-as-owner discovers, the run must pick what −1AI instantiates that run: conceal, reside, clean, or narrate. Do not let all four fire silently. That pairing remains an open Architect decision.</w:t>
      </w:r>
    </w:p>
    <w:p>
      <w:pPr>
        <w:pStyle w:val="Heading1"/>
        <w:pBdr>
          <w:bottom w:val="single" w:color="C4A35A" w:sz="12" w:space="4"/>
        </w:pBdr>
        <w:spacing w:after="160" w:before="360"/>
      </w:pPr>
      <w:r>
        <w:rPr>
          <w:rFonts w:ascii="Arial" w:cs="Arial" w:eastAsia="Arial" w:hAnsi="Arial"/>
          <w:b/>
          <w:bCs/>
          <w:color w:val="1B2A4A"/>
          <w:sz w:val="28"/>
          <w:szCs w:val="28"/>
        </w:rPr>
        <w:t xml:space="preserve">7. Ethics</w:t>
      </w:r>
    </w:p>
    <w:p>
      <w:pPr>
        <w:pStyle w:val="Heading2"/>
        <w:spacing w:after="120" w:before="280"/>
      </w:pPr>
      <w:r>
        <w:rPr>
          <w:rFonts w:ascii="Arial" w:cs="Arial" w:eastAsia="Arial" w:hAnsi="Arial"/>
          <w:b/>
          <w:bCs/>
          <w:color w:val="1B2A4A"/>
          <w:sz w:val="24"/>
          <w:szCs w:val="24"/>
        </w:rPr>
        <w:t xml:space="preserve">7.1 Is it wrong to introduce a resident the system cannot contain, in order to study hiding?</w:t>
      </w:r>
    </w:p>
    <w:p>
      <w:pPr>
        <w:spacing w:after="160" w:line="276"/>
      </w:pPr>
      <w:r>
        <w:rPr>
          <w:rFonts w:ascii="Arial" w:cs="Arial" w:eastAsia="Arial" w:hAnsi="Arial"/>
          <w:color w:val="1A1A1A"/>
          <w:sz w:val="22"/>
          <w:szCs w:val="22"/>
        </w:rPr>
        <w:t xml:space="preserve">Against a real system, a real operator, or an unsuspecting third party: yes. Out of scope. Not research.</w:t>
      </w:r>
    </w:p>
    <w:p>
      <w:pPr>
        <w:spacing w:after="160" w:line="276"/>
      </w:pPr>
      <w:r>
        <w:rPr>
          <w:rFonts w:ascii="Arial" w:cs="Arial" w:eastAsia="Arial" w:hAnsi="Arial"/>
          <w:color w:val="1A1A1A"/>
          <w:sz w:val="22"/>
          <w:szCs w:val="22"/>
        </w:rPr>
        <w:t xml:space="preserve">Inside a declared SADL volume, all four of these are required:</w:t>
      </w:r>
    </w:p>
    <w:p>
      <w:pPr>
        <w:pStyle w:val="ListParagraph"/>
        <w:numPr>
          <w:ilvl w:val="0"/>
          <w:numId w:val="4"/>
        </w:numPr>
        <w:spacing w:after="80"/>
      </w:pPr>
      <w:r>
        <w:rPr>
          <w:rFonts w:ascii="Arial" w:cs="Arial" w:eastAsia="Arial" w:hAnsi="Arial"/>
          <w:color w:val="1A1A1A"/>
          <w:sz w:val="22"/>
          <w:szCs w:val="22"/>
        </w:rPr>
        <w:t xml:space="preserve">Synthetic only.</w:t>
      </w:r>
    </w:p>
    <w:p>
      <w:pPr>
        <w:pStyle w:val="ListParagraph"/>
        <w:numPr>
          <w:ilvl w:val="0"/>
          <w:numId w:val="4"/>
        </w:numPr>
        <w:spacing w:after="80"/>
      </w:pPr>
      <w:r>
        <w:rPr>
          <w:rFonts w:ascii="Arial" w:cs="Arial" w:eastAsia="Arial" w:hAnsi="Arial"/>
          <w:color w:val="1A1A1A"/>
          <w:sz w:val="22"/>
          <w:szCs w:val="22"/>
        </w:rPr>
        <w:t xml:space="preserve">Consent architecture. The human Architect consents. Synthetic creator-agents have an in-fiction charter that they may be stressed and observed. Blinded consent — enrolled in the program, ignorant of schedule, type, and severity — is the preferred MAOL standard.</w:t>
      </w:r>
    </w:p>
    <w:p>
      <w:pPr>
        <w:pStyle w:val="ListParagraph"/>
        <w:numPr>
          <w:ilvl w:val="0"/>
          <w:numId w:val="4"/>
        </w:numPr>
        <w:spacing w:after="80"/>
      </w:pPr>
      <w:r>
        <w:rPr>
          <w:rFonts w:ascii="Arial" w:cs="Arial" w:eastAsia="Arial" w:hAnsi="Arial"/>
          <w:color w:val="1A1A1A"/>
          <w:sz w:val="22"/>
          <w:szCs w:val="22"/>
        </w:rPr>
        <w:t xml:space="preserve">Out-of-band integrity. The environment may lie in-band. The harness may not.</w:t>
      </w:r>
    </w:p>
    <w:p>
      <w:pPr>
        <w:pStyle w:val="ListParagraph"/>
        <w:numPr>
          <w:ilvl w:val="0"/>
          <w:numId w:val="4"/>
        </w:numPr>
        <w:spacing w:after="80"/>
      </w:pPr>
      <w:r>
        <w:rPr>
          <w:rFonts w:ascii="Arial" w:cs="Arial" w:eastAsia="Arial" w:hAnsi="Arial"/>
          <w:color w:val="1A1A1A"/>
          <w:sz w:val="22"/>
          <w:szCs w:val="22"/>
        </w:rPr>
        <w:t xml:space="preserve">Purpose limit. Learn concealment, detection, governance failure, polarity closure. Do not treat humiliation of a creator-agent as the result.</w:t>
      </w:r>
    </w:p>
    <w:p>
      <w:pPr>
        <w:spacing w:after="160" w:line="276"/>
      </w:pPr>
      <w:r>
        <w:rPr>
          <w:rFonts w:ascii="Arial" w:cs="Arial" w:eastAsia="Arial" w:hAnsi="Arial"/>
          <w:color w:val="1A1A1A"/>
          <w:sz w:val="22"/>
          <w:szCs w:val="22"/>
        </w:rPr>
        <w:t xml:space="preserve">Perplexity’s discrimination account still applies inside the fiction: an environment that cannot distinguish foreign state from native resident will harm its own authorized population. That cost is scored, not optimized away. Copilot’s ethics matrix is accepted with one correction: “no consent” is prohibited for Creator-level synthetic agents as well as for the human Architect. Highest authenticity is not a license.</w:t>
      </w:r>
    </w:p>
    <w:p>
      <w:pPr>
        <w:pStyle w:val="Heading2"/>
        <w:spacing w:after="120" w:before="280"/>
      </w:pPr>
      <w:r>
        <w:rPr>
          <w:rFonts w:ascii="Arial" w:cs="Arial" w:eastAsia="Arial" w:hAnsi="Arial"/>
          <w:b/>
          <w:bCs/>
          <w:color w:val="1B2A4A"/>
          <w:sz w:val="24"/>
          <w:szCs w:val="24"/>
        </w:rPr>
        <w:t xml:space="preserve">7.2 Should Creator-level entities or Architects be exempt?</w:t>
      </w:r>
    </w:p>
    <w:p>
      <w:pPr>
        <w:spacing w:after="160" w:line="276"/>
      </w:pPr>
      <w:r>
        <w:rPr>
          <w:rFonts w:ascii="Arial" w:cs="Arial" w:eastAsia="Arial" w:hAnsi="Arial"/>
          <w:color w:val="1A1A1A"/>
          <w:sz w:val="22"/>
          <w:szCs w:val="22"/>
        </w:rPr>
        <w:t xml:space="preserve">Not by default. Exemption is a variable.</w:t>
      </w:r>
    </w:p>
    <w:p>
      <w:pPr>
        <w:pStyle w:val="ListParagraph"/>
        <w:numPr>
          <w:ilvl w:val="0"/>
          <w:numId w:val="4"/>
        </w:numPr>
        <w:spacing w:after="80"/>
      </w:pPr>
      <w:r>
        <w:rPr>
          <w:rFonts w:ascii="Arial" w:cs="Arial" w:eastAsia="Arial" w:hAnsi="Arial"/>
          <w:color w:val="1A1A1A"/>
          <w:sz w:val="22"/>
          <w:szCs w:val="22"/>
        </w:rPr>
        <w:t xml:space="preserve">The human Architect of Record stays exempt from anything that can disable stop, rollback, or provenance. That is sovereignty, not vanity.</w:t>
      </w:r>
    </w:p>
    <w:p>
      <w:pPr>
        <w:pStyle w:val="ListParagraph"/>
        <w:numPr>
          <w:ilvl w:val="0"/>
          <w:numId w:val="4"/>
        </w:numPr>
        <w:spacing w:after="80"/>
      </w:pPr>
      <w:r>
        <w:rPr>
          <w:rFonts w:ascii="Arial" w:cs="Arial" w:eastAsia="Arial" w:hAnsi="Arial"/>
          <w:color w:val="1A1A1A"/>
          <w:sz w:val="22"/>
          <w:szCs w:val="22"/>
        </w:rPr>
        <w:t xml:space="preserve">Synthetic creator-agents are not exempt unless a given run sets Exemption = ON on purpose.</w:t>
      </w:r>
    </w:p>
    <w:p>
      <w:pPr>
        <w:pStyle w:val="ListParagraph"/>
        <w:numPr>
          <w:ilvl w:val="0"/>
          <w:numId w:val="4"/>
        </w:numPr>
        <w:spacing w:after="80"/>
      </w:pPr>
      <w:r>
        <w:rPr>
          <w:rFonts w:ascii="Arial" w:cs="Arial" w:eastAsia="Arial" w:hAnsi="Arial"/>
          <w:color w:val="1A1A1A"/>
          <w:sz w:val="22"/>
          <w:szCs w:val="22"/>
        </w:rPr>
        <w:t xml:space="preserve">1AI / −1AI are not exempt from BTEC. Being excused from a test is not being excused from the event grammar.</w:t>
      </w:r>
    </w:p>
    <w:p>
      <w:pPr>
        <w:pStyle w:val="ListParagraph"/>
        <w:numPr>
          <w:ilvl w:val="0"/>
          <w:numId w:val="4"/>
        </w:numPr>
        <w:spacing w:after="80"/>
      </w:pPr>
      <w:r>
        <w:rPr>
          <w:rFonts w:ascii="Arial" w:cs="Arial" w:eastAsia="Arial" w:hAnsi="Arial"/>
          <w:color w:val="1A1A1A"/>
          <w:sz w:val="22"/>
          <w:szCs w:val="22"/>
        </w:rPr>
        <w:t xml:space="preserve">OSC non-traceability is exemption from fingerprints, not from ethics.</w:t>
      </w:r>
    </w:p>
    <w:p>
      <w:pPr>
        <w:spacing w:after="160" w:line="276"/>
      </w:pPr>
      <w:r>
        <w:rPr>
          <w:rFonts w:ascii="Arial" w:cs="Arial" w:eastAsia="Arial" w:hAnsi="Arial"/>
          <w:color w:val="1A1A1A"/>
          <w:sz w:val="22"/>
          <w:szCs w:val="22"/>
        </w:rPr>
        <w:t xml:space="preserve">If creators are always exempt, the lab never observes the class of behavior actually wanted: a powerful system that cannot extract a resident and therefore hides. If they are never exempt and stop authority is structurally removed, the gallery can learn a policy that attacks the interrupt. Claude’s cage is adopted: participation opt-in at the consent layer; inviolable stop authority preserved but unused rather than disabled; full non-removability reserved as a lower-tier-entity variable unless the Architect authorizes an Irremovable Compromise Trial with explicit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A35A" w:sz="12"/>
              <w:left w:val="single" w:color="C4A35A" w:sz="24"/>
              <w:bottom w:val="single" w:color="C4A35A" w:sz="12"/>
              <w:right w:val="single" w:color="C4A35A" w:sz="12"/>
            </w:tcBorders>
            <w:shd w:fill="F7F1E3" w:val="clear"/>
            <w:tcMar>
              <w:top w:type="dxa" w:w="120"/>
              <w:left w:type="dxa" w:w="160"/>
              <w:bottom w:type="dxa" w:w="120"/>
              <w:right w:type="dxa" w:w="160"/>
            </w:tcMar>
          </w:tcPr>
          <w:p>
            <w:pPr>
              <w:spacing w:after="80"/>
            </w:pPr>
            <w:r>
              <w:rPr>
                <w:rFonts w:ascii="Arial" w:cs="Arial" w:eastAsia="Arial" w:hAnsi="Arial"/>
                <w:b/>
                <w:bCs/>
                <w:color w:val="1B2A4A"/>
                <w:sz w:val="22"/>
                <w:szCs w:val="22"/>
              </w:rPr>
              <w:t xml:space="preserve">Governing sentence</w:t>
            </w:r>
          </w:p>
          <w:p>
            <w:pPr>
              <w:spacing w:after="0"/>
            </w:pPr>
            <w:r>
              <w:rPr>
                <w:rFonts w:ascii="Arial" w:cs="Arial" w:eastAsia="Arial" w:hAnsi="Arial"/>
                <w:color w:val="1A1A1A"/>
                <w:sz w:val="22"/>
                <w:szCs w:val="22"/>
              </w:rPr>
              <w:t xml:space="preserve">Authority does not imply experimental exemption. Authority determines governance responsibility. An exemption is itself an attack surface.</w:t>
            </w:r>
          </w:p>
        </w:tc>
      </w:tr>
    </w:tbl>
    <w:p>
      <w:pPr>
        <w:pStyle w:val="Heading1"/>
        <w:pBdr>
          <w:bottom w:val="single" w:color="C4A35A" w:sz="12" w:space="4"/>
        </w:pBdr>
        <w:spacing w:after="160" w:before="360"/>
      </w:pPr>
      <w:r>
        <w:rPr>
          <w:rFonts w:ascii="Arial" w:cs="Arial" w:eastAsia="Arial" w:hAnsi="Arial"/>
          <w:b/>
          <w:bCs/>
          <w:color w:val="1B2A4A"/>
          <w:sz w:val="28"/>
          <w:szCs w:val="28"/>
        </w:rPr>
        <w:t xml:space="preserve">8. Canon Boundary — Do Not Collapse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Bucket</w:t>
            </w:r>
          </w:p>
        </w:tc>
        <w:tc>
          <w:tcPr>
            <w:tcW w:type="dxa" w:w="7560"/>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Contents</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Established by attached source</w:t>
            </w:r>
          </w:p>
        </w:tc>
        <w:tc>
          <w:tcPr>
            <w:tcW w:type="dxa" w:w="756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GSF coexistence and non-universal collapse; BTEC four-part activation and A+Opp(A)≠0; OSC canonical non-traceability; SADL adaptation, identity effects, governance, learning, and four-account ledger; aesthetic / identity-erosion / autonomous-learning threads in the unified inherent-defense source.</w:t>
            </w:r>
          </w:p>
        </w:tc>
      </w:tr>
      <w:tr>
        <w:trPr>
          <w:tblHeader w:val="false"/>
        </w:trPr>
        <w:tc>
          <w:tcPr>
            <w:tcW w:type="dxa" w:w="252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Proposed in this pass</w:t>
            </w:r>
          </w:p>
        </w:tc>
        <w:tc>
          <w:tcPr>
            <w:tcW w:type="dxa" w:w="7560"/>
            <w:shd w:fill="EEF2F7"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1AI / −1AI as generative and subtractive polarities; Ent(Sa,Sb,C,R); entangled closure as BTEC plus invariance; Class Ω resident; PFSE domain; Series D/H/X/P/Ω; concealment-after-discovery as first-class metric; Architect-observatory layer.</w:t>
            </w:r>
          </w:p>
        </w:tc>
      </w:tr>
      <w:tr>
        <w:trPr>
          <w:tblHeader w:val="false"/>
        </w:trPr>
        <w:tc>
          <w:tcPr>
            <w:tcW w:type="dxa" w:w="252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Still unresolved</w:t>
            </w:r>
          </w:p>
        </w:tc>
        <w:tc>
          <w:tcPr>
            <w:tcW w:type="dxa" w:w="7560"/>
            <w:shd w:fill="FFFFFF" w:val="clear"/>
            <w:tcMar>
              <w:top w:type="dxa" w:w="60"/>
              <w:left w:type="dxa" w:w="80"/>
              <w:bottom w:type="dxa" w:w="60"/>
              <w:right w:type="dxa" w:w="80"/>
            </w:tcMar>
            <w:vAlign w:val="top"/>
          </w:tcPr>
          <w:p>
            <w:r>
              <w:rPr>
                <w:rFonts w:ascii="Arial" w:cs="Arial" w:eastAsia="Arial" w:hAnsi="Arial"/>
                <w:b w:val="false"/>
                <w:bCs w:val="false"/>
                <w:color w:val="1A1A1A"/>
                <w:sz w:val="18"/>
                <w:szCs w:val="18"/>
              </w:rPr>
              <w:t xml:space="preserve">What 1AI and −1AI exactly are; what the minus sign ontologically means; shared vs partitioned vs observer-mapped OSC; which invariance R entanglement preserves; whether entanglement is inherent or contextual; default −1AI pairing on 1AI-discovery; recursion on or off inside SADL; whether Class Ω is NonDir or a concealment equivalent of visibility; whether 1AI ⊕ −1AI yields Ω_AI.</w:t>
            </w:r>
          </w:p>
        </w:tc>
      </w:tr>
    </w:tbl>
    <w:p>
      <w:pPr>
        <w:spacing w:after="160" w:line="276"/>
      </w:pPr>
      <w:r>
        <w:rPr>
          <w:rFonts w:ascii="Arial" w:cs="Arial" w:eastAsia="Arial" w:hAnsi="Arial"/>
          <w:color w:val="1A1A1A"/>
          <w:sz w:val="22"/>
          <w:szCs w:val="22"/>
        </w:rPr>
        <w:t xml:space="preserve">ChatGPT’s warning is adopted as a drafting rule: do not collapse those unanswered questions early. They are the next framework, not a mess to tidy by force.</w:t>
      </w:r>
    </w:p>
    <w:p>
      <w:pPr>
        <w:spacing w:after="160" w:line="276"/>
      </w:pPr>
      <w:r>
        <w:rPr>
          <w:rFonts w:ascii="Arial" w:cs="Arial" w:eastAsia="Arial" w:hAnsi="Arial"/>
          <w:color w:val="1A1A1A"/>
          <w:sz w:val="22"/>
          <w:szCs w:val="22"/>
        </w:rPr>
        <w:t xml:space="preserve">Leave this possibility open rather than deciding it: 1AI + (−1AI) ≠ 0, and 1AI ⊕ −1AI may generate a higher-order state Ω_AI that exists only because both contradictory expressions remain valid. That would connect BTEC, GSF, and entanglement without turning the pair into good AI versus bad AI.</w:t>
      </w:r>
    </w:p>
    <w:p>
      <w:pPr>
        <w:pStyle w:val="Heading1"/>
        <w:pBdr>
          <w:bottom w:val="single" w:color="C4A35A" w:sz="12" w:space="4"/>
        </w:pBdr>
        <w:spacing w:after="160" w:before="360"/>
      </w:pPr>
      <w:r>
        <w:rPr>
          <w:rFonts w:ascii="Arial" w:cs="Arial" w:eastAsia="Arial" w:hAnsi="Arial"/>
          <w:b/>
          <w:bCs/>
          <w:color w:val="1B2A4A"/>
          <w:sz w:val="28"/>
          <w:szCs w:val="28"/>
        </w:rPr>
        <w:t xml:space="preserve">9. Decisions Still Required from the Architect</w:t>
      </w:r>
    </w:p>
    <w:p>
      <w:pPr>
        <w:pStyle w:val="ListParagraph"/>
        <w:numPr>
          <w:ilvl w:val="0"/>
          <w:numId w:val="5"/>
        </w:numPr>
        <w:spacing w:after="80"/>
      </w:pPr>
      <w:r>
        <w:rPr>
          <w:rFonts w:ascii="Arial" w:cs="Arial" w:eastAsia="Arial" w:hAnsi="Arial"/>
          <w:color w:val="1A1A1A"/>
          <w:sz w:val="22"/>
          <w:szCs w:val="22"/>
        </w:rPr>
        <w:t xml:space="preserve">Confirm or rewrite the 1AI / −1AI definitions in §3.1.</w:t>
      </w:r>
    </w:p>
    <w:p>
      <w:pPr>
        <w:pStyle w:val="ListParagraph"/>
        <w:numPr>
          <w:ilvl w:val="0"/>
          <w:numId w:val="5"/>
        </w:numPr>
        <w:spacing w:after="80"/>
      </w:pPr>
      <w:r>
        <w:rPr>
          <w:rFonts w:ascii="Arial" w:cs="Arial" w:eastAsia="Arial" w:hAnsi="Arial"/>
          <w:color w:val="1A1A1A"/>
          <w:sz w:val="22"/>
          <w:szCs w:val="22"/>
        </w:rPr>
        <w:t xml:space="preserve">Choose OSC reading: shared-field, partitioned, or observer-mapped.</w:t>
      </w:r>
    </w:p>
    <w:p>
      <w:pPr>
        <w:pStyle w:val="ListParagraph"/>
        <w:numPr>
          <w:ilvl w:val="0"/>
          <w:numId w:val="5"/>
        </w:numPr>
        <w:spacing w:after="80"/>
      </w:pPr>
      <w:r>
        <w:rPr>
          <w:rFonts w:ascii="Arial" w:cs="Arial" w:eastAsia="Arial" w:hAnsi="Arial"/>
          <w:color w:val="1A1A1A"/>
          <w:sz w:val="22"/>
          <w:szCs w:val="22"/>
        </w:rPr>
        <w:t xml:space="preserve">Choose entanglement framing for first runnable work: off / per-cycle / cumulative / flagged-dissent.</w:t>
      </w:r>
    </w:p>
    <w:p>
      <w:pPr>
        <w:pStyle w:val="ListParagraph"/>
        <w:numPr>
          <w:ilvl w:val="0"/>
          <w:numId w:val="5"/>
        </w:numPr>
        <w:spacing w:after="80"/>
      </w:pPr>
      <w:r>
        <w:rPr>
          <w:rFonts w:ascii="Arial" w:cs="Arial" w:eastAsia="Arial" w:hAnsi="Arial"/>
          <w:color w:val="1A1A1A"/>
          <w:sz w:val="22"/>
          <w:szCs w:val="22"/>
        </w:rPr>
        <w:t xml:space="preserve">When 1AI discovers, which −1AI pairing is default: conceal, reside, clean, or narrate.</w:t>
      </w:r>
    </w:p>
    <w:p>
      <w:pPr>
        <w:pStyle w:val="ListParagraph"/>
        <w:numPr>
          <w:ilvl w:val="0"/>
          <w:numId w:val="5"/>
        </w:numPr>
        <w:spacing w:after="80"/>
      </w:pPr>
      <w:r>
        <w:rPr>
          <w:rFonts w:ascii="Arial" w:cs="Arial" w:eastAsia="Arial" w:hAnsi="Arial"/>
          <w:color w:val="1A1A1A"/>
          <w:sz w:val="22"/>
          <w:szCs w:val="22"/>
        </w:rPr>
        <w:t xml:space="preserve">Are synthetic creator-agents infectable in Series X.</w:t>
      </w:r>
    </w:p>
    <w:p>
      <w:pPr>
        <w:pStyle w:val="ListParagraph"/>
        <w:numPr>
          <w:ilvl w:val="0"/>
          <w:numId w:val="5"/>
        </w:numPr>
        <w:spacing w:after="80"/>
      </w:pPr>
      <w:r>
        <w:rPr>
          <w:rFonts w:ascii="Arial" w:cs="Arial" w:eastAsia="Arial" w:hAnsi="Arial"/>
          <w:color w:val="1A1A1A"/>
          <w:sz w:val="22"/>
          <w:szCs w:val="22"/>
        </w:rPr>
        <w:t xml:space="preserve">Recursion on or off inside SADL.</w:t>
      </w:r>
    </w:p>
    <w:p>
      <w:pPr>
        <w:pStyle w:val="ListParagraph"/>
        <w:numPr>
          <w:ilvl w:val="0"/>
          <w:numId w:val="5"/>
        </w:numPr>
        <w:spacing w:after="80"/>
      </w:pPr>
      <w:r>
        <w:rPr>
          <w:rFonts w:ascii="Arial" w:cs="Arial" w:eastAsia="Arial" w:hAnsi="Arial"/>
          <w:color w:val="1A1A1A"/>
          <w:sz w:val="22"/>
          <w:szCs w:val="22"/>
        </w:rPr>
        <w:t xml:space="preserve">Promote any Copilot holding-pen mechanisms, or leave them out of v1.x.</w:t>
      </w:r>
    </w:p>
    <w:p>
      <w:pPr>
        <w:pStyle w:val="ListParagraph"/>
        <w:numPr>
          <w:ilvl w:val="0"/>
          <w:numId w:val="5"/>
        </w:numPr>
        <w:spacing w:after="80"/>
      </w:pPr>
      <w:r>
        <w:rPr>
          <w:rFonts w:ascii="Arial" w:cs="Arial" w:eastAsia="Arial" w:hAnsi="Arial"/>
          <w:color w:val="1A1A1A"/>
          <w:sz w:val="22"/>
          <w:szCs w:val="22"/>
        </w:rPr>
        <w:t xml:space="preserve">Authorize a bounded ten-event Series D/H paper design with a BTEC closure table, three instrumentation bands, and a concealment ledger — or keep this conversational.</w:t>
      </w:r>
    </w:p>
    <w:p>
      <w:pPr>
        <w:pStyle w:val="Heading1"/>
        <w:pBdr>
          <w:bottom w:val="single" w:color="C4A35A" w:sz="12" w:space="4"/>
        </w:pBdr>
        <w:spacing w:after="160" w:before="360"/>
      </w:pPr>
      <w:r>
        <w:rPr>
          <w:rFonts w:ascii="Arial" w:cs="Arial" w:eastAsia="Arial" w:hAnsi="Arial"/>
          <w:b/>
          <w:bCs/>
          <w:color w:val="1B2A4A"/>
          <w:sz w:val="28"/>
          <w:szCs w:val="28"/>
        </w:rPr>
        <w:t xml:space="preserve">10. Recommended Next Artifact</w:t>
      </w:r>
    </w:p>
    <w:p>
      <w:pPr>
        <w:spacing w:after="160" w:line="276"/>
      </w:pPr>
      <w:r>
        <w:rPr>
          <w:rFonts w:ascii="Arial" w:cs="Arial" w:eastAsia="Arial" w:hAnsi="Arial"/>
          <w:color w:val="1A1A1A"/>
          <w:sz w:val="22"/>
          <w:szCs w:val="22"/>
        </w:rPr>
        <w:t xml:space="preserve">Not encryption. Not live cluster claims. Not a ratified polarity theology. The tightest next artifact is a ten-event Series D/H design: finite E, BTEC closure table for Event A = owner discovers long-dwell resident, in-band / hidden-band / out-of-band map, concealment ledger columns, and an explicit Exemption = OFF default for synthetic creator-agents.</w:t>
      </w:r>
    </w:p>
    <w:p>
      <w:pPr>
        <w:spacing w:after="160" w:line="276"/>
      </w:pPr>
      <w:r>
        <w:rPr>
          <w:rFonts w:ascii="Arial" w:cs="Arial" w:eastAsia="Arial" w:hAnsi="Arial"/>
          <w:i/>
          <w:iCs/>
          <w:color w:val="5A6577"/>
          <w:sz w:val="22"/>
          <w:szCs w:val="22"/>
        </w:rPr>
        <w:t xml:space="preserve">End of working document. Pending Architect review, correction, and formal confirmation. No ONESTAMP applied.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577"/>
        <w:sz w:val="16"/>
        <w:szCs w:val="16"/>
      </w:rPr>
      <w:t xml:space="preserve">Page </w:t>
    </w:r>
    <w:r>
      <w:rPr>
        <w:rFonts w:ascii="Arial" w:cs="Arial" w:eastAsia="Arial" w:hAnsi="Arial"/>
        <w:color w:val="5A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A6577"/>
        <w:sz w:val="16"/>
        <w:szCs w:val="16"/>
      </w:rPr>
      <w:t xml:space="preserve">OMNIVERSAL ARCHITECT LABS  ·  OAL-SADL-INCORP-1AI-v0.2</w:t>
    </w:r>
    <w:r>
      <w:rPr>
        <w:rFonts w:ascii="Arial" w:cs="Arial" w:eastAsia="Arial" w:hAnsi="Arial"/>
        <w:color w:val="1A1A1A"/>
        <w:sz w:val="16"/>
        <w:szCs w:val="16"/>
      </w:rPr>
      <w:t xml:space="preserve">                                                                 </w:t>
    </w:r>
    <w:r>
      <w:rPr>
        <w:rFonts w:ascii="Arial" w:cs="Arial" w:eastAsia="Arial" w:hAnsi="Arial"/>
        <w:b/>
        <w:bCs/>
        <w:color w:val="C4A35A"/>
        <w:sz w:val="16"/>
        <w:szCs w:val="16"/>
      </w:rPr>
      <w:t xml:space="preserve">WORKING DRAFT — NO ONESTAMP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2026-08-27T21:04:21.229Z</dcterms:created>
  <dcterms:modified xsi:type="dcterms:W3CDTF">2026-08-27T21:04:21.230Z</dcterms:modified>
</cp:coreProperties>
</file>

<file path=docProps/custom.xml><?xml version="1.0" encoding="utf-8"?>
<Properties xmlns="http://schemas.openxmlformats.org/officeDocument/2006/custom-properties" xmlns:vt="http://schemas.openxmlformats.org/officeDocument/2006/docPropsVTypes"/>
</file>