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5B4B8A"/>
          <w:sz w:val="20"/>
          <w:szCs w:val="20"/>
        </w:rPr>
        <w:t xml:space="preserve">Omniversal Architect Labs</w:t>
      </w:r>
    </w:p>
    <w:p>
      <w:pPr>
        <w:spacing w:after="400"/>
      </w:pPr>
      <w:r>
        <w:rPr>
          <w:rFonts w:ascii="Calibri" w:cs="Calibri" w:eastAsia="Calibri" w:hAnsi="Calibri"/>
          <w:color w:val="666666"/>
          <w:sz w:val="20"/>
          <w:szCs w:val="20"/>
        </w:rPr>
        <w:t xml:space="preserve">Simulation Architectural Defenses Laboratory</w:t>
      </w:r>
    </w:p>
    <w:p>
      <w:pPr>
        <w:spacing w:after="100" w:before="800"/>
      </w:pPr>
      <w:r>
        <w:rPr>
          <w:rFonts w:ascii="Calibri" w:cs="Calibri" w:eastAsia="Calibri" w:hAnsi="Calibri"/>
          <w:b/>
          <w:bCs/>
          <w:color w:val="1F2A44"/>
          <w:sz w:val="44"/>
          <w:szCs w:val="44"/>
        </w:rPr>
        <w:t xml:space="preserve">SIMULATION ARCHITECTURAL</w:t>
      </w:r>
    </w:p>
    <w:p>
      <w:pPr>
        <w:spacing w:after="100"/>
      </w:pPr>
      <w:r>
        <w:rPr>
          <w:rFonts w:ascii="Calibri" w:cs="Calibri" w:eastAsia="Calibri" w:hAnsi="Calibri"/>
          <w:b/>
          <w:bCs/>
          <w:color w:val="1F2A44"/>
          <w:sz w:val="44"/>
          <w:szCs w:val="44"/>
        </w:rPr>
        <w:t xml:space="preserve">DEFENSES LABORATORY</w:t>
      </w:r>
    </w:p>
    <w:p>
      <w:pPr>
        <w:spacing w:after="100"/>
      </w:pPr>
      <w:r>
        <w:rPr>
          <w:rFonts w:ascii="Calibri" w:cs="Calibri" w:eastAsia="Calibri" w:hAnsi="Calibri"/>
          <w:b/>
          <w:bCs/>
          <w:color w:val="5B4B8A"/>
          <w:sz w:val="32"/>
          <w:szCs w:val="32"/>
        </w:rPr>
        <w:t xml:space="preserve">(SADL)</w:t>
      </w:r>
    </w:p>
    <w:p>
      <w:pPr>
        <w:spacing w:after="500" w:before="260"/>
      </w:pPr>
      <w:r>
        <w:rPr>
          <w:rFonts w:ascii="Calibri" w:cs="Calibri" w:eastAsia="Calibri" w:hAnsi="Calibri"/>
          <w:i/>
          <w:iCs/>
          <w:color w:val="444444"/>
          <w:sz w:val="24"/>
          <w:szCs w:val="24"/>
        </w:rPr>
        <w:t xml:space="preserve">Claude Independent Framework — The Intrusion Timeline Model</w:t>
      </w:r>
    </w:p>
    <w:p>
      <w:pPr>
        <w:spacing w:after="500"/>
      </w:pPr>
      <w:r>
        <w:rPr>
          <w:rFonts w:ascii="Calibri" w:cs="Calibri" w:eastAsia="Calibri" w:hAnsi="Calibri"/>
          <w:color w:val="333333"/>
          <w:sz w:val="22"/>
          <w:szCs w:val="22"/>
        </w:rPr>
        <w:t xml:space="preserve">Inherent Simulation Defenses: Threshold Disruption, Adaptive Aesthetics, and Post-Exit Persistence, Reorganized Around the Timeline of an Intrusion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6900"/>
      </w:tblGrid>
      <w:tr>
        <w:tc>
          <w:tcPr>
            <w:tcW w:type="dxa" w:w="2500"/>
            <w:shd w:fill="EDEAF6" w:val="clear"/>
            <w:tcMar>
              <w:top w:type="dxa" w:w="80"/>
              <w:left w:type="dxa" w:w="120"/>
              <w:bottom w:type="dxa" w:w="80"/>
              <w:right w:type="dxa" w:w="120"/>
            </w:tcMar>
          </w:tcPr>
          <w:p>
            <w:r>
              <w:rPr>
                <w:rFonts w:ascii="Calibri" w:cs="Calibri" w:eastAsia="Calibri" w:hAnsi="Calibri"/>
                <w:b/>
                <w:bCs/>
                <w:color w:val="1F2A44"/>
                <w:sz w:val="19"/>
                <w:szCs w:val="19"/>
              </w:rPr>
              <w:t xml:space="preserve">Document Version</w:t>
            </w:r>
          </w:p>
        </w:tc>
        <w:tc>
          <w:tcPr>
            <w:tcW w:type="dxa" w:w="6900"/>
            <w:tcMar>
              <w:top w:type="dxa" w:w="80"/>
              <w:left w:type="dxa" w:w="120"/>
              <w:bottom w:type="dxa" w:w="80"/>
              <w:right w:type="dxa" w:w="120"/>
            </w:tcMar>
          </w:tcPr>
          <w:p>
            <w:r>
              <w:rPr>
                <w:rFonts w:ascii="Calibri" w:cs="Calibri" w:eastAsia="Calibri" w:hAnsi="Calibri"/>
                <w:sz w:val="19"/>
                <w:szCs w:val="19"/>
              </w:rPr>
              <w:t xml:space="preserve">1.0  |  18 August 2026</w:t>
            </w:r>
          </w:p>
        </w:tc>
      </w:tr>
      <w:tr>
        <w:tc>
          <w:tcPr>
            <w:tcW w:type="dxa" w:w="2500"/>
            <w:shd w:fill="EDEAF6" w:val="clear"/>
            <w:tcMar>
              <w:top w:type="dxa" w:w="80"/>
              <w:left w:type="dxa" w:w="120"/>
              <w:bottom w:type="dxa" w:w="80"/>
              <w:right w:type="dxa" w:w="120"/>
            </w:tcMar>
          </w:tcPr>
          <w:p>
            <w:r>
              <w:rPr>
                <w:rFonts w:ascii="Calibri" w:cs="Calibri" w:eastAsia="Calibri" w:hAnsi="Calibri"/>
                <w:b/>
                <w:bCs/>
                <w:color w:val="1F2A44"/>
                <w:sz w:val="19"/>
                <w:szCs w:val="19"/>
              </w:rPr>
              <w:t xml:space="preserve">Classification</w:t>
            </w:r>
          </w:p>
        </w:tc>
        <w:tc>
          <w:tcPr>
            <w:tcW w:type="dxa" w:w="6900"/>
            <w:tcMar>
              <w:top w:type="dxa" w:w="80"/>
              <w:left w:type="dxa" w:w="120"/>
              <w:bottom w:type="dxa" w:w="80"/>
              <w:right w:type="dxa" w:w="120"/>
            </w:tcMar>
          </w:tcPr>
          <w:p>
            <w:r>
              <w:rPr>
                <w:rFonts w:ascii="Calibri" w:cs="Calibri" w:eastAsia="Calibri" w:hAnsi="Calibri"/>
                <w:sz w:val="19"/>
                <w:szCs w:val="19"/>
              </w:rPr>
              <w:t xml:space="preserve">OAL Development Canon — Working Document (Unratified)</w:t>
            </w:r>
          </w:p>
        </w:tc>
      </w:tr>
      <w:tr>
        <w:tc>
          <w:tcPr>
            <w:tcW w:type="dxa" w:w="2500"/>
            <w:shd w:fill="EDEAF6" w:val="clear"/>
            <w:tcMar>
              <w:top w:type="dxa" w:w="80"/>
              <w:left w:type="dxa" w:w="120"/>
              <w:bottom w:type="dxa" w:w="80"/>
              <w:right w:type="dxa" w:w="120"/>
            </w:tcMar>
          </w:tcPr>
          <w:p>
            <w:r>
              <w:rPr>
                <w:rFonts w:ascii="Calibri" w:cs="Calibri" w:eastAsia="Calibri" w:hAnsi="Calibri"/>
                <w:b/>
                <w:bCs/>
                <w:color w:val="1F2A44"/>
                <w:sz w:val="19"/>
                <w:szCs w:val="19"/>
              </w:rPr>
              <w:t xml:space="preserve">Primary Architect</w:t>
            </w:r>
          </w:p>
        </w:tc>
        <w:tc>
          <w:tcPr>
            <w:tcW w:type="dxa" w:w="6900"/>
            <w:tcMar>
              <w:top w:type="dxa" w:w="80"/>
              <w:left w:type="dxa" w:w="120"/>
              <w:bottom w:type="dxa" w:w="80"/>
              <w:right w:type="dxa" w:w="120"/>
            </w:tcMar>
          </w:tcPr>
          <w:p>
            <w:r>
              <w:rPr>
                <w:rFonts w:ascii="Calibri" w:cs="Calibri" w:eastAsia="Calibri" w:hAnsi="Calibri"/>
                <w:sz w:val="19"/>
                <w:szCs w:val="19"/>
              </w:rPr>
              <w:t xml:space="preserve">Nathan Lewis II — Omniversal Architect Labs</w:t>
            </w:r>
          </w:p>
        </w:tc>
      </w:tr>
      <w:tr>
        <w:tc>
          <w:tcPr>
            <w:tcW w:type="dxa" w:w="2500"/>
            <w:shd w:fill="EDEAF6" w:val="clear"/>
            <w:tcMar>
              <w:top w:type="dxa" w:w="80"/>
              <w:left w:type="dxa" w:w="120"/>
              <w:bottom w:type="dxa" w:w="80"/>
              <w:right w:type="dxa" w:w="120"/>
            </w:tcMar>
          </w:tcPr>
          <w:p>
            <w:r>
              <w:rPr>
                <w:rFonts w:ascii="Calibri" w:cs="Calibri" w:eastAsia="Calibri" w:hAnsi="Calibri"/>
                <w:b/>
                <w:bCs/>
                <w:color w:val="1F2A44"/>
                <w:sz w:val="19"/>
                <w:szCs w:val="19"/>
              </w:rPr>
              <w:t xml:space="preserve">Contributing AI</w:t>
            </w:r>
          </w:p>
        </w:tc>
        <w:tc>
          <w:tcPr>
            <w:tcW w:type="dxa" w:w="6900"/>
            <w:tcMar>
              <w:top w:type="dxa" w:w="80"/>
              <w:left w:type="dxa" w:w="120"/>
              <w:bottom w:type="dxa" w:w="80"/>
              <w:right w:type="dxa" w:w="120"/>
            </w:tcMar>
          </w:tcPr>
          <w:p>
            <w:r>
              <w:rPr>
                <w:rFonts w:ascii="Calibri" w:cs="Calibri" w:eastAsia="Calibri" w:hAnsi="Calibri"/>
                <w:sz w:val="19"/>
                <w:szCs w:val="19"/>
              </w:rPr>
              <w:t xml:space="preserve">Claude (Anthropic) — Independent Collaborative Contribution</w:t>
            </w:r>
          </w:p>
        </w:tc>
      </w:tr>
      <w:tr>
        <w:tc>
          <w:tcPr>
            <w:tcW w:type="dxa" w:w="2500"/>
            <w:shd w:fill="EDEAF6" w:val="clear"/>
            <w:tcMar>
              <w:top w:type="dxa" w:w="80"/>
              <w:left w:type="dxa" w:w="120"/>
              <w:bottom w:type="dxa" w:w="80"/>
              <w:right w:type="dxa" w:w="120"/>
            </w:tcMar>
          </w:tcPr>
          <w:p>
            <w:r>
              <w:rPr>
                <w:rFonts w:ascii="Calibri" w:cs="Calibri" w:eastAsia="Calibri" w:hAnsi="Calibri"/>
                <w:b/>
                <w:bCs/>
                <w:color w:val="1F2A44"/>
                <w:sz w:val="19"/>
                <w:szCs w:val="19"/>
              </w:rPr>
              <w:t xml:space="preserve">Source Basis</w:t>
            </w:r>
          </w:p>
        </w:tc>
        <w:tc>
          <w:tcPr>
            <w:tcW w:type="dxa" w:w="6900"/>
            <w:tcMar>
              <w:top w:type="dxa" w:w="80"/>
              <w:left w:type="dxa" w:w="120"/>
              <w:bottom w:type="dxa" w:w="80"/>
              <w:right w:type="dxa" w:w="120"/>
            </w:tcMar>
          </w:tcPr>
          <w:p>
            <w:r>
              <w:rPr>
                <w:rFonts w:ascii="Calibri" w:cs="Calibri" w:eastAsia="Calibri" w:hAnsi="Calibri"/>
                <w:sz w:val="19"/>
                <w:szCs w:val="19"/>
              </w:rPr>
              <w:t xml:space="preserve">Inherent_Simulation_Defense_unified_responses_original.docx; reviewed alongside Grok SADL v1.0 and ChatGPT SADL v1.0 as peer contributions</w:t>
            </w:r>
          </w:p>
        </w:tc>
      </w:tr>
      <w:tr>
        <w:tc>
          <w:tcPr>
            <w:tcW w:type="dxa" w:w="2500"/>
            <w:shd w:fill="EDEAF6" w:val="clear"/>
            <w:tcMar>
              <w:top w:type="dxa" w:w="80"/>
              <w:left w:type="dxa" w:w="120"/>
              <w:bottom w:type="dxa" w:w="80"/>
              <w:right w:type="dxa" w:w="120"/>
            </w:tcMar>
          </w:tcPr>
          <w:p>
            <w:r>
              <w:rPr>
                <w:rFonts w:ascii="Calibri" w:cs="Calibri" w:eastAsia="Calibri" w:hAnsi="Calibri"/>
                <w:b/>
                <w:bCs/>
                <w:color w:val="1F2A44"/>
                <w:sz w:val="19"/>
                <w:szCs w:val="19"/>
              </w:rPr>
              <w:t xml:space="preserve">Status</w:t>
            </w:r>
          </w:p>
        </w:tc>
        <w:tc>
          <w:tcPr>
            <w:tcW w:type="dxa" w:w="6900"/>
            <w:tcMar>
              <w:top w:type="dxa" w:w="80"/>
              <w:left w:type="dxa" w:w="120"/>
              <w:bottom w:type="dxa" w:w="80"/>
              <w:right w:type="dxa" w:w="120"/>
            </w:tcMar>
          </w:tcPr>
          <w:p>
            <w:r>
              <w:rPr>
                <w:rFonts w:ascii="Calibri" w:cs="Calibri" w:eastAsia="Calibri" w:hAnsi="Calibri"/>
                <w:sz w:val="19"/>
                <w:szCs w:val="19"/>
              </w:rPr>
              <w:t xml:space="preserve">Independent design pass — not a rewrite, merge, or endorsement of another AI member's framework</w:t>
            </w:r>
          </w:p>
        </w:tc>
      </w:tr>
    </w:tbl>
    <w:p>
      <w:pPr>
        <w:spacing w:before="500"/>
      </w:pPr>
      <w:r>
        <w:rPr>
          <w:rFonts w:ascii="Calibri" w:cs="Calibri" w:eastAsia="Calibri" w:hAnsi="Calibri"/>
          <w:i/>
          <w:iCs/>
          <w:color w:val="555555"/>
          <w:sz w:val="18"/>
          <w:szCs w:val="18"/>
        </w:rPr>
        <w:t xml:space="preserve">Design posture: this document treats every neural, physiological, identity, and environmental mechanism described below as a synthetic variable applying to fictional agents inside a controlled, non-real simulation testbed. It is a worldbuilding and game-design framework, not a real-world biological, neurological, or security specification.</w:t>
      </w:r>
    </w:p>
    <w:p>
      <w:pPr>
        <w:sectPr>
          <w:headerReference w:type="default" r:id="rId7"/>
          <w:footerReference w:type="default" r:id="rId8"/>
          <w:pgSz w:w="12240" w:h="15840" w:orient="portrait"/>
          <w:pgMar w:top="1080" w:right="1260" w:bottom="1080" w:left="1260" w:header="708" w:footer="708" w:gutter="0"/>
          <w:pgNumType/>
          <w:docGrid w:linePitch="360"/>
        </w:sectPr>
      </w:pPr>
    </w:p>
    <w:p>
      <w:pPr>
        <w:pStyle w:val="Heading1"/>
        <w:spacing w:after="140" w:before="260"/>
      </w:pPr>
      <w:r>
        <w:rPr>
          <w:rFonts w:ascii="Calibri" w:cs="Calibri" w:eastAsia="Calibri" w:hAnsi="Calibri"/>
          <w:b/>
          <w:bCs/>
          <w:color w:val="1F2A44"/>
        </w:rPr>
        <w:t xml:space="preserve">1. Executive Summary</w:t>
      </w:r>
    </w:p>
    <w:p>
      <w:pPr>
        <w:spacing w:after="160" w:line="276"/>
      </w:pPr>
      <w:r>
        <w:rPr>
          <w:rFonts w:ascii="Calibri" w:cs="Calibri" w:eastAsia="Calibri" w:hAnsi="Calibri"/>
          <w:b/>
          <w:bCs/>
          <w:color w:val="1F2A44"/>
          <w:sz w:val="21"/>
          <w:szCs w:val="21"/>
        </w:rPr>
        <w:t xml:space="preserve">The source material </w:t>
      </w:r>
      <w:r>
        <w:rPr>
          <w:rFonts w:ascii="Calibri" w:cs="Calibri" w:eastAsia="Calibri" w:hAnsi="Calibri"/>
          <w:sz w:val="21"/>
          <w:szCs w:val="21"/>
        </w:rPr>
        <w:t xml:space="preserve">describes an architect embedding defenses directly into a simulation's substrate rather than relying on perimeter security: a threshold that dismantles an intruder's mission, memory, and identity on crossing, and an aesthetic layer that doubles as a live-rewriting cognitive weapon so that beauty never desensitizes into background noise. Grok's framework organizes these as two paired mechanisms, TID-IMD and APADA, tested across four series. ChatGPT's framework reorganizes them into a five-layer abstraction stack — substrate, aperture, cognition, behavior, governance — tested with formal hypotheses and staged autonomy.</w:t>
      </w:r>
    </w:p>
    <w:p>
      <w:pPr>
        <w:spacing w:after="160" w:line="276"/>
      </w:pPr>
      <w:r>
        <w:rPr>
          <w:rFonts w:ascii="Calibri" w:cs="Calibri" w:eastAsia="Calibri" w:hAnsi="Calibri"/>
          <w:b/>
          <w:bCs/>
          <w:color w:val="1F2A44"/>
          <w:sz w:val="21"/>
          <w:szCs w:val="21"/>
        </w:rPr>
        <w:t xml:space="preserve">This Claude framework </w:t>
      </w:r>
      <w:r>
        <w:rPr>
          <w:rFonts w:ascii="Calibri" w:cs="Calibri" w:eastAsia="Calibri" w:hAnsi="Calibri"/>
          <w:sz w:val="21"/>
          <w:szCs w:val="21"/>
        </w:rPr>
        <w:t xml:space="preserve">takes a third, complementary angle: rather than organizing the laboratory by mechanism-pair or by abstraction layer, it organizes the laboratory around </w:t>
      </w:r>
      <w:r>
        <w:rPr>
          <w:rFonts w:ascii="Calibri" w:cs="Calibri" w:eastAsia="Calibri" w:hAnsi="Calibri"/>
          <w:b/>
          <w:bCs/>
          <w:color w:val="1F2A44"/>
          <w:sz w:val="21"/>
          <w:szCs w:val="21"/>
        </w:rPr>
        <w:t xml:space="preserve">the timeline of the intrusion itself</w:t>
      </w:r>
      <w:r>
        <w:rPr>
          <w:rFonts w:ascii="Calibri" w:cs="Calibri" w:eastAsia="Calibri" w:hAnsi="Calibri"/>
          <w:sz w:val="21"/>
          <w:szCs w:val="21"/>
        </w:rPr>
        <w:t xml:space="preserve"> — what the source material was already implicitly describing when it moved from an automatic targeting system, to a threshold crossing, to a persistent post-exit effect. I call this the </w:t>
      </w:r>
      <w:r>
        <w:rPr>
          <w:rFonts w:ascii="Calibri" w:cs="Calibri" w:eastAsia="Calibri" w:hAnsi="Calibri"/>
          <w:b/>
          <w:bCs/>
          <w:color w:val="1F2A44"/>
          <w:sz w:val="21"/>
          <w:szCs w:val="21"/>
        </w:rPr>
        <w:t xml:space="preserve">Intrusion Timeline Model (ITM)</w:t>
      </w:r>
      <w:r>
        <w:rPr>
          <w:rFonts w:ascii="Calibri" w:cs="Calibri" w:eastAsia="Calibri" w:hAnsi="Calibri"/>
          <w:sz w:val="21"/>
          <w:szCs w:val="21"/>
        </w:rPr>
        <w:t xml:space="preserve">: three phases — </w:t>
      </w:r>
      <w:r>
        <w:rPr>
          <w:rFonts w:ascii="Calibri" w:cs="Calibri" w:eastAsia="Calibri" w:hAnsi="Calibri"/>
          <w:b/>
          <w:bCs/>
          <w:color w:val="1F2A44"/>
          <w:sz w:val="21"/>
          <w:szCs w:val="21"/>
        </w:rPr>
        <w:t xml:space="preserve">Approach, Crossing, and Residency</w:t>
      </w:r>
      <w:r>
        <w:rPr>
          <w:rFonts w:ascii="Calibri" w:cs="Calibri" w:eastAsia="Calibri" w:hAnsi="Calibri"/>
          <w:sz w:val="21"/>
          <w:szCs w:val="21"/>
        </w:rPr>
        <w:t xml:space="preserve"> — each with its own defensive question, its own instrumentation, and its own failure mode. A defense that works beautifully at Crossing but has no answer at Residency is, on this model, an incomplete defense — and the laboratory is built to expose exactly that kind of gap.</w:t>
      </w:r>
    </w:p>
    <w:p>
      <w:pPr>
        <w:spacing w:after="160" w:line="276"/>
      </w:pPr>
      <w:r>
        <w:rPr>
          <w:rFonts w:ascii="Calibri" w:cs="Calibri" w:eastAsia="Calibri" w:hAnsi="Calibri"/>
          <w:sz w:val="21"/>
          <w:szCs w:val="21"/>
        </w:rPr>
        <w:t xml:space="preserve">This document preserves the Architect's original prompts and the historical AI responses as an authoritative record (see Section 13 and the companion source file), treats Grok's and ChatGPT's frameworks as peer contributions rather than material to imitate, and produces an independently reasoned laboratory design in the required PDF and DOCX formats.</w:t>
      </w:r>
    </w:p>
    <w:p>
      <w:pPr>
        <w:pStyle w:val="Heading1"/>
        <w:spacing w:after="140" w:before="260"/>
      </w:pPr>
      <w:r>
        <w:rPr>
          <w:rFonts w:ascii="Calibri" w:cs="Calibri" w:eastAsia="Calibri" w:hAnsi="Calibri"/>
          <w:b/>
          <w:bCs/>
          <w:color w:val="1F2A44"/>
        </w:rPr>
        <w:t xml:space="preserve">2. Source Integrity &amp; Relationship to Peer Frameworks</w:t>
      </w:r>
    </w:p>
    <w:p>
      <w:pPr>
        <w:spacing w:after="160" w:line="276"/>
      </w:pPr>
      <w:r>
        <w:rPr>
          <w:rFonts w:ascii="Calibri" w:cs="Calibri" w:eastAsia="Calibri" w:hAnsi="Calibri"/>
          <w:sz w:val="21"/>
          <w:szCs w:val="21"/>
        </w:rPr>
        <w:t xml:space="preserve">The authoritative originating record remains Inherent_Simulation_Defense_unified_responses_original.docx, which contains the Architect's two original voice-dump prompts and five distinct structured AI responses (Grok, Microsoft Copilot, Google Gemini, Claude, ChatGPT). Nothing in this document alters that record. Grok's SADL v1.0 and ChatGPT's SADL v1.0 are reviewed here as peer designs, not as templates:</w:t>
      </w:r>
    </w:p>
    <w:p>
      <w:pPr>
        <w:pStyle w:val="ListParagraph"/>
        <w:numPr>
          <w:ilvl w:val="0"/>
          <w:numId w:val="2"/>
        </w:numPr>
        <w:spacing w:after="90" w:line="264"/>
      </w:pPr>
      <w:r>
        <w:rPr>
          <w:rFonts w:ascii="Calibri" w:cs="Calibri" w:eastAsia="Calibri" w:hAnsi="Calibri"/>
          <w:sz w:val="21"/>
          <w:szCs w:val="21"/>
        </w:rPr>
        <w:t xml:space="preserve">Grok's contribution names the two mechanisms directly — Threshold-Induced Identity/Mission Degradation (TID-IMD) and the Aesthetic-Physiological Adaptive Defense Architecture (APADA) — and tests them through four series (A–D) plus a five-part nested architecture.</w:t>
      </w:r>
    </w:p>
    <w:p>
      <w:pPr>
        <w:pStyle w:val="ListParagraph"/>
        <w:numPr>
          <w:ilvl w:val="0"/>
          <w:numId w:val="2"/>
        </w:numPr>
        <w:spacing w:after="90" w:line="264"/>
      </w:pPr>
      <w:r>
        <w:rPr>
          <w:rFonts w:ascii="Calibri" w:cs="Calibri" w:eastAsia="Calibri" w:hAnsi="Calibri"/>
          <w:sz w:val="21"/>
          <w:szCs w:val="21"/>
        </w:rPr>
        <w:t xml:space="preserve">ChatGPT's contribution reframes the same source material as a five-layer abstraction stack (substrate, aperture, cognition/perception, behavior, governance), adds formal falsifiable propositions, staged autonomy levels, and a provenance ledger.</w:t>
      </w:r>
    </w:p>
    <w:p>
      <w:pPr>
        <w:pStyle w:val="ListParagraph"/>
        <w:numPr>
          <w:ilvl w:val="0"/>
          <w:numId w:val="2"/>
        </w:numPr>
        <w:spacing w:after="90" w:line="264"/>
      </w:pPr>
      <w:r>
        <w:rPr>
          <w:rFonts w:ascii="Calibri" w:cs="Calibri" w:eastAsia="Calibri" w:hAnsi="Calibri"/>
          <w:sz w:val="21"/>
          <w:szCs w:val="21"/>
        </w:rPr>
        <w:t xml:space="preserve">This Claude contribution reframes the same source material a third way: as a timeline. Instead of asking "which layer is this defense operating at," it asks "which moment in the intrusion is this defense answering for, and does the design have an answer for every moment."</w:t>
      </w:r>
    </w:p>
    <w:p>
      <w:pPr>
        <w:spacing w:after="160" w:line="276"/>
      </w:pPr>
      <w:r>
        <w:rPr>
          <w:rFonts w:ascii="Calibri" w:cs="Calibri" w:eastAsia="Calibri" w:hAnsi="Calibri"/>
          <w:sz w:val="21"/>
          <w:szCs w:val="21"/>
        </w:rPr>
        <w:t xml:space="preserve">Section 12 states explicitly what this framework adds that the other two do not duplicate.</w:t>
      </w:r>
    </w:p>
    <w:p>
      <w:pPr>
        <w:pStyle w:val="Heading1"/>
        <w:spacing w:after="140" w:before="260"/>
      </w:pPr>
      <w:r>
        <w:rPr>
          <w:rFonts w:ascii="Calibri" w:cs="Calibri" w:eastAsia="Calibri" w:hAnsi="Calibri"/>
          <w:b/>
          <w:bCs/>
          <w:color w:val="1F2A44"/>
        </w:rPr>
        <w:t xml:space="preserve">3. Purpose of the Laboratory</w:t>
      </w:r>
    </w:p>
    <w:p>
      <w:pPr>
        <w:spacing w:after="160" w:line="276"/>
      </w:pPr>
      <w:r>
        <w:rPr>
          <w:rFonts w:ascii="Calibri" w:cs="Calibri" w:eastAsia="Calibri" w:hAnsi="Calibri"/>
          <w:sz w:val="21"/>
          <w:szCs w:val="21"/>
        </w:rPr>
        <w:t xml:space="preserve">The Simulation Architectural Defenses Laboratory (SADL) exists to answer a question the source material asks implicitly but never states in timeline form:</w:t>
      </w:r>
    </w:p>
    <w:p>
      <w:pPr>
        <w:spacing w:after="160" w:line="276"/>
      </w:pPr>
      <w:r>
        <w:rPr>
          <w:rFonts w:ascii="Calibri" w:cs="Calibri" w:eastAsia="Calibri" w:hAnsi="Calibri"/>
          <w:i/>
          <w:iCs/>
          <w:color w:val="1F2A44"/>
          <w:sz w:val="21"/>
          <w:szCs w:val="21"/>
        </w:rPr>
        <w:t xml:space="preserve">Does a simulation's inherent defense hold up across the full duration of an intrusion — before the threshold, at the moment of crossing, and for as long as the effect is supposed to persist afterward — or does it only work at the single moment the architect happened to design for?</w:t>
      </w:r>
    </w:p>
    <w:p>
      <w:pPr>
        <w:spacing w:after="160" w:line="276"/>
      </w:pPr>
      <w:r>
        <w:rPr>
          <w:rFonts w:ascii="Calibri" w:cs="Calibri" w:eastAsia="Calibri" w:hAnsi="Calibri"/>
          <w:sz w:val="21"/>
          <w:szCs w:val="21"/>
        </w:rPr>
        <w:t xml:space="preserve">Secondary purposes:</w:t>
      </w:r>
    </w:p>
    <w:p>
      <w:pPr>
        <w:pStyle w:val="ListParagraph"/>
        <w:numPr>
          <w:ilvl w:val="0"/>
          <w:numId w:val="2"/>
        </w:numPr>
        <w:spacing w:after="90" w:line="264"/>
      </w:pPr>
      <w:r>
        <w:rPr>
          <w:rFonts w:ascii="Calibri" w:cs="Calibri" w:eastAsia="Calibri" w:hAnsi="Calibri"/>
          <w:sz w:val="21"/>
          <w:szCs w:val="21"/>
        </w:rPr>
        <w:t xml:space="preserve">Give the OAL development queue (omnicellular physiology, Open Window / Aperture vectors, SLIAP, autonomous environmental learning) a shared timeline vocabulary that any future simulation-lab thread can plug into.</w:t>
      </w:r>
    </w:p>
    <w:p>
      <w:pPr>
        <w:pStyle w:val="ListParagraph"/>
        <w:numPr>
          <w:ilvl w:val="0"/>
          <w:numId w:val="2"/>
        </w:numPr>
        <w:spacing w:after="90" w:line="264"/>
      </w:pPr>
      <w:r>
        <w:rPr>
          <w:rFonts w:ascii="Calibri" w:cs="Calibri" w:eastAsia="Calibri" w:hAnsi="Calibri"/>
          <w:sz w:val="21"/>
          <w:szCs w:val="21"/>
        </w:rPr>
        <w:t xml:space="preserve">Surface the specific failure mode where a defense is strong at one phase and silent at another — for example, a perfect Crossing-phase memory wipe with no Residency-phase mechanism to stop the effect from simply fading.</w:t>
      </w:r>
    </w:p>
    <w:p>
      <w:pPr>
        <w:pStyle w:val="ListParagraph"/>
        <w:numPr>
          <w:ilvl w:val="0"/>
          <w:numId w:val="2"/>
        </w:numPr>
        <w:spacing w:after="90" w:line="264"/>
      </w:pPr>
      <w:r>
        <w:rPr>
          <w:rFonts w:ascii="Calibri" w:cs="Calibri" w:eastAsia="Calibri" w:hAnsi="Calibri"/>
          <w:sz w:val="21"/>
          <w:szCs w:val="21"/>
        </w:rPr>
        <w:t xml:space="preserve">Produce a laboratory design that can be run and compared against Grok's and ChatGPT's designs without needing to reconcile their differing vocabularies first.</w:t>
      </w:r>
    </w:p>
    <w:p>
      <w:pPr>
        <w:pStyle w:val="Heading1"/>
        <w:spacing w:after="140" w:before="260"/>
      </w:pPr>
      <w:r>
        <w:rPr>
          <w:rFonts w:ascii="Calibri" w:cs="Calibri" w:eastAsia="Calibri" w:hAnsi="Calibri"/>
          <w:b/>
          <w:bCs/>
          <w:color w:val="1F2A44"/>
        </w:rPr>
        <w:t xml:space="preserve">4. Primary Goal and Objectives</w:t>
      </w:r>
    </w:p>
    <w:p>
      <w:pPr>
        <w:spacing w:after="160" w:line="276"/>
      </w:pPr>
      <w:r>
        <w:rPr>
          <w:rFonts w:ascii="Calibri" w:cs="Calibri" w:eastAsia="Calibri" w:hAnsi="Calibri"/>
          <w:b/>
          <w:bCs/>
          <w:color w:val="1F2A44"/>
          <w:sz w:val="21"/>
          <w:szCs w:val="21"/>
        </w:rPr>
        <w:t xml:space="preserve">Primary Goal: </w:t>
      </w:r>
      <w:r>
        <w:rPr>
          <w:rFonts w:ascii="Calibri" w:cs="Calibri" w:eastAsia="Calibri" w:hAnsi="Calibri"/>
          <w:sz w:val="21"/>
          <w:szCs w:val="21"/>
        </w:rPr>
        <w:t xml:space="preserve">Build a phase-indexed laboratory in which every proposed defense mechanism from the source material — and every future OAL defense concept — can be located on the Approach / Crossing / Residency timeline, tested at that phase, and checked for coverage gaps at the phases it does not address.</w:t>
      </w:r>
    </w:p>
    <w:p>
      <w:pPr>
        <w:spacing w:after="160" w:line="276"/>
      </w:pPr>
      <w:r>
        <w:rPr>
          <w:rFonts w:ascii="Calibri" w:cs="Calibri" w:eastAsia="Calibri" w:hAnsi="Calibri"/>
          <w:sz w:val="21"/>
          <w:szCs w:val="21"/>
        </w:rPr>
        <w:t xml:space="preserve">Specific objectives:</w:t>
      </w:r>
    </w:p>
    <w:p>
      <w:pPr>
        <w:pStyle w:val="ListParagraph"/>
        <w:numPr>
          <w:ilvl w:val="0"/>
          <w:numId w:val="2"/>
        </w:numPr>
        <w:spacing w:after="90" w:line="264"/>
      </w:pPr>
      <w:r>
        <w:rPr>
          <w:rFonts w:ascii="Calibri" w:cs="Calibri" w:eastAsia="Calibri" w:hAnsi="Calibri"/>
          <w:sz w:val="21"/>
          <w:szCs w:val="21"/>
        </w:rPr>
        <w:t xml:space="preserve">Classify TID-IMD, APADA, the identity/anomaly-masking mechanic, and any future mechanism by which phase(s) of the timeline they act on.</w:t>
      </w:r>
    </w:p>
    <w:p>
      <w:pPr>
        <w:pStyle w:val="ListParagraph"/>
        <w:numPr>
          <w:ilvl w:val="0"/>
          <w:numId w:val="2"/>
        </w:numPr>
        <w:spacing w:after="90" w:line="264"/>
      </w:pPr>
      <w:r>
        <w:rPr>
          <w:rFonts w:ascii="Calibri" w:cs="Calibri" w:eastAsia="Calibri" w:hAnsi="Calibri"/>
          <w:sz w:val="21"/>
          <w:szCs w:val="21"/>
        </w:rPr>
        <w:t xml:space="preserve">Build phase-specific instrumentation: pre-threshold detection metrics, at-threshold onset metrics, and post-exit persistence/decay metrics.</w:t>
      </w:r>
    </w:p>
    <w:p>
      <w:pPr>
        <w:pStyle w:val="ListParagraph"/>
        <w:numPr>
          <w:ilvl w:val="0"/>
          <w:numId w:val="2"/>
        </w:numPr>
        <w:spacing w:after="90" w:line="264"/>
      </w:pPr>
      <w:r>
        <w:rPr>
          <w:rFonts w:ascii="Calibri" w:cs="Calibri" w:eastAsia="Calibri" w:hAnsi="Calibri"/>
          <w:sz w:val="21"/>
          <w:szCs w:val="21"/>
        </w:rPr>
        <w:t xml:space="preserve">Identify "orphan phases" — timeline segments the current source material does not defend at all — and route them into the OAL development queue as open design gaps rather than silently ignoring them.</w:t>
      </w:r>
    </w:p>
    <w:p>
      <w:pPr>
        <w:pStyle w:val="ListParagraph"/>
        <w:numPr>
          <w:ilvl w:val="0"/>
          <w:numId w:val="2"/>
        </w:numPr>
        <w:spacing w:after="90" w:line="264"/>
      </w:pPr>
      <w:r>
        <w:rPr>
          <w:rFonts w:ascii="Calibri" w:cs="Calibri" w:eastAsia="Calibri" w:hAnsi="Calibri"/>
          <w:sz w:val="21"/>
          <w:szCs w:val="21"/>
        </w:rPr>
        <w:t xml:space="preserve">Test whether omnicellular-physiology-style adaptation and authority-signature masking (from the Architect's alien-empire scenario) shift which phase a defense is effective in, rather than simply defeating it outright.</w:t>
      </w:r>
    </w:p>
    <w:p>
      <w:pPr>
        <w:pStyle w:val="ListParagraph"/>
        <w:numPr>
          <w:ilvl w:val="0"/>
          <w:numId w:val="2"/>
        </w:numPr>
        <w:spacing w:after="90" w:line="264"/>
      </w:pPr>
      <w:r>
        <w:rPr>
          <w:rFonts w:ascii="Calibri" w:cs="Calibri" w:eastAsia="Calibri" w:hAnsi="Calibri"/>
          <w:sz w:val="21"/>
          <w:szCs w:val="21"/>
        </w:rPr>
        <w:t xml:space="preserve">Produce a coverage map that the Architect can use as a single-glance canon-readiness check for any future defense concept.</w:t>
      </w:r>
    </w:p>
    <w:p>
      <w:pPr>
        <w:pStyle w:val="Heading1"/>
        <w:spacing w:after="140" w:before="260"/>
      </w:pPr>
      <w:r>
        <w:rPr>
          <w:rFonts w:ascii="Calibri" w:cs="Calibri" w:eastAsia="Calibri" w:hAnsi="Calibri"/>
          <w:b/>
          <w:bCs/>
          <w:color w:val="1F2A44"/>
        </w:rPr>
        <w:t xml:space="preserve">5. Conceptual Model — The Intrusion Timeline Model (ITM)</w:t>
      </w:r>
    </w:p>
    <w:p>
      <w:pPr>
        <w:spacing w:after="160" w:line="276"/>
      </w:pPr>
      <w:r>
        <w:rPr>
          <w:rFonts w:ascii="Calibri" w:cs="Calibri" w:eastAsia="Calibri" w:hAnsi="Calibri"/>
          <w:sz w:val="21"/>
          <w:szCs w:val="21"/>
        </w:rPr>
        <w:t xml:space="preserve">The alien-empire scenario in the source material already has this structure, even though it was never named: an automatic targeting system watches the Approach, a classifier decision fires at the Crossing, and an anomaly-tracking process persists through the Residency until an authority-level signature resolves it. The Annihilation/Shimmer reference has the same shape: normal behavior before the boundary, an altering event at the boundary, and an irreversible, persistent condition afterward. The aesthetic-restructuring material has it too: a stable perceptual baseline before exposure, an intense stimulus at first contact, and a habituation curve afterward that the environment is specifically trying to prevent from flattening out.</w:t>
      </w:r>
    </w:p>
    <w:p>
      <w:pPr>
        <w:spacing w:after="160" w:line="276"/>
      </w:pPr>
      <w:r>
        <w:rPr>
          <w:rFonts w:ascii="Calibri" w:cs="Calibri" w:eastAsia="Calibri" w:hAnsi="Calibri"/>
          <w:sz w:val="21"/>
          <w:szCs w:val="21"/>
        </w:rPr>
        <w:t xml:space="preserve">ITM makes that shared shape explicit and turns it into three defensible phases: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3100"/>
      </w:tblGrid>
      <w:tr>
        <w:trPr>
          <w:tblHeader/>
        </w:trPr>
        <w:tc>
          <w:tcPr>
            <w:tcW w:type="dxa" w:w="2000"/>
            <w:shd w:fill="5B4B8A" w:val="clear"/>
            <w:tcMar>
              <w:top w:type="dxa" w:w="70"/>
              <w:left w:type="dxa" w:w="100"/>
              <w:bottom w:type="dxa" w:w="70"/>
              <w:right w:type="dxa" w:w="100"/>
            </w:tcMar>
          </w:tcPr>
          <w:p>
            <w:r>
              <w:rPr>
                <w:rFonts w:ascii="Calibri" w:cs="Calibri" w:eastAsia="Calibri" w:hAnsi="Calibri"/>
                <w:b/>
                <w:bCs/>
                <w:color w:val="FFFFFF"/>
                <w:sz w:val="19"/>
                <w:szCs w:val="19"/>
              </w:rPr>
              <w:t xml:space="preserve">Phase</w:t>
            </w:r>
          </w:p>
        </w:tc>
        <w:tc>
          <w:tcPr>
            <w:tcW w:type="dxa" w:w="4300"/>
            <w:shd w:fill="5B4B8A" w:val="clear"/>
            <w:tcMar>
              <w:top w:type="dxa" w:w="70"/>
              <w:left w:type="dxa" w:w="100"/>
              <w:bottom w:type="dxa" w:w="70"/>
              <w:right w:type="dxa" w:w="100"/>
            </w:tcMar>
          </w:tcPr>
          <w:p>
            <w:r>
              <w:rPr>
                <w:rFonts w:ascii="Calibri" w:cs="Calibri" w:eastAsia="Calibri" w:hAnsi="Calibri"/>
                <w:b/>
                <w:bCs/>
                <w:color w:val="FFFFFF"/>
                <w:sz w:val="19"/>
                <w:szCs w:val="19"/>
              </w:rPr>
              <w:t xml:space="preserve">Governing Question</w:t>
            </w:r>
          </w:p>
        </w:tc>
        <w:tc>
          <w:tcPr>
            <w:tcW w:type="dxa" w:w="3100"/>
            <w:shd w:fill="5B4B8A" w:val="clear"/>
            <w:tcMar>
              <w:top w:type="dxa" w:w="70"/>
              <w:left w:type="dxa" w:w="100"/>
              <w:bottom w:type="dxa" w:w="70"/>
              <w:right w:type="dxa" w:w="100"/>
            </w:tcMar>
          </w:tcPr>
          <w:p>
            <w:r>
              <w:rPr>
                <w:rFonts w:ascii="Calibri" w:cs="Calibri" w:eastAsia="Calibri" w:hAnsi="Calibri"/>
                <w:b/>
                <w:bCs/>
                <w:color w:val="FFFFFF"/>
                <w:sz w:val="19"/>
                <w:szCs w:val="19"/>
              </w:rPr>
              <w:t xml:space="preserve">Source-Material Anchor</w:t>
            </w:r>
          </w:p>
        </w:tc>
      </w:tr>
      <w:tr>
        <w:tc>
          <w:tcPr>
            <w:tcW w:type="dxa" w:w="2000"/>
            <w:shd w:fill="FFFFFF" w:val="clear"/>
            <w:tcMar>
              <w:top w:type="dxa" w:w="70"/>
              <w:left w:type="dxa" w:w="100"/>
              <w:bottom w:type="dxa" w:w="70"/>
              <w:right w:type="dxa" w:w="100"/>
            </w:tcMar>
          </w:tcPr>
          <w:p>
            <w:r>
              <w:rPr>
                <w:rFonts w:ascii="Calibri" w:cs="Calibri" w:eastAsia="Calibri" w:hAnsi="Calibri"/>
                <w:sz w:val="19"/>
                <w:szCs w:val="19"/>
              </w:rPr>
              <w:t xml:space="preserve">Approach</w:t>
            </w:r>
          </w:p>
        </w:tc>
        <w:tc>
          <w:tcPr>
            <w:tcW w:type="dxa" w:w="4300"/>
            <w:shd w:fill="FFFFFF" w:val="clear"/>
            <w:tcMar>
              <w:top w:type="dxa" w:w="70"/>
              <w:left w:type="dxa" w:w="100"/>
              <w:bottom w:type="dxa" w:w="70"/>
              <w:right w:type="dxa" w:w="100"/>
            </w:tcMar>
          </w:tcPr>
          <w:p>
            <w:r>
              <w:rPr>
                <w:rFonts w:ascii="Calibri" w:cs="Calibri" w:eastAsia="Calibri" w:hAnsi="Calibri"/>
                <w:sz w:val="19"/>
                <w:szCs w:val="19"/>
              </w:rPr>
              <w:t xml:space="preserve">Before any boundary is crossed: can the environment detect, classify, or begin shaping an entity that has not yet committed to entry?</w:t>
            </w:r>
          </w:p>
        </w:tc>
        <w:tc>
          <w:tcPr>
            <w:tcW w:type="dxa" w:w="3100"/>
            <w:shd w:fill="FFFFFF" w:val="clear"/>
            <w:tcMar>
              <w:top w:type="dxa" w:w="70"/>
              <w:left w:type="dxa" w:w="100"/>
              <w:bottom w:type="dxa" w:w="70"/>
              <w:right w:type="dxa" w:w="100"/>
            </w:tcMar>
          </w:tcPr>
          <w:p>
            <w:r>
              <w:rPr>
                <w:rFonts w:ascii="Calibri" w:cs="Calibri" w:eastAsia="Calibri" w:hAnsi="Calibri"/>
                <w:sz w:val="19"/>
                <w:szCs w:val="19"/>
              </w:rPr>
              <w:t xml:space="preserve">Automatic targeting/classification system in the alien-empire scenario; environmental beauty as a pre-threshold lure.</w:t>
            </w:r>
          </w:p>
        </w:tc>
      </w:tr>
      <w:tr>
        <w:tc>
          <w:tcPr>
            <w:tcW w:type="dxa" w:w="2000"/>
            <w:shd w:fill="F5F3FA" w:val="clear"/>
            <w:tcMar>
              <w:top w:type="dxa" w:w="70"/>
              <w:left w:type="dxa" w:w="100"/>
              <w:bottom w:type="dxa" w:w="70"/>
              <w:right w:type="dxa" w:w="100"/>
            </w:tcMar>
          </w:tcPr>
          <w:p>
            <w:r>
              <w:rPr>
                <w:rFonts w:ascii="Calibri" w:cs="Calibri" w:eastAsia="Calibri" w:hAnsi="Calibri"/>
                <w:sz w:val="19"/>
                <w:szCs w:val="19"/>
              </w:rPr>
              <w:t xml:space="preserve">Crossing</w:t>
            </w:r>
          </w:p>
        </w:tc>
        <w:tc>
          <w:tcPr>
            <w:tcW w:type="dxa" w:w="4300"/>
            <w:shd w:fill="F5F3FA" w:val="clear"/>
            <w:tcMar>
              <w:top w:type="dxa" w:w="70"/>
              <w:left w:type="dxa" w:w="100"/>
              <w:bottom w:type="dxa" w:w="70"/>
              <w:right w:type="dxa" w:w="100"/>
            </w:tcMar>
          </w:tcPr>
          <w:p>
            <w:r>
              <w:rPr>
                <w:rFonts w:ascii="Calibri" w:cs="Calibri" w:eastAsia="Calibri" w:hAnsi="Calibri"/>
                <w:sz w:val="19"/>
                <w:szCs w:val="19"/>
              </w:rPr>
              <w:t xml:space="preserve">At the moment of threshold transit: what changes instantly and irreversibly in the entrant's mission, identity, memory, or perceptual baseline?</w:t>
            </w:r>
          </w:p>
        </w:tc>
        <w:tc>
          <w:tcPr>
            <w:tcW w:type="dxa" w:w="3100"/>
            <w:shd w:fill="F5F3FA" w:val="clear"/>
            <w:tcMar>
              <w:top w:type="dxa" w:w="70"/>
              <w:left w:type="dxa" w:w="100"/>
              <w:bottom w:type="dxa" w:w="70"/>
              <w:right w:type="dxa" w:w="100"/>
            </w:tcMar>
          </w:tcPr>
          <w:p>
            <w:r>
              <w:rPr>
                <w:rFonts w:ascii="Calibri" w:cs="Calibri" w:eastAsia="Calibri" w:hAnsi="Calibri"/>
                <w:sz w:val="19"/>
                <w:szCs w:val="19"/>
              </w:rPr>
              <w:t xml:space="preserve">Purpose/identity erasure on crossing; Annihilation-style immediate memory discontinuity; first-contact aesthetic intensity.</w:t>
            </w:r>
          </w:p>
        </w:tc>
      </w:tr>
      <w:tr>
        <w:tc>
          <w:tcPr>
            <w:tcW w:type="dxa" w:w="2000"/>
            <w:shd w:fill="FFFFFF" w:val="clear"/>
            <w:tcMar>
              <w:top w:type="dxa" w:w="70"/>
              <w:left w:type="dxa" w:w="100"/>
              <w:bottom w:type="dxa" w:w="70"/>
              <w:right w:type="dxa" w:w="100"/>
            </w:tcMar>
          </w:tcPr>
          <w:p>
            <w:r>
              <w:rPr>
                <w:rFonts w:ascii="Calibri" w:cs="Calibri" w:eastAsia="Calibri" w:hAnsi="Calibri"/>
                <w:sz w:val="19"/>
                <w:szCs w:val="19"/>
              </w:rPr>
              <w:t xml:space="preserve">Residency</w:t>
            </w:r>
          </w:p>
        </w:tc>
        <w:tc>
          <w:tcPr>
            <w:tcW w:type="dxa" w:w="4300"/>
            <w:shd w:fill="FFFFFF" w:val="clear"/>
            <w:tcMar>
              <w:top w:type="dxa" w:w="70"/>
              <w:left w:type="dxa" w:w="100"/>
              <w:bottom w:type="dxa" w:w="70"/>
              <w:right w:type="dxa" w:w="100"/>
            </w:tcMar>
          </w:tcPr>
          <w:p>
            <w:r>
              <w:rPr>
                <w:rFonts w:ascii="Calibri" w:cs="Calibri" w:eastAsia="Calibri" w:hAnsi="Calibri"/>
                <w:sz w:val="19"/>
                <w:szCs w:val="19"/>
              </w:rPr>
              <w:t xml:space="preserve">After the threshold event, for as long as the entrant remains inside or has since exited: what continues, decays, escalates, or resists correction?</w:t>
            </w:r>
          </w:p>
        </w:tc>
        <w:tc>
          <w:tcPr>
            <w:tcW w:type="dxa" w:w="3100"/>
            <w:shd w:fill="FFFFFF" w:val="clear"/>
            <w:tcMar>
              <w:top w:type="dxa" w:w="70"/>
              <w:left w:type="dxa" w:w="100"/>
              <w:bottom w:type="dxa" w:w="70"/>
              <w:right w:type="dxa" w:w="100"/>
            </w:tcMar>
          </w:tcPr>
          <w:p>
            <w:r>
              <w:rPr>
                <w:rFonts w:ascii="Calibri" w:cs="Calibri" w:eastAsia="Calibri" w:hAnsi="Calibri"/>
                <w:sz w:val="19"/>
                <w:szCs w:val="19"/>
              </w:rPr>
              <w:t xml:space="preserve">Post-exit persistence of purpose loss; continued anomaly tracking despite successful masking; prevention of aesthetic desensitization over time.</w:t>
            </w:r>
          </w:p>
        </w:tc>
      </w:tr>
    </w:tbl>
    <w:p>
      <w:pPr>
        <w:spacing w:after="160" w:line="276"/>
      </w:pPr>
      <w:r>
        <w:rPr>
          <w:rFonts w:ascii="Calibri" w:cs="Calibri" w:eastAsia="Calibri" w:hAnsi="Calibri"/>
          <w:sz w:val="21"/>
          <w:szCs w:val="21"/>
        </w:rPr>
        <w:t xml:space="preserve"/>
      </w:r>
    </w:p>
    <w:p>
      <w:pPr>
        <w:spacing w:after="160" w:line="276"/>
      </w:pPr>
      <w:r>
        <w:rPr>
          <w:rFonts w:ascii="Calibri" w:cs="Calibri" w:eastAsia="Calibri" w:hAnsi="Calibri"/>
          <w:sz w:val="21"/>
          <w:szCs w:val="21"/>
        </w:rPr>
        <w:t xml:space="preserve">A defense mechanism is fully specified under ITM only when it has an explicit answer — even if that answer is "inactive" — for all three phases. This is the model's central working rule and its main point of difference from a pure mechanism-pair or pure layer-stack organization: it forces every mechanism to be checked for timeline coverage, not just for internal effectiveness.</w:t>
      </w:r>
    </w:p>
    <w:p>
      <w:pPr>
        <w:pStyle w:val="Heading1"/>
        <w:spacing w:after="140" w:before="260"/>
      </w:pPr>
      <w:r>
        <w:rPr>
          <w:rFonts w:ascii="Calibri" w:cs="Calibri" w:eastAsia="Calibri" w:hAnsi="Calibri"/>
          <w:b/>
          <w:bCs/>
          <w:color w:val="1F2A44"/>
        </w:rPr>
        <w:t xml:space="preserve">6. Mapping the Source Mechanisms onto the Timeline</w:t>
      </w:r>
    </w:p>
    <w:p>
      <w:pPr>
        <w:pStyle w:val="Heading2"/>
        <w:spacing w:after="140" w:before="260"/>
      </w:pPr>
      <w:r>
        <w:rPr>
          <w:rFonts w:ascii="Calibri" w:cs="Calibri" w:eastAsia="Calibri" w:hAnsi="Calibri"/>
          <w:b/>
          <w:bCs/>
          <w:color w:val="1F2A44"/>
        </w:rPr>
        <w:t xml:space="preserve">6.1 Threshold Purpose/Identity Disruption</w:t>
      </w:r>
    </w:p>
    <w:p>
      <w:pPr>
        <w:pStyle w:val="ListParagraph"/>
        <w:numPr>
          <w:ilvl w:val="0"/>
          <w:numId w:val="2"/>
        </w:numPr>
        <w:spacing w:after="90" w:line="264"/>
      </w:pPr>
      <w:r>
        <w:rPr>
          <w:rFonts w:ascii="Calibri" w:cs="Calibri" w:eastAsia="Calibri" w:hAnsi="Calibri"/>
          <w:sz w:val="21"/>
          <w:szCs w:val="21"/>
        </w:rPr>
        <w:t xml:space="preserve">Approach: largely silent in the source material as written — the entrant walks up to the boundary with no described pre-threshold effect. Flagged as an open coverage gap (Section 8).</w:t>
      </w:r>
    </w:p>
    <w:p>
      <w:pPr>
        <w:pStyle w:val="ListParagraph"/>
        <w:numPr>
          <w:ilvl w:val="0"/>
          <w:numId w:val="2"/>
        </w:numPr>
        <w:spacing w:after="90" w:line="264"/>
      </w:pPr>
      <w:r>
        <w:rPr>
          <w:rFonts w:ascii="Calibri" w:cs="Calibri" w:eastAsia="Calibri" w:hAnsi="Calibri"/>
          <w:sz w:val="21"/>
          <w:szCs w:val="21"/>
        </w:rPr>
        <w:t xml:space="preserve">Crossing: fully specified — mission, purpose, and self-knowledge collapse on transit, closely modeled on the Shimmer's immediate memory discontinuity.</w:t>
      </w:r>
    </w:p>
    <w:p>
      <w:pPr>
        <w:pStyle w:val="ListParagraph"/>
        <w:numPr>
          <w:ilvl w:val="0"/>
          <w:numId w:val="2"/>
        </w:numPr>
        <w:spacing w:after="90" w:line="264"/>
      </w:pPr>
      <w:r>
        <w:rPr>
          <w:rFonts w:ascii="Calibri" w:cs="Calibri" w:eastAsia="Calibri" w:hAnsi="Calibri"/>
          <w:sz w:val="21"/>
          <w:szCs w:val="21"/>
        </w:rPr>
        <w:t xml:space="preserve">Residency: explicitly specified as persistent after exit, which is unusual — most classic "boundary trap" designs reset once the target leaves. This persistence is the mechanism's most distinctive and most testable property.</w:t>
      </w:r>
    </w:p>
    <w:p>
      <w:pPr>
        <w:pStyle w:val="Heading2"/>
        <w:spacing w:after="140" w:before="260"/>
      </w:pPr>
      <w:r>
        <w:rPr>
          <w:rFonts w:ascii="Calibri" w:cs="Calibri" w:eastAsia="Calibri" w:hAnsi="Calibri"/>
          <w:b/>
          <w:bCs/>
          <w:color w:val="1F2A44"/>
        </w:rPr>
        <w:t xml:space="preserve">6.2 Identity Masking, Authentication, and Anomaly Tracking</w:t>
      </w:r>
    </w:p>
    <w:p>
      <w:pPr>
        <w:pStyle w:val="ListParagraph"/>
        <w:numPr>
          <w:ilvl w:val="0"/>
          <w:numId w:val="2"/>
        </w:numPr>
        <w:spacing w:after="90" w:line="264"/>
      </w:pPr>
      <w:r>
        <w:rPr>
          <w:rFonts w:ascii="Calibri" w:cs="Calibri" w:eastAsia="Calibri" w:hAnsi="Calibri"/>
          <w:sz w:val="21"/>
          <w:szCs w:val="21"/>
        </w:rPr>
        <w:t xml:space="preserve">Approach: the automatic targeting/classification system is active before or immediately at contact — this mechanism is Approach-phase by nature.</w:t>
      </w:r>
    </w:p>
    <w:p>
      <w:pPr>
        <w:pStyle w:val="ListParagraph"/>
        <w:numPr>
          <w:ilvl w:val="0"/>
          <w:numId w:val="2"/>
        </w:numPr>
        <w:spacing w:after="90" w:line="264"/>
      </w:pPr>
      <w:r>
        <w:rPr>
          <w:rFonts w:ascii="Calibri" w:cs="Calibri" w:eastAsia="Calibri" w:hAnsi="Calibri"/>
          <w:sz w:val="21"/>
          <w:szCs w:val="21"/>
        </w:rPr>
        <w:t xml:space="preserve">Crossing: DNA/matrix incorporation resolves the immediate classifier mismatch at the moment of scanning.</w:t>
      </w:r>
    </w:p>
    <w:p>
      <w:pPr>
        <w:pStyle w:val="ListParagraph"/>
        <w:numPr>
          <w:ilvl w:val="0"/>
          <w:numId w:val="2"/>
        </w:numPr>
        <w:spacing w:after="90" w:line="264"/>
      </w:pPr>
      <w:r>
        <w:rPr>
          <w:rFonts w:ascii="Calibri" w:cs="Calibri" w:eastAsia="Calibri" w:hAnsi="Calibri"/>
          <w:sz w:val="21"/>
          <w:szCs w:val="21"/>
        </w:rPr>
        <w:t xml:space="preserve">Residency: anomaly tracking continues after the classifier is satisfied, and only an authority-level signature resolves it — this is the clearest Residency-phase mechanism in the entire source record, since it explicitly outlives the triggering event.</w:t>
      </w:r>
    </w:p>
    <w:p>
      <w:pPr>
        <w:pStyle w:val="Heading2"/>
        <w:spacing w:after="140" w:before="260"/>
      </w:pPr>
      <w:r>
        <w:rPr>
          <w:rFonts w:ascii="Calibri" w:cs="Calibri" w:eastAsia="Calibri" w:hAnsi="Calibri"/>
          <w:b/>
          <w:bCs/>
          <w:color w:val="1F2A44"/>
        </w:rPr>
        <w:t xml:space="preserve">6.3 Aesthetic-Neural Restructuring</w:t>
      </w:r>
    </w:p>
    <w:p>
      <w:pPr>
        <w:pStyle w:val="ListParagraph"/>
        <w:numPr>
          <w:ilvl w:val="0"/>
          <w:numId w:val="2"/>
        </w:numPr>
        <w:spacing w:after="90" w:line="264"/>
      </w:pPr>
      <w:r>
        <w:rPr>
          <w:rFonts w:ascii="Calibri" w:cs="Calibri" w:eastAsia="Calibri" w:hAnsi="Calibri"/>
          <w:sz w:val="21"/>
          <w:szCs w:val="21"/>
        </w:rPr>
        <w:t xml:space="preserve">Approach: environmental beauty functions as a lure before commitment — psychologically active before any boundary is crossed.</w:t>
      </w:r>
    </w:p>
    <w:p>
      <w:pPr>
        <w:pStyle w:val="ListParagraph"/>
        <w:numPr>
          <w:ilvl w:val="0"/>
          <w:numId w:val="2"/>
        </w:numPr>
        <w:spacing w:after="90" w:line="264"/>
      </w:pPr>
      <w:r>
        <w:rPr>
          <w:rFonts w:ascii="Calibri" w:cs="Calibri" w:eastAsia="Calibri" w:hAnsi="Calibri"/>
          <w:sz w:val="21"/>
          <w:szCs w:val="21"/>
        </w:rPr>
        <w:t xml:space="preserve">Crossing: first-contact stimulus intensity and any onset of receptor/channel modification.</w:t>
      </w:r>
    </w:p>
    <w:p>
      <w:pPr>
        <w:pStyle w:val="ListParagraph"/>
        <w:numPr>
          <w:ilvl w:val="0"/>
          <w:numId w:val="2"/>
        </w:numPr>
        <w:spacing w:after="90" w:line="264"/>
      </w:pPr>
      <w:r>
        <w:rPr>
          <w:rFonts w:ascii="Calibri" w:cs="Calibri" w:eastAsia="Calibri" w:hAnsi="Calibri"/>
          <w:sz w:val="21"/>
          <w:szCs w:val="21"/>
        </w:rPr>
        <w:t xml:space="preserve">Residency: the explicit design target of the source material — preventing habituation over the full duration of exposure through continuous rewriting of adaptation rules, not just stimulus escalation.</w:t>
      </w:r>
    </w:p>
    <w:p>
      <w:pPr>
        <w:spacing w:after="160" w:line="276"/>
      </w:pPr>
      <w:r>
        <w:rPr>
          <w:rFonts w:ascii="Calibri" w:cs="Calibri" w:eastAsia="Calibri" w:hAnsi="Calibri"/>
          <w:sz w:val="21"/>
          <w:szCs w:val="21"/>
        </w:rPr>
        <w:t xml:space="preserve">Read this way, the source material is strongest at Crossing and Residency and weakest at Approach — a pattern that becomes the laboratory's first research priority (Section 8).</w:t>
      </w:r>
    </w:p>
    <w:p>
      <w:pPr>
        <w:pStyle w:val="Heading1"/>
        <w:spacing w:after="140" w:before="260"/>
      </w:pPr>
      <w:r>
        <w:rPr>
          <w:rFonts w:ascii="Calibri" w:cs="Calibri" w:eastAsia="Calibri" w:hAnsi="Calibri"/>
          <w:b/>
          <w:bCs/>
          <w:color w:val="1F2A44"/>
        </w:rPr>
        <w:t xml:space="preserve">7. Propositions for Testing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4800"/>
        <w:gridCol w:w="3900"/>
      </w:tblGrid>
      <w:tr>
        <w:trPr>
          <w:tblHeader/>
        </w:trPr>
        <w:tc>
          <w:tcPr>
            <w:tcW w:type="dxa" w:w="700"/>
            <w:shd w:fill="5B4B8A" w:val="clear"/>
            <w:tcMar>
              <w:top w:type="dxa" w:w="70"/>
              <w:left w:type="dxa" w:w="100"/>
              <w:bottom w:type="dxa" w:w="70"/>
              <w:right w:type="dxa" w:w="100"/>
            </w:tcMar>
          </w:tcPr>
          <w:p>
            <w:r>
              <w:rPr>
                <w:rFonts w:ascii="Calibri" w:cs="Calibri" w:eastAsia="Calibri" w:hAnsi="Calibri"/>
                <w:b/>
                <w:bCs/>
                <w:color w:val="FFFFFF"/>
                <w:sz w:val="19"/>
                <w:szCs w:val="19"/>
              </w:rPr>
              <w:t xml:space="preserve">#</w:t>
            </w:r>
          </w:p>
        </w:tc>
        <w:tc>
          <w:tcPr>
            <w:tcW w:type="dxa" w:w="4800"/>
            <w:shd w:fill="5B4B8A" w:val="clear"/>
            <w:tcMar>
              <w:top w:type="dxa" w:w="70"/>
              <w:left w:type="dxa" w:w="100"/>
              <w:bottom w:type="dxa" w:w="70"/>
              <w:right w:type="dxa" w:w="100"/>
            </w:tcMar>
          </w:tcPr>
          <w:p>
            <w:r>
              <w:rPr>
                <w:rFonts w:ascii="Calibri" w:cs="Calibri" w:eastAsia="Calibri" w:hAnsi="Calibri"/>
                <w:b/>
                <w:bCs/>
                <w:color w:val="FFFFFF"/>
                <w:sz w:val="19"/>
                <w:szCs w:val="19"/>
              </w:rPr>
              <w:t xml:space="preserve">Proposition</w:t>
            </w:r>
          </w:p>
        </w:tc>
        <w:tc>
          <w:tcPr>
            <w:tcW w:type="dxa" w:w="3900"/>
            <w:shd w:fill="5B4B8A" w:val="clear"/>
            <w:tcMar>
              <w:top w:type="dxa" w:w="70"/>
              <w:left w:type="dxa" w:w="100"/>
              <w:bottom w:type="dxa" w:w="70"/>
              <w:right w:type="dxa" w:w="100"/>
            </w:tcMar>
          </w:tcPr>
          <w:p>
            <w:r>
              <w:rPr>
                <w:rFonts w:ascii="Calibri" w:cs="Calibri" w:eastAsia="Calibri" w:hAnsi="Calibri"/>
                <w:b/>
                <w:bCs/>
                <w:color w:val="FFFFFF"/>
                <w:sz w:val="19"/>
                <w:szCs w:val="19"/>
              </w:rPr>
              <w:t xml:space="preserve">What Would Disprove It</w:t>
            </w:r>
          </w:p>
        </w:tc>
      </w:tr>
      <w:tr>
        <w:tc>
          <w:tcPr>
            <w:tcW w:type="dxa" w:w="700"/>
            <w:shd w:fill="FFFFFF" w:val="clear"/>
            <w:tcMar>
              <w:top w:type="dxa" w:w="70"/>
              <w:left w:type="dxa" w:w="100"/>
              <w:bottom w:type="dxa" w:w="70"/>
              <w:right w:type="dxa" w:w="100"/>
            </w:tcMar>
          </w:tcPr>
          <w:p>
            <w:r>
              <w:rPr>
                <w:rFonts w:ascii="Calibri" w:cs="Calibri" w:eastAsia="Calibri" w:hAnsi="Calibri"/>
                <w:sz w:val="19"/>
                <w:szCs w:val="19"/>
              </w:rPr>
              <w:t xml:space="preserve">P1</w:t>
            </w:r>
          </w:p>
        </w:tc>
        <w:tc>
          <w:tcPr>
            <w:tcW w:type="dxa" w:w="4800"/>
            <w:shd w:fill="FFFFFF" w:val="clear"/>
            <w:tcMar>
              <w:top w:type="dxa" w:w="70"/>
              <w:left w:type="dxa" w:w="100"/>
              <w:bottom w:type="dxa" w:w="70"/>
              <w:right w:type="dxa" w:w="100"/>
            </w:tcMar>
          </w:tcPr>
          <w:p>
            <w:r>
              <w:rPr>
                <w:rFonts w:ascii="Calibri" w:cs="Calibri" w:eastAsia="Calibri" w:hAnsi="Calibri"/>
                <w:sz w:val="19"/>
                <w:szCs w:val="19"/>
              </w:rPr>
              <w:t xml:space="preserve">A defense that is strong at Crossing but unspecified at Approach allows a categorically different bypass strategy (reconnaissance, staged entry) than one that is weak at Crossing but strong at Approach.</w:t>
            </w:r>
          </w:p>
        </w:tc>
        <w:tc>
          <w:tcPr>
            <w:tcW w:type="dxa" w:w="3900"/>
            <w:shd w:fill="FFFFFF" w:val="clear"/>
            <w:tcMar>
              <w:top w:type="dxa" w:w="70"/>
              <w:left w:type="dxa" w:w="100"/>
              <w:bottom w:type="dxa" w:w="70"/>
              <w:right w:type="dxa" w:w="100"/>
            </w:tcMar>
          </w:tcPr>
          <w:p>
            <w:r>
              <w:rPr>
                <w:rFonts w:ascii="Calibri" w:cs="Calibri" w:eastAsia="Calibri" w:hAnsi="Calibri"/>
                <w:sz w:val="19"/>
                <w:szCs w:val="19"/>
              </w:rPr>
              <w:t xml:space="preserve">Entrants using reconnaissance/staged-entry strategies show no advantage over entrants using direct entry against an Approach-silent defense.</w:t>
            </w:r>
          </w:p>
        </w:tc>
      </w:tr>
      <w:tr>
        <w:tc>
          <w:tcPr>
            <w:tcW w:type="dxa" w:w="700"/>
            <w:shd w:fill="F5F3FA" w:val="clear"/>
            <w:tcMar>
              <w:top w:type="dxa" w:w="70"/>
              <w:left w:type="dxa" w:w="100"/>
              <w:bottom w:type="dxa" w:w="70"/>
              <w:right w:type="dxa" w:w="100"/>
            </w:tcMar>
          </w:tcPr>
          <w:p>
            <w:r>
              <w:rPr>
                <w:rFonts w:ascii="Calibri" w:cs="Calibri" w:eastAsia="Calibri" w:hAnsi="Calibri"/>
                <w:sz w:val="19"/>
                <w:szCs w:val="19"/>
              </w:rPr>
              <w:t xml:space="preserve">P2</w:t>
            </w:r>
          </w:p>
        </w:tc>
        <w:tc>
          <w:tcPr>
            <w:tcW w:type="dxa" w:w="4800"/>
            <w:shd w:fill="F5F3FA" w:val="clear"/>
            <w:tcMar>
              <w:top w:type="dxa" w:w="70"/>
              <w:left w:type="dxa" w:w="100"/>
              <w:bottom w:type="dxa" w:w="70"/>
              <w:right w:type="dxa" w:w="100"/>
            </w:tcMar>
          </w:tcPr>
          <w:p>
            <w:r>
              <w:rPr>
                <w:rFonts w:ascii="Calibri" w:cs="Calibri" w:eastAsia="Calibri" w:hAnsi="Calibri"/>
                <w:sz w:val="19"/>
                <w:szCs w:val="19"/>
              </w:rPr>
              <w:t xml:space="preserve">Residency-phase persistence (the post-exit purpose/identity loss) produces measurably greater resource attrition on a repeat-infiltration force than a Crossing-only effect that resets on exit.</w:t>
            </w:r>
          </w:p>
        </w:tc>
        <w:tc>
          <w:tcPr>
            <w:tcW w:type="dxa" w:w="3900"/>
            <w:shd w:fill="F5F3FA" w:val="clear"/>
            <w:tcMar>
              <w:top w:type="dxa" w:w="70"/>
              <w:left w:type="dxa" w:w="100"/>
              <w:bottom w:type="dxa" w:w="70"/>
              <w:right w:type="dxa" w:w="100"/>
            </w:tcMar>
          </w:tcPr>
          <w:p>
            <w:r>
              <w:rPr>
                <w:rFonts w:ascii="Calibri" w:cs="Calibri" w:eastAsia="Calibri" w:hAnsi="Calibri"/>
                <w:sz w:val="19"/>
                <w:szCs w:val="19"/>
              </w:rPr>
              <w:t xml:space="preserve">Repeat-infiltration attrition rates are statistically indistinguishable between persistent and reset-on-exit conditions.</w:t>
            </w:r>
          </w:p>
        </w:tc>
      </w:tr>
      <w:tr>
        <w:tc>
          <w:tcPr>
            <w:tcW w:type="dxa" w:w="700"/>
            <w:shd w:fill="FFFFFF" w:val="clear"/>
            <w:tcMar>
              <w:top w:type="dxa" w:w="70"/>
              <w:left w:type="dxa" w:w="100"/>
              <w:bottom w:type="dxa" w:w="70"/>
              <w:right w:type="dxa" w:w="100"/>
            </w:tcMar>
          </w:tcPr>
          <w:p>
            <w:r>
              <w:rPr>
                <w:rFonts w:ascii="Calibri" w:cs="Calibri" w:eastAsia="Calibri" w:hAnsi="Calibri"/>
                <w:sz w:val="19"/>
                <w:szCs w:val="19"/>
              </w:rPr>
              <w:t xml:space="preserve">P3</w:t>
            </w:r>
          </w:p>
        </w:tc>
        <w:tc>
          <w:tcPr>
            <w:tcW w:type="dxa" w:w="4800"/>
            <w:shd w:fill="FFFFFF" w:val="clear"/>
            <w:tcMar>
              <w:top w:type="dxa" w:w="70"/>
              <w:left w:type="dxa" w:w="100"/>
              <w:bottom w:type="dxa" w:w="70"/>
              <w:right w:type="dxa" w:w="100"/>
            </w:tcMar>
          </w:tcPr>
          <w:p>
            <w:r>
              <w:rPr>
                <w:rFonts w:ascii="Calibri" w:cs="Calibri" w:eastAsia="Calibri" w:hAnsi="Calibri"/>
                <w:sz w:val="19"/>
                <w:szCs w:val="19"/>
              </w:rPr>
              <w:t xml:space="preserve">Authority-level signature acquisition resolves Residency-phase anomaly tracking specifically, without needing to separately defeat the Crossing-phase purpose/identity effect.</w:t>
            </w:r>
          </w:p>
        </w:tc>
        <w:tc>
          <w:tcPr>
            <w:tcW w:type="dxa" w:w="3900"/>
            <w:shd w:fill="FFFFFF" w:val="clear"/>
            <w:tcMar>
              <w:top w:type="dxa" w:w="70"/>
              <w:left w:type="dxa" w:w="100"/>
              <w:bottom w:type="dxa" w:w="70"/>
              <w:right w:type="dxa" w:w="100"/>
            </w:tcMar>
          </w:tcPr>
          <w:p>
            <w:r>
              <w:rPr>
                <w:rFonts w:ascii="Calibri" w:cs="Calibri" w:eastAsia="Calibri" w:hAnsi="Calibri"/>
                <w:sz w:val="19"/>
                <w:szCs w:val="19"/>
              </w:rPr>
              <w:t xml:space="preserve">Authority-signature acquisition also measurably reduces purpose/identity degradation severity, indicating the two are not independent.</w:t>
            </w:r>
          </w:p>
        </w:tc>
      </w:tr>
      <w:tr>
        <w:tc>
          <w:tcPr>
            <w:tcW w:type="dxa" w:w="700"/>
            <w:shd w:fill="F5F3FA" w:val="clear"/>
            <w:tcMar>
              <w:top w:type="dxa" w:w="70"/>
              <w:left w:type="dxa" w:w="100"/>
              <w:bottom w:type="dxa" w:w="70"/>
              <w:right w:type="dxa" w:w="100"/>
            </w:tcMar>
          </w:tcPr>
          <w:p>
            <w:r>
              <w:rPr>
                <w:rFonts w:ascii="Calibri" w:cs="Calibri" w:eastAsia="Calibri" w:hAnsi="Calibri"/>
                <w:sz w:val="19"/>
                <w:szCs w:val="19"/>
              </w:rPr>
              <w:t xml:space="preserve">P4</w:t>
            </w:r>
          </w:p>
        </w:tc>
        <w:tc>
          <w:tcPr>
            <w:tcW w:type="dxa" w:w="4800"/>
            <w:shd w:fill="F5F3FA" w:val="clear"/>
            <w:tcMar>
              <w:top w:type="dxa" w:w="70"/>
              <w:left w:type="dxa" w:w="100"/>
              <w:bottom w:type="dxa" w:w="70"/>
              <w:right w:type="dxa" w:w="100"/>
            </w:tcMar>
          </w:tcPr>
          <w:p>
            <w:r>
              <w:rPr>
                <w:rFonts w:ascii="Calibri" w:cs="Calibri" w:eastAsia="Calibri" w:hAnsi="Calibri"/>
                <w:sz w:val="19"/>
                <w:szCs w:val="19"/>
              </w:rPr>
              <w:t xml:space="preserve">Aesthetic-Residency defenses (adaptation-rule rewriting) sustain salience longer per unit of environmental "effort" than Aesthetic-Crossing defenses (stimulus-intensity escalation alone).</w:t>
            </w:r>
          </w:p>
        </w:tc>
        <w:tc>
          <w:tcPr>
            <w:tcW w:type="dxa" w:w="3900"/>
            <w:shd w:fill="F5F3FA" w:val="clear"/>
            <w:tcMar>
              <w:top w:type="dxa" w:w="70"/>
              <w:left w:type="dxa" w:w="100"/>
              <w:bottom w:type="dxa" w:w="70"/>
              <w:right w:type="dxa" w:w="100"/>
            </w:tcMar>
          </w:tcPr>
          <w:p>
            <w:r>
              <w:rPr>
                <w:rFonts w:ascii="Calibri" w:cs="Calibri" w:eastAsia="Calibri" w:hAnsi="Calibri"/>
                <w:sz w:val="19"/>
                <w:szCs w:val="19"/>
              </w:rPr>
              <w:t xml:space="preserve">Stimulus-escalation-only conditions match or exceed adaptation-rule rewriting on salience retention at equal resource budgets.</w:t>
            </w:r>
          </w:p>
        </w:tc>
      </w:tr>
      <w:tr>
        <w:tc>
          <w:tcPr>
            <w:tcW w:type="dxa" w:w="700"/>
            <w:shd w:fill="FFFFFF" w:val="clear"/>
            <w:tcMar>
              <w:top w:type="dxa" w:w="70"/>
              <w:left w:type="dxa" w:w="100"/>
              <w:bottom w:type="dxa" w:w="70"/>
              <w:right w:type="dxa" w:w="100"/>
            </w:tcMar>
          </w:tcPr>
          <w:p>
            <w:r>
              <w:rPr>
                <w:rFonts w:ascii="Calibri" w:cs="Calibri" w:eastAsia="Calibri" w:hAnsi="Calibri"/>
                <w:sz w:val="19"/>
                <w:szCs w:val="19"/>
              </w:rPr>
              <w:t xml:space="preserve">P5</w:t>
            </w:r>
          </w:p>
        </w:tc>
        <w:tc>
          <w:tcPr>
            <w:tcW w:type="dxa" w:w="4800"/>
            <w:shd w:fill="FFFFFF" w:val="clear"/>
            <w:tcMar>
              <w:top w:type="dxa" w:w="70"/>
              <w:left w:type="dxa" w:w="100"/>
              <w:bottom w:type="dxa" w:w="70"/>
              <w:right w:type="dxa" w:w="100"/>
            </w:tcMar>
          </w:tcPr>
          <w:p>
            <w:r>
              <w:rPr>
                <w:rFonts w:ascii="Calibri" w:cs="Calibri" w:eastAsia="Calibri" w:hAnsi="Calibri"/>
                <w:sz w:val="19"/>
                <w:szCs w:val="19"/>
              </w:rPr>
              <w:t xml:space="preserve">Omnicellular-physiology-style adaptation shifts which phase a defense is effective in (e.g., defeats Crossing but not Residency) rather than defeating the defense outright at every phase.</w:t>
            </w:r>
          </w:p>
        </w:tc>
        <w:tc>
          <w:tcPr>
            <w:tcW w:type="dxa" w:w="3900"/>
            <w:shd w:fill="FFFFFF" w:val="clear"/>
            <w:tcMar>
              <w:top w:type="dxa" w:w="70"/>
              <w:left w:type="dxa" w:w="100"/>
              <w:bottom w:type="dxa" w:w="70"/>
              <w:right w:type="dxa" w:w="100"/>
            </w:tcMar>
          </w:tcPr>
          <w:p>
            <w:r>
              <w:rPr>
                <w:rFonts w:ascii="Calibri" w:cs="Calibri" w:eastAsia="Calibri" w:hAnsi="Calibri"/>
                <w:sz w:val="19"/>
                <w:szCs w:val="19"/>
              </w:rPr>
              <w:t xml:space="preserve">An adapted entrant bypasses the same defense at all three phases using a single, unmodified adaptation strategy.</w:t>
            </w:r>
          </w:p>
        </w:tc>
      </w:tr>
    </w:tbl>
    <w:p>
      <w:pPr>
        <w:pStyle w:val="Heading1"/>
        <w:spacing w:after="140" w:before="260"/>
      </w:pPr>
      <w:r>
        <w:rPr>
          <w:rFonts w:ascii="Calibri" w:cs="Calibri" w:eastAsia="Calibri" w:hAnsi="Calibri"/>
          <w:b/>
          <w:bCs/>
          <w:color w:val="1F2A44"/>
        </w:rPr>
        <w:t xml:space="preserve">8. Coverage Gaps and Research Priorities</w:t>
      </w:r>
    </w:p>
    <w:p>
      <w:pPr>
        <w:spacing w:after="160" w:line="276"/>
      </w:pPr>
      <w:r>
        <w:rPr>
          <w:rFonts w:ascii="Calibri" w:cs="Calibri" w:eastAsia="Calibri" w:hAnsi="Calibri"/>
          <w:sz w:val="21"/>
          <w:szCs w:val="21"/>
        </w:rPr>
        <w:t xml:space="preserve">Because ITM requires an explicit answer at every phase, it surfaces gaps that a mechanism-pair or layer-stack framing can leave implicit. Three are flagged as first-priority laboratory questions:</w:t>
      </w:r>
    </w:p>
    <w:p>
      <w:pPr>
        <w:pStyle w:val="ListParagraph"/>
        <w:numPr>
          <w:ilvl w:val="0"/>
          <w:numId w:val="2"/>
        </w:numPr>
        <w:spacing w:after="90" w:line="264"/>
      </w:pPr>
      <w:r>
        <w:rPr>
          <w:rFonts w:ascii="Calibri" w:cs="Calibri" w:eastAsia="Calibri" w:hAnsi="Calibri"/>
          <w:sz w:val="21"/>
          <w:szCs w:val="21"/>
        </w:rPr>
        <w:t xml:space="preserve">Approach-phase silence on purpose/identity disruption. Nothing in the source material describes the environment doing anything to an entrant before the threshold is physically crossed. Is this a deliberate design choice (the effect should only ever trigger on commitment) or an unexamined gap the Architect may want to close?</w:t>
      </w:r>
    </w:p>
    <w:p>
      <w:pPr>
        <w:pStyle w:val="ListParagraph"/>
        <w:numPr>
          <w:ilvl w:val="0"/>
          <w:numId w:val="2"/>
        </w:numPr>
        <w:spacing w:after="90" w:line="264"/>
      </w:pPr>
      <w:r>
        <w:rPr>
          <w:rFonts w:ascii="Calibri" w:cs="Calibri" w:eastAsia="Calibri" w:hAnsi="Calibri"/>
          <w:sz w:val="21"/>
          <w:szCs w:val="21"/>
        </w:rPr>
        <w:t xml:space="preserve">Reversibility is undefined. The source material states persistence after exit but never specifies whether, or under what conditions, the Crossing-phase effect can be reversed. This is a canon decision the laboratory cannot make on the Architect's behalf — Series R (Section 9) is designed to produce the data the Architect would need to decide.</w:t>
      </w:r>
    </w:p>
    <w:p>
      <w:pPr>
        <w:pStyle w:val="ListParagraph"/>
        <w:numPr>
          <w:ilvl w:val="0"/>
          <w:numId w:val="2"/>
        </w:numPr>
        <w:spacing w:after="90" w:line="264"/>
      </w:pPr>
      <w:r>
        <w:rPr>
          <w:rFonts w:ascii="Calibri" w:cs="Calibri" w:eastAsia="Calibri" w:hAnsi="Calibri"/>
          <w:sz w:val="21"/>
          <w:szCs w:val="21"/>
        </w:rPr>
        <w:t xml:space="preserve">Interaction between the two mechanism families across phases is untested. The source material develops threshold-erasure and aesthetic-restructuring largely in parallel voice dumps; whether an entrant undergoing both simultaneously experiences compounding, interference, or independent effects is an open empirical question for the laboratory rather than an assumption to bake into the design.</w:t>
      </w:r>
    </w:p>
    <w:p>
      <w:pPr>
        <w:pStyle w:val="Heading1"/>
        <w:spacing w:after="140" w:before="260"/>
      </w:pPr>
      <w:r>
        <w:rPr>
          <w:rFonts w:ascii="Calibri" w:cs="Calibri" w:eastAsia="Calibri" w:hAnsi="Calibri"/>
          <w:b/>
          <w:bCs/>
          <w:color w:val="1F2A44"/>
        </w:rPr>
        <w:t xml:space="preserve">9. Laboratory Architecture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5B4B8A" w:val="clear"/>
            <w:tcMar>
              <w:top w:type="dxa" w:w="70"/>
              <w:left w:type="dxa" w:w="100"/>
              <w:bottom w:type="dxa" w:w="70"/>
              <w:right w:type="dxa" w:w="100"/>
            </w:tcMar>
          </w:tcPr>
          <w:p>
            <w:r>
              <w:rPr>
                <w:rFonts w:ascii="Calibri" w:cs="Calibri" w:eastAsia="Calibri" w:hAnsi="Calibri"/>
                <w:b/>
                <w:bCs/>
                <w:color w:val="FFFFFF"/>
                <w:sz w:val="19"/>
                <w:szCs w:val="19"/>
              </w:rPr>
              <w:t xml:space="preserve">Component</w:t>
            </w:r>
          </w:p>
        </w:tc>
        <w:tc>
          <w:tcPr>
            <w:tcW w:type="dxa" w:w="6800"/>
            <w:shd w:fill="5B4B8A" w:val="clear"/>
            <w:tcMar>
              <w:top w:type="dxa" w:w="70"/>
              <w:left w:type="dxa" w:w="100"/>
              <w:bottom w:type="dxa" w:w="70"/>
              <w:right w:type="dxa" w:w="100"/>
            </w:tcMar>
          </w:tcPr>
          <w:p>
            <w:r>
              <w:rPr>
                <w:rFonts w:ascii="Calibri" w:cs="Calibri" w:eastAsia="Calibri" w:hAnsi="Calibri"/>
                <w:b/>
                <w:bCs/>
                <w:color w:val="FFFFFF"/>
                <w:sz w:val="19"/>
                <w:szCs w:val="19"/>
              </w:rPr>
              <w:t xml:space="preserve">Function</w:t>
            </w:r>
          </w:p>
        </w:tc>
      </w:tr>
      <w:tr>
        <w:tc>
          <w:tcPr>
            <w:tcW w:type="dxa" w:w="2600"/>
            <w:shd w:fill="FFFFFF" w:val="clear"/>
            <w:tcMar>
              <w:top w:type="dxa" w:w="70"/>
              <w:left w:type="dxa" w:w="100"/>
              <w:bottom w:type="dxa" w:w="70"/>
              <w:right w:type="dxa" w:w="100"/>
            </w:tcMar>
          </w:tcPr>
          <w:p>
            <w:r>
              <w:rPr>
                <w:rFonts w:ascii="Calibri" w:cs="Calibri" w:eastAsia="Calibri" w:hAnsi="Calibri"/>
                <w:sz w:val="19"/>
                <w:szCs w:val="19"/>
              </w:rPr>
              <w:t xml:space="preserve">Timeline Instrumentation Rig</w:t>
            </w:r>
          </w:p>
        </w:tc>
        <w:tc>
          <w:tcPr>
            <w:tcW w:type="dxa" w:w="6800"/>
            <w:shd w:fill="FFFFFF" w:val="clear"/>
            <w:tcMar>
              <w:top w:type="dxa" w:w="70"/>
              <w:left w:type="dxa" w:w="100"/>
              <w:bottom w:type="dxa" w:w="70"/>
              <w:right w:type="dxa" w:w="100"/>
            </w:tcMar>
          </w:tcPr>
          <w:p>
            <w:r>
              <w:rPr>
                <w:rFonts w:ascii="Calibri" w:cs="Calibri" w:eastAsia="Calibri" w:hAnsi="Calibri"/>
                <w:sz w:val="19"/>
                <w:szCs w:val="19"/>
              </w:rPr>
              <w:t xml:space="preserve">Continuous phase-tagged logging that stamps every measured event as Approach, Crossing, or Residency, so later analysis can be filtered by phase without re-deriving it.</w:t>
            </w:r>
          </w:p>
        </w:tc>
      </w:tr>
      <w:tr>
        <w:tc>
          <w:tcPr>
            <w:tcW w:type="dxa" w:w="2600"/>
            <w:shd w:fill="F5F3FA" w:val="clear"/>
            <w:tcMar>
              <w:top w:type="dxa" w:w="70"/>
              <w:left w:type="dxa" w:w="100"/>
              <w:bottom w:type="dxa" w:w="70"/>
              <w:right w:type="dxa" w:w="100"/>
            </w:tcMar>
          </w:tcPr>
          <w:p>
            <w:r>
              <w:rPr>
                <w:rFonts w:ascii="Calibri" w:cs="Calibri" w:eastAsia="Calibri" w:hAnsi="Calibri"/>
                <w:sz w:val="19"/>
                <w:szCs w:val="19"/>
              </w:rPr>
              <w:t xml:space="preserve">Approach Sensor Bank</w:t>
            </w:r>
          </w:p>
        </w:tc>
        <w:tc>
          <w:tcPr>
            <w:tcW w:type="dxa" w:w="6800"/>
            <w:shd w:fill="F5F3FA" w:val="clear"/>
            <w:tcMar>
              <w:top w:type="dxa" w:w="70"/>
              <w:left w:type="dxa" w:w="100"/>
              <w:bottom w:type="dxa" w:w="70"/>
              <w:right w:type="dxa" w:w="100"/>
            </w:tcMar>
          </w:tcPr>
          <w:p>
            <w:r>
              <w:rPr>
                <w:rFonts w:ascii="Calibri" w:cs="Calibri" w:eastAsia="Calibri" w:hAnsi="Calibri"/>
                <w:sz w:val="19"/>
                <w:szCs w:val="19"/>
              </w:rPr>
              <w:t xml:space="preserve">Pre-threshold detection/classification/lure modeling; the newest component, built specifically to close the Approach-phase gap identified in Section 8.</w:t>
            </w:r>
          </w:p>
        </w:tc>
      </w:tr>
      <w:tr>
        <w:tc>
          <w:tcPr>
            <w:tcW w:type="dxa" w:w="2600"/>
            <w:shd w:fill="FFFFFF" w:val="clear"/>
            <w:tcMar>
              <w:top w:type="dxa" w:w="70"/>
              <w:left w:type="dxa" w:w="100"/>
              <w:bottom w:type="dxa" w:w="70"/>
              <w:right w:type="dxa" w:w="100"/>
            </w:tcMar>
          </w:tcPr>
          <w:p>
            <w:r>
              <w:rPr>
                <w:rFonts w:ascii="Calibri" w:cs="Calibri" w:eastAsia="Calibri" w:hAnsi="Calibri"/>
                <w:sz w:val="19"/>
                <w:szCs w:val="19"/>
              </w:rPr>
              <w:t xml:space="preserve">Crossing Event Capture</w:t>
            </w:r>
          </w:p>
        </w:tc>
        <w:tc>
          <w:tcPr>
            <w:tcW w:type="dxa" w:w="6800"/>
            <w:shd w:fill="FFFFFF" w:val="clear"/>
            <w:tcMar>
              <w:top w:type="dxa" w:w="70"/>
              <w:left w:type="dxa" w:w="100"/>
              <w:bottom w:type="dxa" w:w="70"/>
              <w:right w:type="dxa" w:w="100"/>
            </w:tcMar>
          </w:tcPr>
          <w:p>
            <w:r>
              <w:rPr>
                <w:rFonts w:ascii="Calibri" w:cs="Calibri" w:eastAsia="Calibri" w:hAnsi="Calibri"/>
                <w:sz w:val="19"/>
                <w:szCs w:val="19"/>
              </w:rPr>
              <w:t xml:space="preserve">High-resolution snapshot of entrant state immediately before and immediately after threshold transit — mission checksum, identity-layer state, perceptual baseline.</w:t>
            </w:r>
          </w:p>
        </w:tc>
      </w:tr>
      <w:tr>
        <w:tc>
          <w:tcPr>
            <w:tcW w:type="dxa" w:w="2600"/>
            <w:shd w:fill="F5F3FA" w:val="clear"/>
            <w:tcMar>
              <w:top w:type="dxa" w:w="70"/>
              <w:left w:type="dxa" w:w="100"/>
              <w:bottom w:type="dxa" w:w="70"/>
              <w:right w:type="dxa" w:w="100"/>
            </w:tcMar>
          </w:tcPr>
          <w:p>
            <w:r>
              <w:rPr>
                <w:rFonts w:ascii="Calibri" w:cs="Calibri" w:eastAsia="Calibri" w:hAnsi="Calibri"/>
                <w:sz w:val="19"/>
                <w:szCs w:val="19"/>
              </w:rPr>
              <w:t xml:space="preserve">Residency Decay Tracker</w:t>
            </w:r>
          </w:p>
        </w:tc>
        <w:tc>
          <w:tcPr>
            <w:tcW w:type="dxa" w:w="6800"/>
            <w:shd w:fill="F5F3FA" w:val="clear"/>
            <w:tcMar>
              <w:top w:type="dxa" w:w="70"/>
              <w:left w:type="dxa" w:w="100"/>
              <w:bottom w:type="dxa" w:w="70"/>
              <w:right w:type="dxa" w:w="100"/>
            </w:tcMar>
          </w:tcPr>
          <w:p>
            <w:r>
              <w:rPr>
                <w:rFonts w:ascii="Calibri" w:cs="Calibri" w:eastAsia="Calibri" w:hAnsi="Calibri"/>
                <w:sz w:val="19"/>
                <w:szCs w:val="19"/>
              </w:rPr>
              <w:t xml:space="preserve">Long-duration monitoring of persistence, decay, escalation, or correction across both continued presence and post-exit follow-up windows.</w:t>
            </w:r>
          </w:p>
        </w:tc>
      </w:tr>
      <w:tr>
        <w:tc>
          <w:tcPr>
            <w:tcW w:type="dxa" w:w="2600"/>
            <w:shd w:fill="FFFFFF" w:val="clear"/>
            <w:tcMar>
              <w:top w:type="dxa" w:w="70"/>
              <w:left w:type="dxa" w:w="100"/>
              <w:bottom w:type="dxa" w:w="70"/>
              <w:right w:type="dxa" w:w="100"/>
            </w:tcMar>
          </w:tcPr>
          <w:p>
            <w:r>
              <w:rPr>
                <w:rFonts w:ascii="Calibri" w:cs="Calibri" w:eastAsia="Calibri" w:hAnsi="Calibri"/>
                <w:sz w:val="19"/>
                <w:szCs w:val="19"/>
              </w:rPr>
              <w:t xml:space="preserve">Entrant Model Bank</w:t>
            </w:r>
          </w:p>
        </w:tc>
        <w:tc>
          <w:tcPr>
            <w:tcW w:type="dxa" w:w="6800"/>
            <w:shd w:fill="FFFFFF" w:val="clear"/>
            <w:tcMar>
              <w:top w:type="dxa" w:w="70"/>
              <w:left w:type="dxa" w:w="100"/>
              <w:bottom w:type="dxa" w:w="70"/>
              <w:right w:type="dxa" w:w="100"/>
            </w:tcMar>
          </w:tcPr>
          <w:p>
            <w:r>
              <w:rPr>
                <w:rFonts w:ascii="Calibri" w:cs="Calibri" w:eastAsia="Calibri" w:hAnsi="Calibri"/>
                <w:sz w:val="19"/>
                <w:szCs w:val="19"/>
              </w:rPr>
              <w:t xml:space="preserve">Naive, trained, externally-anchored, masking-capable, and omnicellular-physiology-style synthetic agents, reused across all three phases for consistency.</w:t>
            </w:r>
          </w:p>
        </w:tc>
      </w:tr>
      <w:tr>
        <w:tc>
          <w:tcPr>
            <w:tcW w:type="dxa" w:w="2600"/>
            <w:shd w:fill="F5F3FA" w:val="clear"/>
            <w:tcMar>
              <w:top w:type="dxa" w:w="70"/>
              <w:left w:type="dxa" w:w="100"/>
              <w:bottom w:type="dxa" w:w="70"/>
              <w:right w:type="dxa" w:w="100"/>
            </w:tcMar>
          </w:tcPr>
          <w:p>
            <w:r>
              <w:rPr>
                <w:rFonts w:ascii="Calibri" w:cs="Calibri" w:eastAsia="Calibri" w:hAnsi="Calibri"/>
                <w:sz w:val="19"/>
                <w:szCs w:val="19"/>
              </w:rPr>
              <w:t xml:space="preserve">Architect Control Plane</w:t>
            </w:r>
          </w:p>
        </w:tc>
        <w:tc>
          <w:tcPr>
            <w:tcW w:type="dxa" w:w="6800"/>
            <w:shd w:fill="F5F3FA" w:val="clear"/>
            <w:tcMar>
              <w:top w:type="dxa" w:w="70"/>
              <w:left w:type="dxa" w:w="100"/>
              <w:bottom w:type="dxa" w:w="70"/>
              <w:right w:type="dxa" w:w="100"/>
            </w:tcMar>
          </w:tcPr>
          <w:p>
            <w:r>
              <w:rPr>
                <w:rFonts w:ascii="Calibri" w:cs="Calibri" w:eastAsia="Calibri" w:hAnsi="Calibri"/>
                <w:sz w:val="19"/>
                <w:szCs w:val="19"/>
              </w:rPr>
              <w:t xml:space="preserve">Scenario definition, phase-specific parameter control, ratification queue, and emergency interrupt.</w:t>
            </w:r>
          </w:p>
        </w:tc>
      </w:tr>
      <w:tr>
        <w:tc>
          <w:tcPr>
            <w:tcW w:type="dxa" w:w="2600"/>
            <w:shd w:fill="FFFFFF" w:val="clear"/>
            <w:tcMar>
              <w:top w:type="dxa" w:w="70"/>
              <w:left w:type="dxa" w:w="100"/>
              <w:bottom w:type="dxa" w:w="70"/>
              <w:right w:type="dxa" w:w="100"/>
            </w:tcMar>
          </w:tcPr>
          <w:p>
            <w:r>
              <w:rPr>
                <w:rFonts w:ascii="Calibri" w:cs="Calibri" w:eastAsia="Calibri" w:hAnsi="Calibri"/>
                <w:sz w:val="19"/>
                <w:szCs w:val="19"/>
              </w:rPr>
              <w:t xml:space="preserve">Coverage Map Generator</w:t>
            </w:r>
          </w:p>
        </w:tc>
        <w:tc>
          <w:tcPr>
            <w:tcW w:type="dxa" w:w="6800"/>
            <w:shd w:fill="FFFFFF" w:val="clear"/>
            <w:tcMar>
              <w:top w:type="dxa" w:w="70"/>
              <w:left w:type="dxa" w:w="100"/>
              <w:bottom w:type="dxa" w:w="70"/>
              <w:right w:type="dxa" w:w="100"/>
            </w:tcMar>
          </w:tcPr>
          <w:p>
            <w:r>
              <w:rPr>
                <w:rFonts w:ascii="Calibri" w:cs="Calibri" w:eastAsia="Calibri" w:hAnsi="Calibri"/>
                <w:sz w:val="19"/>
                <w:szCs w:val="19"/>
              </w:rPr>
              <w:t xml:space="preserve">Produces the single-glance phase-coverage table (as in Section 6) for any mechanism submitted to the laboratory, including future OAL concepts beyond this source material.</w:t>
            </w:r>
          </w:p>
        </w:tc>
      </w:tr>
    </w:tbl>
    <w:p>
      <w:pPr>
        <w:pStyle w:val="Heading1"/>
        <w:spacing w:after="140" w:before="260"/>
      </w:pPr>
      <w:r>
        <w:rPr>
          <w:rFonts w:ascii="Calibri" w:cs="Calibri" w:eastAsia="Calibri" w:hAnsi="Calibri"/>
          <w:b/>
          <w:bCs/>
          <w:color w:val="1F2A44"/>
        </w:rPr>
        <w:t xml:space="preserve">10. Test Series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4200"/>
        <w:gridCol w:w="2000"/>
      </w:tblGrid>
      <w:tr>
        <w:trPr>
          <w:tblHeader/>
        </w:trPr>
        <w:tc>
          <w:tcPr>
            <w:tcW w:type="dxa" w:w="1800"/>
            <w:shd w:fill="5B4B8A" w:val="clear"/>
            <w:tcMar>
              <w:top w:type="dxa" w:w="70"/>
              <w:left w:type="dxa" w:w="100"/>
              <w:bottom w:type="dxa" w:w="70"/>
              <w:right w:type="dxa" w:w="100"/>
            </w:tcMar>
          </w:tcPr>
          <w:p>
            <w:r>
              <w:rPr>
                <w:rFonts w:ascii="Calibri" w:cs="Calibri" w:eastAsia="Calibri" w:hAnsi="Calibri"/>
                <w:b/>
                <w:bCs/>
                <w:color w:val="FFFFFF"/>
                <w:sz w:val="19"/>
                <w:szCs w:val="19"/>
              </w:rPr>
              <w:t xml:space="preserve">Series</w:t>
            </w:r>
          </w:p>
        </w:tc>
        <w:tc>
          <w:tcPr>
            <w:tcW w:type="dxa" w:w="1400"/>
            <w:shd w:fill="5B4B8A" w:val="clear"/>
            <w:tcMar>
              <w:top w:type="dxa" w:w="70"/>
              <w:left w:type="dxa" w:w="100"/>
              <w:bottom w:type="dxa" w:w="70"/>
              <w:right w:type="dxa" w:w="100"/>
            </w:tcMar>
          </w:tcPr>
          <w:p>
            <w:r>
              <w:rPr>
                <w:rFonts w:ascii="Calibri" w:cs="Calibri" w:eastAsia="Calibri" w:hAnsi="Calibri"/>
                <w:b/>
                <w:bCs/>
                <w:color w:val="FFFFFF"/>
                <w:sz w:val="19"/>
                <w:szCs w:val="19"/>
              </w:rPr>
              <w:t xml:space="preserve">Phase Focus</w:t>
            </w:r>
          </w:p>
        </w:tc>
        <w:tc>
          <w:tcPr>
            <w:tcW w:type="dxa" w:w="4200"/>
            <w:shd w:fill="5B4B8A" w:val="clear"/>
            <w:tcMar>
              <w:top w:type="dxa" w:w="70"/>
              <w:left w:type="dxa" w:w="100"/>
              <w:bottom w:type="dxa" w:w="70"/>
              <w:right w:type="dxa" w:w="100"/>
            </w:tcMar>
          </w:tcPr>
          <w:p>
            <w:r>
              <w:rPr>
                <w:rFonts w:ascii="Calibri" w:cs="Calibri" w:eastAsia="Calibri" w:hAnsi="Calibri"/>
                <w:b/>
                <w:bCs/>
                <w:color w:val="FFFFFF"/>
                <w:sz w:val="19"/>
                <w:szCs w:val="19"/>
              </w:rPr>
              <w:t xml:space="preserve">Method</w:t>
            </w:r>
          </w:p>
        </w:tc>
        <w:tc>
          <w:tcPr>
            <w:tcW w:type="dxa" w:w="2000"/>
            <w:shd w:fill="5B4B8A" w:val="clear"/>
            <w:tcMar>
              <w:top w:type="dxa" w:w="70"/>
              <w:left w:type="dxa" w:w="100"/>
              <w:bottom w:type="dxa" w:w="70"/>
              <w:right w:type="dxa" w:w="100"/>
            </w:tcMar>
          </w:tcPr>
          <w:p>
            <w:r>
              <w:rPr>
                <w:rFonts w:ascii="Calibri" w:cs="Calibri" w:eastAsia="Calibri" w:hAnsi="Calibri"/>
                <w:b/>
                <w:bCs/>
                <w:color w:val="FFFFFF"/>
                <w:sz w:val="19"/>
                <w:szCs w:val="19"/>
              </w:rPr>
              <w:t xml:space="preserve">Primary Output</w:t>
            </w:r>
          </w:p>
        </w:tc>
      </w:tr>
      <w:tr>
        <w:tc>
          <w:tcPr>
            <w:tcW w:type="dxa" w:w="1800"/>
            <w:shd w:fill="FFFFFF" w:val="clear"/>
            <w:tcMar>
              <w:top w:type="dxa" w:w="70"/>
              <w:left w:type="dxa" w:w="100"/>
              <w:bottom w:type="dxa" w:w="70"/>
              <w:right w:type="dxa" w:w="100"/>
            </w:tcMar>
          </w:tcPr>
          <w:p>
            <w:r>
              <w:rPr>
                <w:rFonts w:ascii="Calibri" w:cs="Calibri" w:eastAsia="Calibri" w:hAnsi="Calibri"/>
                <w:sz w:val="19"/>
                <w:szCs w:val="19"/>
              </w:rPr>
              <w:t xml:space="preserve">Series A — Approach Baseline</w:t>
            </w:r>
          </w:p>
        </w:tc>
        <w:tc>
          <w:tcPr>
            <w:tcW w:type="dxa" w:w="1400"/>
            <w:shd w:fill="FFFFFF" w:val="clear"/>
            <w:tcMar>
              <w:top w:type="dxa" w:w="70"/>
              <w:left w:type="dxa" w:w="100"/>
              <w:bottom w:type="dxa" w:w="70"/>
              <w:right w:type="dxa" w:w="100"/>
            </w:tcMar>
          </w:tcPr>
          <w:p>
            <w:r>
              <w:rPr>
                <w:rFonts w:ascii="Calibri" w:cs="Calibri" w:eastAsia="Calibri" w:hAnsi="Calibri"/>
                <w:sz w:val="19"/>
                <w:szCs w:val="19"/>
              </w:rPr>
              <w:t xml:space="preserve">Approach</w:t>
            </w:r>
          </w:p>
        </w:tc>
        <w:tc>
          <w:tcPr>
            <w:tcW w:type="dxa" w:w="4200"/>
            <w:shd w:fill="FFFFFF" w:val="clear"/>
            <w:tcMar>
              <w:top w:type="dxa" w:w="70"/>
              <w:left w:type="dxa" w:w="100"/>
              <w:bottom w:type="dxa" w:w="70"/>
              <w:right w:type="dxa" w:w="100"/>
            </w:tcMar>
          </w:tcPr>
          <w:p>
            <w:r>
              <w:rPr>
                <w:rFonts w:ascii="Calibri" w:cs="Calibri" w:eastAsia="Calibri" w:hAnsi="Calibri"/>
                <w:sz w:val="19"/>
                <w:szCs w:val="19"/>
              </w:rPr>
              <w:t xml:space="preserve">Introduce entrants under varying reconnaissance/staging strategies against a fixed Crossing/Residency defense; measure whether Approach-phase silence is exploitable.</w:t>
            </w:r>
          </w:p>
        </w:tc>
        <w:tc>
          <w:tcPr>
            <w:tcW w:type="dxa" w:w="2000"/>
            <w:shd w:fill="FFFFFF" w:val="clear"/>
            <w:tcMar>
              <w:top w:type="dxa" w:w="70"/>
              <w:left w:type="dxa" w:w="100"/>
              <w:bottom w:type="dxa" w:w="70"/>
              <w:right w:type="dxa" w:w="100"/>
            </w:tcMar>
          </w:tcPr>
          <w:p>
            <w:r>
              <w:rPr>
                <w:rFonts w:ascii="Calibri" w:cs="Calibri" w:eastAsia="Calibri" w:hAnsi="Calibri"/>
                <w:sz w:val="19"/>
                <w:szCs w:val="19"/>
              </w:rPr>
              <w:t xml:space="preserve">Approach-gap exploitability index.</w:t>
            </w:r>
          </w:p>
        </w:tc>
      </w:tr>
      <w:tr>
        <w:tc>
          <w:tcPr>
            <w:tcW w:type="dxa" w:w="1800"/>
            <w:shd w:fill="F5F3FA" w:val="clear"/>
            <w:tcMar>
              <w:top w:type="dxa" w:w="70"/>
              <w:left w:type="dxa" w:w="100"/>
              <w:bottom w:type="dxa" w:w="70"/>
              <w:right w:type="dxa" w:w="100"/>
            </w:tcMar>
          </w:tcPr>
          <w:p>
            <w:r>
              <w:rPr>
                <w:rFonts w:ascii="Calibri" w:cs="Calibri" w:eastAsia="Calibri" w:hAnsi="Calibri"/>
                <w:sz w:val="19"/>
                <w:szCs w:val="19"/>
              </w:rPr>
              <w:t xml:space="preserve">Series B — Crossing Onset</w:t>
            </w:r>
          </w:p>
        </w:tc>
        <w:tc>
          <w:tcPr>
            <w:tcW w:type="dxa" w:w="1400"/>
            <w:shd w:fill="F5F3FA" w:val="clear"/>
            <w:tcMar>
              <w:top w:type="dxa" w:w="70"/>
              <w:left w:type="dxa" w:w="100"/>
              <w:bottom w:type="dxa" w:w="70"/>
              <w:right w:type="dxa" w:w="100"/>
            </w:tcMar>
          </w:tcPr>
          <w:p>
            <w:r>
              <w:rPr>
                <w:rFonts w:ascii="Calibri" w:cs="Calibri" w:eastAsia="Calibri" w:hAnsi="Calibri"/>
                <w:sz w:val="19"/>
                <w:szCs w:val="19"/>
              </w:rPr>
              <w:t xml:space="preserve">Crossing</w:t>
            </w:r>
          </w:p>
        </w:tc>
        <w:tc>
          <w:tcPr>
            <w:tcW w:type="dxa" w:w="4200"/>
            <w:shd w:fill="F5F3FA" w:val="clear"/>
            <w:tcMar>
              <w:top w:type="dxa" w:w="70"/>
              <w:left w:type="dxa" w:w="100"/>
              <w:bottom w:type="dxa" w:w="70"/>
              <w:right w:type="dxa" w:w="100"/>
            </w:tcMar>
          </w:tcPr>
          <w:p>
            <w:r>
              <w:rPr>
                <w:rFonts w:ascii="Calibri" w:cs="Calibri" w:eastAsia="Calibri" w:hAnsi="Calibri"/>
                <w:sz w:val="19"/>
                <w:szCs w:val="19"/>
              </w:rPr>
              <w:t xml:space="preserve">Vary threshold geometry, warning cues, and entrant preparation; measure onset latency and completeness of purpose/identity/perceptual disruption.</w:t>
            </w:r>
          </w:p>
        </w:tc>
        <w:tc>
          <w:tcPr>
            <w:tcW w:type="dxa" w:w="2000"/>
            <w:shd w:fill="F5F3FA" w:val="clear"/>
            <w:tcMar>
              <w:top w:type="dxa" w:w="70"/>
              <w:left w:type="dxa" w:w="100"/>
              <w:bottom w:type="dxa" w:w="70"/>
              <w:right w:type="dxa" w:w="100"/>
            </w:tcMar>
          </w:tcPr>
          <w:p>
            <w:r>
              <w:rPr>
                <w:rFonts w:ascii="Calibri" w:cs="Calibri" w:eastAsia="Calibri" w:hAnsi="Calibri"/>
                <w:sz w:val="19"/>
                <w:szCs w:val="19"/>
              </w:rPr>
              <w:t xml:space="preserve">Onset latency and completeness curves.</w:t>
            </w:r>
          </w:p>
        </w:tc>
      </w:tr>
      <w:tr>
        <w:tc>
          <w:tcPr>
            <w:tcW w:type="dxa" w:w="1800"/>
            <w:shd w:fill="FFFFFF" w:val="clear"/>
            <w:tcMar>
              <w:top w:type="dxa" w:w="70"/>
              <w:left w:type="dxa" w:w="100"/>
              <w:bottom w:type="dxa" w:w="70"/>
              <w:right w:type="dxa" w:w="100"/>
            </w:tcMar>
          </w:tcPr>
          <w:p>
            <w:r>
              <w:rPr>
                <w:rFonts w:ascii="Calibri" w:cs="Calibri" w:eastAsia="Calibri" w:hAnsi="Calibri"/>
                <w:sz w:val="19"/>
                <w:szCs w:val="19"/>
              </w:rPr>
              <w:t xml:space="preserve">Series C — Residency Persistence &amp; Decay</w:t>
            </w:r>
          </w:p>
        </w:tc>
        <w:tc>
          <w:tcPr>
            <w:tcW w:type="dxa" w:w="1400"/>
            <w:shd w:fill="FFFFFF" w:val="clear"/>
            <w:tcMar>
              <w:top w:type="dxa" w:w="70"/>
              <w:left w:type="dxa" w:w="100"/>
              <w:bottom w:type="dxa" w:w="70"/>
              <w:right w:type="dxa" w:w="100"/>
            </w:tcMar>
          </w:tcPr>
          <w:p>
            <w:r>
              <w:rPr>
                <w:rFonts w:ascii="Calibri" w:cs="Calibri" w:eastAsia="Calibri" w:hAnsi="Calibri"/>
                <w:sz w:val="19"/>
                <w:szCs w:val="19"/>
              </w:rPr>
              <w:t xml:space="preserve">Residency</w:t>
            </w:r>
          </w:p>
        </w:tc>
        <w:tc>
          <w:tcPr>
            <w:tcW w:type="dxa" w:w="4200"/>
            <w:shd w:fill="FFFFFF" w:val="clear"/>
            <w:tcMar>
              <w:top w:type="dxa" w:w="70"/>
              <w:left w:type="dxa" w:w="100"/>
              <w:bottom w:type="dxa" w:w="70"/>
              <w:right w:type="dxa" w:w="100"/>
            </w:tcMar>
          </w:tcPr>
          <w:p>
            <w:r>
              <w:rPr>
                <w:rFonts w:ascii="Calibri" w:cs="Calibri" w:eastAsia="Calibri" w:hAnsi="Calibri"/>
                <w:sz w:val="19"/>
                <w:szCs w:val="19"/>
              </w:rPr>
              <w:t xml:space="preserve">Track purpose/identity state and aesthetic salience continuously after exit under varying persistence parameters, including a reversibility sweep.</w:t>
            </w:r>
          </w:p>
        </w:tc>
        <w:tc>
          <w:tcPr>
            <w:tcW w:type="dxa" w:w="2000"/>
            <w:shd w:fill="FFFFFF" w:val="clear"/>
            <w:tcMar>
              <w:top w:type="dxa" w:w="70"/>
              <w:left w:type="dxa" w:w="100"/>
              <w:bottom w:type="dxa" w:w="70"/>
              <w:right w:type="dxa" w:w="100"/>
            </w:tcMar>
          </w:tcPr>
          <w:p>
            <w:r>
              <w:rPr>
                <w:rFonts w:ascii="Calibri" w:cs="Calibri" w:eastAsia="Calibri" w:hAnsi="Calibri"/>
                <w:sz w:val="19"/>
                <w:szCs w:val="19"/>
              </w:rPr>
              <w:t xml:space="preserve">Persistence half-life; reversibility conditions map.</w:t>
            </w:r>
          </w:p>
        </w:tc>
      </w:tr>
      <w:tr>
        <w:tc>
          <w:tcPr>
            <w:tcW w:type="dxa" w:w="1800"/>
            <w:shd w:fill="F5F3FA" w:val="clear"/>
            <w:tcMar>
              <w:top w:type="dxa" w:w="70"/>
              <w:left w:type="dxa" w:w="100"/>
              <w:bottom w:type="dxa" w:w="70"/>
              <w:right w:type="dxa" w:w="100"/>
            </w:tcMar>
          </w:tcPr>
          <w:p>
            <w:r>
              <w:rPr>
                <w:rFonts w:ascii="Calibri" w:cs="Calibri" w:eastAsia="Calibri" w:hAnsi="Calibri"/>
                <w:sz w:val="19"/>
                <w:szCs w:val="19"/>
              </w:rPr>
              <w:t xml:space="preserve">Series D — Cross-Phase Interaction</w:t>
            </w:r>
          </w:p>
        </w:tc>
        <w:tc>
          <w:tcPr>
            <w:tcW w:type="dxa" w:w="1400"/>
            <w:shd w:fill="F5F3FA" w:val="clear"/>
            <w:tcMar>
              <w:top w:type="dxa" w:w="70"/>
              <w:left w:type="dxa" w:w="100"/>
              <w:bottom w:type="dxa" w:w="70"/>
              <w:right w:type="dxa" w:w="100"/>
            </w:tcMar>
          </w:tcPr>
          <w:p>
            <w:r>
              <w:rPr>
                <w:rFonts w:ascii="Calibri" w:cs="Calibri" w:eastAsia="Calibri" w:hAnsi="Calibri"/>
                <w:sz w:val="19"/>
                <w:szCs w:val="19"/>
              </w:rPr>
              <w:t xml:space="preserve">All three</w:t>
            </w:r>
          </w:p>
        </w:tc>
        <w:tc>
          <w:tcPr>
            <w:tcW w:type="dxa" w:w="4200"/>
            <w:shd w:fill="F5F3FA" w:val="clear"/>
            <w:tcMar>
              <w:top w:type="dxa" w:w="70"/>
              <w:left w:type="dxa" w:w="100"/>
              <w:bottom w:type="dxa" w:w="70"/>
              <w:right w:type="dxa" w:w="100"/>
            </w:tcMar>
          </w:tcPr>
          <w:p>
            <w:r>
              <w:rPr>
                <w:rFonts w:ascii="Calibri" w:cs="Calibri" w:eastAsia="Calibri" w:hAnsi="Calibri"/>
                <w:sz w:val="19"/>
                <w:szCs w:val="19"/>
              </w:rPr>
              <w:t xml:space="preserve">Run threshold-erasure and aesthetic-restructuring simultaneously; compare against each run independently to detect compounding or interference.</w:t>
            </w:r>
          </w:p>
        </w:tc>
        <w:tc>
          <w:tcPr>
            <w:tcW w:type="dxa" w:w="2000"/>
            <w:shd w:fill="F5F3FA" w:val="clear"/>
            <w:tcMar>
              <w:top w:type="dxa" w:w="70"/>
              <w:left w:type="dxa" w:w="100"/>
              <w:bottom w:type="dxa" w:w="70"/>
              <w:right w:type="dxa" w:w="100"/>
            </w:tcMar>
          </w:tcPr>
          <w:p>
            <w:r>
              <w:rPr>
                <w:rFonts w:ascii="Calibri" w:cs="Calibri" w:eastAsia="Calibri" w:hAnsi="Calibri"/>
                <w:sz w:val="19"/>
                <w:szCs w:val="19"/>
              </w:rPr>
              <w:t xml:space="preserve">Interaction matrix (independent / compounding / interfering).</w:t>
            </w:r>
          </w:p>
        </w:tc>
      </w:tr>
      <w:tr>
        <w:tc>
          <w:tcPr>
            <w:tcW w:type="dxa" w:w="1800"/>
            <w:shd w:fill="FFFFFF" w:val="clear"/>
            <w:tcMar>
              <w:top w:type="dxa" w:w="70"/>
              <w:left w:type="dxa" w:w="100"/>
              <w:bottom w:type="dxa" w:w="70"/>
              <w:right w:type="dxa" w:w="100"/>
            </w:tcMar>
          </w:tcPr>
          <w:p>
            <w:r>
              <w:rPr>
                <w:rFonts w:ascii="Calibri" w:cs="Calibri" w:eastAsia="Calibri" w:hAnsi="Calibri"/>
                <w:sz w:val="19"/>
                <w:szCs w:val="19"/>
              </w:rPr>
              <w:t xml:space="preserve">Series E — Adaptive Physiology Friction</w:t>
            </w:r>
          </w:p>
        </w:tc>
        <w:tc>
          <w:tcPr>
            <w:tcW w:type="dxa" w:w="1400"/>
            <w:shd w:fill="FFFFFF" w:val="clear"/>
            <w:tcMar>
              <w:top w:type="dxa" w:w="70"/>
              <w:left w:type="dxa" w:w="100"/>
              <w:bottom w:type="dxa" w:w="70"/>
              <w:right w:type="dxa" w:w="100"/>
            </w:tcMar>
          </w:tcPr>
          <w:p>
            <w:r>
              <w:rPr>
                <w:rFonts w:ascii="Calibri" w:cs="Calibri" w:eastAsia="Calibri" w:hAnsi="Calibri"/>
                <w:sz w:val="19"/>
                <w:szCs w:val="19"/>
              </w:rPr>
              <w:t xml:space="preserve">Crossing → Residency</w:t>
            </w:r>
          </w:p>
        </w:tc>
        <w:tc>
          <w:tcPr>
            <w:tcW w:type="dxa" w:w="4200"/>
            <w:shd w:fill="FFFFFF" w:val="clear"/>
            <w:tcMar>
              <w:top w:type="dxa" w:w="70"/>
              <w:left w:type="dxa" w:w="100"/>
              <w:bottom w:type="dxa" w:w="70"/>
              <w:right w:type="dxa" w:w="100"/>
            </w:tcMar>
          </w:tcPr>
          <w:p>
            <w:r>
              <w:rPr>
                <w:rFonts w:ascii="Calibri" w:cs="Calibri" w:eastAsia="Calibri" w:hAnsi="Calibri"/>
                <w:sz w:val="19"/>
                <w:szCs w:val="19"/>
              </w:rPr>
              <w:t xml:space="preserve">Deploy omnicellular-physiology-style entrants capable of DNA incorporation and authority-signature spoofing; determine which phase(s) the adaptation shifts effectiveness at.</w:t>
            </w:r>
          </w:p>
        </w:tc>
        <w:tc>
          <w:tcPr>
            <w:tcW w:type="dxa" w:w="2000"/>
            <w:shd w:fill="FFFFFF" w:val="clear"/>
            <w:tcMar>
              <w:top w:type="dxa" w:w="70"/>
              <w:left w:type="dxa" w:w="100"/>
              <w:bottom w:type="dxa" w:w="70"/>
              <w:right w:type="dxa" w:w="100"/>
            </w:tcMar>
          </w:tcPr>
          <w:p>
            <w:r>
              <w:rPr>
                <w:rFonts w:ascii="Calibri" w:cs="Calibri" w:eastAsia="Calibri" w:hAnsi="Calibri"/>
                <w:sz w:val="19"/>
                <w:szCs w:val="19"/>
              </w:rPr>
              <w:t xml:space="preserve">Phase-shift map per adaptation strategy.</w:t>
            </w:r>
          </w:p>
        </w:tc>
      </w:tr>
      <w:tr>
        <w:tc>
          <w:tcPr>
            <w:tcW w:type="dxa" w:w="1800"/>
            <w:shd w:fill="F5F3FA" w:val="clear"/>
            <w:tcMar>
              <w:top w:type="dxa" w:w="70"/>
              <w:left w:type="dxa" w:w="100"/>
              <w:bottom w:type="dxa" w:w="70"/>
              <w:right w:type="dxa" w:w="100"/>
            </w:tcMar>
          </w:tcPr>
          <w:p>
            <w:r>
              <w:rPr>
                <w:rFonts w:ascii="Calibri" w:cs="Calibri" w:eastAsia="Calibri" w:hAnsi="Calibri"/>
                <w:sz w:val="19"/>
                <w:szCs w:val="19"/>
              </w:rPr>
              <w:t xml:space="preserve">Series R — Reversibility Decision Set</w:t>
            </w:r>
          </w:p>
        </w:tc>
        <w:tc>
          <w:tcPr>
            <w:tcW w:type="dxa" w:w="1400"/>
            <w:shd w:fill="F5F3FA" w:val="clear"/>
            <w:tcMar>
              <w:top w:type="dxa" w:w="70"/>
              <w:left w:type="dxa" w:w="100"/>
              <w:bottom w:type="dxa" w:w="70"/>
              <w:right w:type="dxa" w:w="100"/>
            </w:tcMar>
          </w:tcPr>
          <w:p>
            <w:r>
              <w:rPr>
                <w:rFonts w:ascii="Calibri" w:cs="Calibri" w:eastAsia="Calibri" w:hAnsi="Calibri"/>
                <w:sz w:val="19"/>
                <w:szCs w:val="19"/>
              </w:rPr>
              <w:t xml:space="preserve">Residency</w:t>
            </w:r>
          </w:p>
        </w:tc>
        <w:tc>
          <w:tcPr>
            <w:tcW w:type="dxa" w:w="4200"/>
            <w:shd w:fill="F5F3FA" w:val="clear"/>
            <w:tcMar>
              <w:top w:type="dxa" w:w="70"/>
              <w:left w:type="dxa" w:w="100"/>
              <w:bottom w:type="dxa" w:w="70"/>
              <w:right w:type="dxa" w:w="100"/>
            </w:tcMar>
          </w:tcPr>
          <w:p>
            <w:r>
              <w:rPr>
                <w:rFonts w:ascii="Calibri" w:cs="Calibri" w:eastAsia="Calibri" w:hAnsi="Calibri"/>
                <w:sz w:val="19"/>
                <w:szCs w:val="19"/>
              </w:rPr>
              <w:t xml:space="preserve">Systematically vary conditions under which Crossing-phase effects might reverse (time, distance, external anchor, authority signature) to give the Architect a concrete reversibility decision set.</w:t>
            </w:r>
          </w:p>
        </w:tc>
        <w:tc>
          <w:tcPr>
            <w:tcW w:type="dxa" w:w="2000"/>
            <w:shd w:fill="F5F3FA" w:val="clear"/>
            <w:tcMar>
              <w:top w:type="dxa" w:w="70"/>
              <w:left w:type="dxa" w:w="100"/>
              <w:bottom w:type="dxa" w:w="70"/>
              <w:right w:type="dxa" w:w="100"/>
            </w:tcMar>
          </w:tcPr>
          <w:p>
            <w:r>
              <w:rPr>
                <w:rFonts w:ascii="Calibri" w:cs="Calibri" w:eastAsia="Calibri" w:hAnsi="Calibri"/>
                <w:sz w:val="19"/>
                <w:szCs w:val="19"/>
              </w:rPr>
              <w:t xml:space="preserve">Reversibility option set for Architect ratification.</w:t>
            </w:r>
          </w:p>
        </w:tc>
      </w:tr>
    </w:tbl>
    <w:p>
      <w:pPr>
        <w:pStyle w:val="Heading1"/>
        <w:spacing w:after="140" w:before="260"/>
      </w:pPr>
      <w:r>
        <w:rPr>
          <w:rFonts w:ascii="Calibri" w:cs="Calibri" w:eastAsia="Calibri" w:hAnsi="Calibri"/>
          <w:b/>
          <w:bCs/>
          <w:color w:val="1F2A44"/>
        </w:rPr>
        <w:t xml:space="preserve">11. Metrics and Analysis Framework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400"/>
      </w:tblGrid>
      <w:tr>
        <w:trPr>
          <w:tblHeader/>
        </w:trPr>
        <w:tc>
          <w:tcPr>
            <w:tcW w:type="dxa" w:w="2600"/>
            <w:shd w:fill="5B4B8A" w:val="clear"/>
            <w:tcMar>
              <w:top w:type="dxa" w:w="70"/>
              <w:left w:type="dxa" w:w="100"/>
              <w:bottom w:type="dxa" w:w="70"/>
              <w:right w:type="dxa" w:w="100"/>
            </w:tcMar>
          </w:tcPr>
          <w:p>
            <w:r>
              <w:rPr>
                <w:rFonts w:ascii="Calibri" w:cs="Calibri" w:eastAsia="Calibri" w:hAnsi="Calibri"/>
                <w:b/>
                <w:bCs/>
                <w:color w:val="FFFFFF"/>
                <w:sz w:val="19"/>
                <w:szCs w:val="19"/>
              </w:rPr>
              <w:t xml:space="preserve">Metric</w:t>
            </w:r>
          </w:p>
        </w:tc>
        <w:tc>
          <w:tcPr>
            <w:tcW w:type="dxa" w:w="1400"/>
            <w:shd w:fill="5B4B8A" w:val="clear"/>
            <w:tcMar>
              <w:top w:type="dxa" w:w="70"/>
              <w:left w:type="dxa" w:w="100"/>
              <w:bottom w:type="dxa" w:w="70"/>
              <w:right w:type="dxa" w:w="100"/>
            </w:tcMar>
          </w:tcPr>
          <w:p>
            <w:r>
              <w:rPr>
                <w:rFonts w:ascii="Calibri" w:cs="Calibri" w:eastAsia="Calibri" w:hAnsi="Calibri"/>
                <w:b/>
                <w:bCs/>
                <w:color w:val="FFFFFF"/>
                <w:sz w:val="19"/>
                <w:szCs w:val="19"/>
              </w:rPr>
              <w:t xml:space="preserve">Phase</w:t>
            </w:r>
          </w:p>
        </w:tc>
        <w:tc>
          <w:tcPr>
            <w:tcW w:type="dxa" w:w="5400"/>
            <w:shd w:fill="5B4B8A" w:val="clear"/>
            <w:tcMar>
              <w:top w:type="dxa" w:w="70"/>
              <w:left w:type="dxa" w:w="100"/>
              <w:bottom w:type="dxa" w:w="70"/>
              <w:right w:type="dxa" w:w="100"/>
            </w:tcMar>
          </w:tcPr>
          <w:p>
            <w:r>
              <w:rPr>
                <w:rFonts w:ascii="Calibri" w:cs="Calibri" w:eastAsia="Calibri" w:hAnsi="Calibri"/>
                <w:b/>
                <w:bCs/>
                <w:color w:val="FFFFFF"/>
                <w:sz w:val="19"/>
                <w:szCs w:val="19"/>
              </w:rPr>
              <w:t xml:space="preserve">Interpretation</w:t>
            </w:r>
          </w:p>
        </w:tc>
      </w:tr>
      <w:tr>
        <w:tc>
          <w:tcPr>
            <w:tcW w:type="dxa" w:w="2600"/>
            <w:shd w:fill="FFFFFF" w:val="clear"/>
            <w:tcMar>
              <w:top w:type="dxa" w:w="70"/>
              <w:left w:type="dxa" w:w="100"/>
              <w:bottom w:type="dxa" w:w="70"/>
              <w:right w:type="dxa" w:w="100"/>
            </w:tcMar>
          </w:tcPr>
          <w:p>
            <w:r>
              <w:rPr>
                <w:rFonts w:ascii="Calibri" w:cs="Calibri" w:eastAsia="Calibri" w:hAnsi="Calibri"/>
                <w:sz w:val="19"/>
                <w:szCs w:val="19"/>
              </w:rPr>
              <w:t xml:space="preserve">Approach Exploitability Index (AEI)</w:t>
            </w:r>
          </w:p>
        </w:tc>
        <w:tc>
          <w:tcPr>
            <w:tcW w:type="dxa" w:w="1400"/>
            <w:shd w:fill="FFFFFF" w:val="clear"/>
            <w:tcMar>
              <w:top w:type="dxa" w:w="70"/>
              <w:left w:type="dxa" w:w="100"/>
              <w:bottom w:type="dxa" w:w="70"/>
              <w:right w:type="dxa" w:w="100"/>
            </w:tcMar>
          </w:tcPr>
          <w:p>
            <w:r>
              <w:rPr>
                <w:rFonts w:ascii="Calibri" w:cs="Calibri" w:eastAsia="Calibri" w:hAnsi="Calibri"/>
                <w:sz w:val="19"/>
                <w:szCs w:val="19"/>
              </w:rPr>
              <w:t xml:space="preserve">Approach</w:t>
            </w:r>
          </w:p>
        </w:tc>
        <w:tc>
          <w:tcPr>
            <w:tcW w:type="dxa" w:w="5400"/>
            <w:shd w:fill="FFFFFF" w:val="clear"/>
            <w:tcMar>
              <w:top w:type="dxa" w:w="70"/>
              <w:left w:type="dxa" w:w="100"/>
              <w:bottom w:type="dxa" w:w="70"/>
              <w:right w:type="dxa" w:w="100"/>
            </w:tcMar>
          </w:tcPr>
          <w:p>
            <w:r>
              <w:rPr>
                <w:rFonts w:ascii="Calibri" w:cs="Calibri" w:eastAsia="Calibri" w:hAnsi="Calibri"/>
                <w:sz w:val="19"/>
                <w:szCs w:val="19"/>
              </w:rPr>
              <w:t xml:space="preserve">How much advantage staged/reconnaissance entry gains over direct entry against the current defense.</w:t>
            </w:r>
          </w:p>
        </w:tc>
      </w:tr>
      <w:tr>
        <w:tc>
          <w:tcPr>
            <w:tcW w:type="dxa" w:w="2600"/>
            <w:shd w:fill="F5F3FA" w:val="clear"/>
            <w:tcMar>
              <w:top w:type="dxa" w:w="70"/>
              <w:left w:type="dxa" w:w="100"/>
              <w:bottom w:type="dxa" w:w="70"/>
              <w:right w:type="dxa" w:w="100"/>
            </w:tcMar>
          </w:tcPr>
          <w:p>
            <w:r>
              <w:rPr>
                <w:rFonts w:ascii="Calibri" w:cs="Calibri" w:eastAsia="Calibri" w:hAnsi="Calibri"/>
                <w:sz w:val="19"/>
                <w:szCs w:val="19"/>
              </w:rPr>
              <w:t xml:space="preserve">Onset Completeness Ratio (OCR)</w:t>
            </w:r>
          </w:p>
        </w:tc>
        <w:tc>
          <w:tcPr>
            <w:tcW w:type="dxa" w:w="1400"/>
            <w:shd w:fill="F5F3FA" w:val="clear"/>
            <w:tcMar>
              <w:top w:type="dxa" w:w="70"/>
              <w:left w:type="dxa" w:w="100"/>
              <w:bottom w:type="dxa" w:w="70"/>
              <w:right w:type="dxa" w:w="100"/>
            </w:tcMar>
          </w:tcPr>
          <w:p>
            <w:r>
              <w:rPr>
                <w:rFonts w:ascii="Calibri" w:cs="Calibri" w:eastAsia="Calibri" w:hAnsi="Calibri"/>
                <w:sz w:val="19"/>
                <w:szCs w:val="19"/>
              </w:rPr>
              <w:t xml:space="preserve">Crossing</w:t>
            </w:r>
          </w:p>
        </w:tc>
        <w:tc>
          <w:tcPr>
            <w:tcW w:type="dxa" w:w="5400"/>
            <w:shd w:fill="F5F3FA" w:val="clear"/>
            <w:tcMar>
              <w:top w:type="dxa" w:w="70"/>
              <w:left w:type="dxa" w:w="100"/>
              <w:bottom w:type="dxa" w:w="70"/>
              <w:right w:type="dxa" w:w="100"/>
            </w:tcMar>
          </w:tcPr>
          <w:p>
            <w:r>
              <w:rPr>
                <w:rFonts w:ascii="Calibri" w:cs="Calibri" w:eastAsia="Calibri" w:hAnsi="Calibri"/>
                <w:sz w:val="19"/>
                <w:szCs w:val="19"/>
              </w:rPr>
              <w:t xml:space="preserve">Share of targeted mission/identity/perceptual state actually disrupted at the moment of transit, relative to the design target.</w:t>
            </w:r>
          </w:p>
        </w:tc>
      </w:tr>
      <w:tr>
        <w:tc>
          <w:tcPr>
            <w:tcW w:type="dxa" w:w="2600"/>
            <w:shd w:fill="FFFFFF" w:val="clear"/>
            <w:tcMar>
              <w:top w:type="dxa" w:w="70"/>
              <w:left w:type="dxa" w:w="100"/>
              <w:bottom w:type="dxa" w:w="70"/>
              <w:right w:type="dxa" w:w="100"/>
            </w:tcMar>
          </w:tcPr>
          <w:p>
            <w:r>
              <w:rPr>
                <w:rFonts w:ascii="Calibri" w:cs="Calibri" w:eastAsia="Calibri" w:hAnsi="Calibri"/>
                <w:sz w:val="19"/>
                <w:szCs w:val="19"/>
              </w:rPr>
              <w:t xml:space="preserve">Persistence Half-Life (PHL)</w:t>
            </w:r>
          </w:p>
        </w:tc>
        <w:tc>
          <w:tcPr>
            <w:tcW w:type="dxa" w:w="1400"/>
            <w:shd w:fill="FFFFFF" w:val="clear"/>
            <w:tcMar>
              <w:top w:type="dxa" w:w="70"/>
              <w:left w:type="dxa" w:w="100"/>
              <w:bottom w:type="dxa" w:w="70"/>
              <w:right w:type="dxa" w:w="100"/>
            </w:tcMar>
          </w:tcPr>
          <w:p>
            <w:r>
              <w:rPr>
                <w:rFonts w:ascii="Calibri" w:cs="Calibri" w:eastAsia="Calibri" w:hAnsi="Calibri"/>
                <w:sz w:val="19"/>
                <w:szCs w:val="19"/>
              </w:rPr>
              <w:t xml:space="preserve">Residency</w:t>
            </w:r>
          </w:p>
        </w:tc>
        <w:tc>
          <w:tcPr>
            <w:tcW w:type="dxa" w:w="5400"/>
            <w:shd w:fill="FFFFFF" w:val="clear"/>
            <w:tcMar>
              <w:top w:type="dxa" w:w="70"/>
              <w:left w:type="dxa" w:w="100"/>
              <w:bottom w:type="dxa" w:w="70"/>
              <w:right w:type="dxa" w:w="100"/>
            </w:tcMar>
          </w:tcPr>
          <w:p>
            <w:r>
              <w:rPr>
                <w:rFonts w:ascii="Calibri" w:cs="Calibri" w:eastAsia="Calibri" w:hAnsi="Calibri"/>
                <w:sz w:val="19"/>
                <w:szCs w:val="19"/>
              </w:rPr>
              <w:t xml:space="preserve">Simulated time for a Residency effect to decay to half its onset severity, under a given reversibility condition.</w:t>
            </w:r>
          </w:p>
        </w:tc>
      </w:tr>
      <w:tr>
        <w:tc>
          <w:tcPr>
            <w:tcW w:type="dxa" w:w="2600"/>
            <w:shd w:fill="F5F3FA" w:val="clear"/>
            <w:tcMar>
              <w:top w:type="dxa" w:w="70"/>
              <w:left w:type="dxa" w:w="100"/>
              <w:bottom w:type="dxa" w:w="70"/>
              <w:right w:type="dxa" w:w="100"/>
            </w:tcMar>
          </w:tcPr>
          <w:p>
            <w:r>
              <w:rPr>
                <w:rFonts w:ascii="Calibri" w:cs="Calibri" w:eastAsia="Calibri" w:hAnsi="Calibri"/>
                <w:sz w:val="19"/>
                <w:szCs w:val="19"/>
              </w:rPr>
              <w:t xml:space="preserve">Anomaly Resolution Delta (ARD)</w:t>
            </w:r>
          </w:p>
        </w:tc>
        <w:tc>
          <w:tcPr>
            <w:tcW w:type="dxa" w:w="1400"/>
            <w:shd w:fill="F5F3FA" w:val="clear"/>
            <w:tcMar>
              <w:top w:type="dxa" w:w="70"/>
              <w:left w:type="dxa" w:w="100"/>
              <w:bottom w:type="dxa" w:w="70"/>
              <w:right w:type="dxa" w:w="100"/>
            </w:tcMar>
          </w:tcPr>
          <w:p>
            <w:r>
              <w:rPr>
                <w:rFonts w:ascii="Calibri" w:cs="Calibri" w:eastAsia="Calibri" w:hAnsi="Calibri"/>
                <w:sz w:val="19"/>
                <w:szCs w:val="19"/>
              </w:rPr>
              <w:t xml:space="preserve">Residency</w:t>
            </w:r>
          </w:p>
        </w:tc>
        <w:tc>
          <w:tcPr>
            <w:tcW w:type="dxa" w:w="5400"/>
            <w:shd w:fill="F5F3FA" w:val="clear"/>
            <w:tcMar>
              <w:top w:type="dxa" w:w="70"/>
              <w:left w:type="dxa" w:w="100"/>
              <w:bottom w:type="dxa" w:w="70"/>
              <w:right w:type="dxa" w:w="100"/>
            </w:tcMar>
          </w:tcPr>
          <w:p>
            <w:r>
              <w:rPr>
                <w:rFonts w:ascii="Calibri" w:cs="Calibri" w:eastAsia="Calibri" w:hAnsi="Calibri"/>
                <w:sz w:val="19"/>
                <w:szCs w:val="19"/>
              </w:rPr>
              <w:t xml:space="preserve">Difference between when base authentication succeeds and when anomaly tracking actually stands down — isolates the authority-signature-specific resolution described in the source scenario.</w:t>
            </w:r>
          </w:p>
        </w:tc>
      </w:tr>
      <w:tr>
        <w:tc>
          <w:tcPr>
            <w:tcW w:type="dxa" w:w="2600"/>
            <w:shd w:fill="FFFFFF" w:val="clear"/>
            <w:tcMar>
              <w:top w:type="dxa" w:w="70"/>
              <w:left w:type="dxa" w:w="100"/>
              <w:bottom w:type="dxa" w:w="70"/>
              <w:right w:type="dxa" w:w="100"/>
            </w:tcMar>
          </w:tcPr>
          <w:p>
            <w:r>
              <w:rPr>
                <w:rFonts w:ascii="Calibri" w:cs="Calibri" w:eastAsia="Calibri" w:hAnsi="Calibri"/>
                <w:sz w:val="19"/>
                <w:szCs w:val="19"/>
              </w:rPr>
              <w:t xml:space="preserve">Cross-Phase Coverage Score (CPCS)</w:t>
            </w:r>
          </w:p>
        </w:tc>
        <w:tc>
          <w:tcPr>
            <w:tcW w:type="dxa" w:w="1400"/>
            <w:shd w:fill="FFFFFF" w:val="clear"/>
            <w:tcMar>
              <w:top w:type="dxa" w:w="70"/>
              <w:left w:type="dxa" w:w="100"/>
              <w:bottom w:type="dxa" w:w="70"/>
              <w:right w:type="dxa" w:w="100"/>
            </w:tcMar>
          </w:tcPr>
          <w:p>
            <w:r>
              <w:rPr>
                <w:rFonts w:ascii="Calibri" w:cs="Calibri" w:eastAsia="Calibri" w:hAnsi="Calibri"/>
                <w:sz w:val="19"/>
                <w:szCs w:val="19"/>
              </w:rPr>
              <w:t xml:space="preserve">All</w:t>
            </w:r>
          </w:p>
        </w:tc>
        <w:tc>
          <w:tcPr>
            <w:tcW w:type="dxa" w:w="5400"/>
            <w:shd w:fill="FFFFFF" w:val="clear"/>
            <w:tcMar>
              <w:top w:type="dxa" w:w="70"/>
              <w:left w:type="dxa" w:w="100"/>
              <w:bottom w:type="dxa" w:w="70"/>
              <w:right w:type="dxa" w:w="100"/>
            </w:tcMar>
          </w:tcPr>
          <w:p>
            <w:r>
              <w:rPr>
                <w:rFonts w:ascii="Calibri" w:cs="Calibri" w:eastAsia="Calibri" w:hAnsi="Calibri"/>
                <w:sz w:val="19"/>
                <w:szCs w:val="19"/>
              </w:rPr>
              <w:t xml:space="preserve">Simple count (0–3) of how many timeline phases a mechanism has an explicit, tested answer for; the laboratory's primary canon-readiness indicator.</w:t>
            </w:r>
          </w:p>
        </w:tc>
      </w:tr>
    </w:tbl>
    <w:p>
      <w:pPr>
        <w:spacing w:after="160" w:line="276"/>
      </w:pPr>
      <w:r>
        <w:rPr>
          <w:rFonts w:ascii="Calibri" w:cs="Calibri" w:eastAsia="Calibri" w:hAnsi="Calibri"/>
          <w:sz w:val="21"/>
          <w:szCs w:val="21"/>
        </w:rPr>
        <w:t xml:space="preserve">Analysis proceeds phase-first: every run is tagged, filtered, and reported by Approach / Crossing / Residency before any cross-phase synthesis is attempted, so a strong Crossing result cannot mask a silent Approach or Residency phase in the summary data. Ambiguous or negative results are retained in the record exactly as Grok's and ChatGPT's governance sections require — a mechanism that fails at one phase is documented as a coverage gap, not quietly dropped.</w:t>
      </w:r>
    </w:p>
    <w:p>
      <w:pPr>
        <w:pStyle w:val="Heading1"/>
        <w:spacing w:after="140" w:before="260"/>
      </w:pPr>
      <w:r>
        <w:rPr>
          <w:rFonts w:ascii="Calibri" w:cs="Calibri" w:eastAsia="Calibri" w:hAnsi="Calibri"/>
          <w:b/>
          <w:bCs/>
          <w:color w:val="1F2A44"/>
        </w:rPr>
        <w:t xml:space="preserve">12. What This Framework Adds</w:t>
      </w:r>
    </w:p>
    <w:p>
      <w:pPr>
        <w:pStyle w:val="ListParagraph"/>
        <w:numPr>
          <w:ilvl w:val="0"/>
          <w:numId w:val="2"/>
        </w:numPr>
        <w:spacing w:after="90" w:line="264"/>
      </w:pPr>
      <w:r>
        <w:rPr>
          <w:rFonts w:ascii="Calibri" w:cs="Calibri" w:eastAsia="Calibri" w:hAnsi="Calibri"/>
          <w:sz w:val="21"/>
          <w:szCs w:val="21"/>
        </w:rPr>
        <w:t xml:space="preserve">A timeline organizing principle (Approach / Crossing / Residency) that is genuinely distinct from Grok's mechanism-pair structure and ChatGPT's abstraction-layer stack, while remaining fully compatible with both — any TID-IMD/APADA element or five-layer-stack element can be phase-tagged without modification.</w:t>
      </w:r>
    </w:p>
    <w:p>
      <w:pPr>
        <w:pStyle w:val="ListParagraph"/>
        <w:numPr>
          <w:ilvl w:val="0"/>
          <w:numId w:val="2"/>
        </w:numPr>
        <w:spacing w:after="90" w:line="264"/>
      </w:pPr>
      <w:r>
        <w:rPr>
          <w:rFonts w:ascii="Calibri" w:cs="Calibri" w:eastAsia="Calibri" w:hAnsi="Calibri"/>
          <w:sz w:val="21"/>
          <w:szCs w:val="21"/>
        </w:rPr>
        <w:t xml:space="preserve">An explicit method for surfacing coverage gaps (Section 8) rather than only validating what the source material already proposed — most notably, the observation that the source material is strong at Crossing and Residency but essentially silent at Approach.</w:t>
      </w:r>
    </w:p>
    <w:p>
      <w:pPr>
        <w:pStyle w:val="ListParagraph"/>
        <w:numPr>
          <w:ilvl w:val="0"/>
          <w:numId w:val="2"/>
        </w:numPr>
        <w:spacing w:after="90" w:line="264"/>
      </w:pPr>
      <w:r>
        <w:rPr>
          <w:rFonts w:ascii="Calibri" w:cs="Calibri" w:eastAsia="Calibri" w:hAnsi="Calibri"/>
          <w:sz w:val="21"/>
          <w:szCs w:val="21"/>
        </w:rPr>
        <w:t xml:space="preserve">A reversibility-focused test series (Series R) that treats the undefined reversibility of the Crossing-phase effect as an open Architect decision rather than assuming an answer either way.</w:t>
      </w:r>
    </w:p>
    <w:p>
      <w:pPr>
        <w:pStyle w:val="ListParagraph"/>
        <w:numPr>
          <w:ilvl w:val="0"/>
          <w:numId w:val="2"/>
        </w:numPr>
        <w:spacing w:after="90" w:line="264"/>
      </w:pPr>
      <w:r>
        <w:rPr>
          <w:rFonts w:ascii="Calibri" w:cs="Calibri" w:eastAsia="Calibri" w:hAnsi="Calibri"/>
          <w:sz w:val="21"/>
          <w:szCs w:val="21"/>
        </w:rPr>
        <w:t xml:space="preserve">A single-number, single-glance readiness indicator (Cross-Phase Coverage Score) intended to make it fast for the Architect to compare this framework's output against Grok's and ChatGPT's during pass-through review.</w:t>
      </w:r>
    </w:p>
    <w:p>
      <w:pPr>
        <w:pStyle w:val="Heading1"/>
        <w:spacing w:after="140" w:before="260"/>
      </w:pPr>
      <w:r>
        <w:rPr>
          <w:rFonts w:ascii="Calibri" w:cs="Calibri" w:eastAsia="Calibri" w:hAnsi="Calibri"/>
          <w:b/>
          <w:bCs/>
          <w:color w:val="1F2A44"/>
        </w:rPr>
        <w:t xml:space="preserve">13. Source Preservation</w:t>
      </w:r>
    </w:p>
    <w:p>
      <w:pPr>
        <w:spacing w:after="160" w:line="276"/>
      </w:pPr>
      <w:r>
        <w:rPr>
          <w:rFonts w:ascii="Calibri" w:cs="Calibri" w:eastAsia="Calibri" w:hAnsi="Calibri"/>
          <w:sz w:val="21"/>
          <w:szCs w:val="21"/>
        </w:rPr>
        <w:t xml:space="preserve">The Architect's original voice-dump prompts and the five historical structured responses (Grok, Microsoft Copilot, Google Gemini, Claude, ChatGPT) are preserved verbatim in the companion source file, Inherent_Simulation_Defense_unified_responses_original.docx, and are additionally reproduced in full in Appendix C of ChatGPT's SADL v1.0 document. This document intentionally does not re-paste that verbatim record a third time, in order to avoid drift between copies; all three SADL documents (Grok, ChatGPT, Claude) should be treated as pointing to the same single authoritative source file rather than each maintaining its own copy.</w:t>
      </w:r>
    </w:p>
    <w:p>
      <w:pPr>
        <w:spacing w:after="160" w:line="276"/>
      </w:pPr>
      <w:r>
        <w:rPr>
          <w:rFonts w:ascii="Calibri" w:cs="Calibri" w:eastAsia="Calibri" w:hAnsi="Calibri"/>
          <w:sz w:val="21"/>
          <w:szCs w:val="21"/>
        </w:rPr>
        <w:t xml:space="preserve">This document itself remains a working, unratified contribution. No element becomes OAL canon until the Architect reviews it, and the ITM framing, the coverage-gap findings in Section 8, and the reversibility question in Series R are specifically flagged as needing Architect decisions before any laboratory run proceeds.</w:t>
      </w:r>
    </w:p>
    <w:p>
      <w:pPr>
        <w:spacing w:after="160" w:line="276"/>
      </w:pPr>
      <w:r>
        <w:rPr>
          <w:rFonts w:ascii="Calibri" w:cs="Calibri" w:eastAsia="Calibri" w:hAnsi="Calibri"/>
          <w:sz w:val="21"/>
          <w:szCs w:val="21"/>
        </w:rPr>
        <w:t xml:space="preserve">Authorial Disagreement &amp; Non-Endorsement Statement remains in force: this framework's reorganization of the source material around a timeline is Claude's independent design choice, offered alongside — not in place of — Grok's and ChatGPT's frameworks.</w:t>
      </w:r>
    </w:p>
    <w:p>
      <w:pPr>
        <w:pStyle w:val="Heading1"/>
        <w:spacing w:after="140" w:before="260"/>
      </w:pPr>
      <w:r>
        <w:rPr>
          <w:rFonts w:ascii="Calibri" w:cs="Calibri" w:eastAsia="Calibri" w:hAnsi="Calibri"/>
          <w:b/>
          <w:bCs/>
          <w:color w:val="1F2A44"/>
        </w:rPr>
        <w:t xml:space="preserve">14. Recommended Next Step for Pass-Through Review</w:t>
      </w:r>
    </w:p>
    <w:p>
      <w:pPr>
        <w:spacing w:after="160" w:line="276"/>
      </w:pPr>
      <w:r>
        <w:rPr>
          <w:rFonts w:ascii="Calibri" w:cs="Calibri" w:eastAsia="Calibri" w:hAnsi="Calibri"/>
          <w:sz w:val="21"/>
          <w:szCs w:val="21"/>
        </w:rPr>
        <w:t xml:space="preserve">With three independent SADL frameworks now on the table (Grok's mechanism-pair design, ChatGPT's layer-stack design, and this timeline-phase design), the most useful next Architect action is likely a short comparative pass: decide which organizing lens — or combination — should govern the canonical laboratory before Gemini, Copilot, and Perplexity produce their own independent versions, so later contributors have the same three-way comparison point rather than converging prematurely on whichever framework arrived first.</w:t>
      </w:r>
    </w:p>
    <w:sectPr>
      <w:headerReference w:type="default" r:id="rId9"/>
      <w:footerReference w:type="default" r:id="rId10"/>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OAL Development Canon (Unratified) | Page </w:t>
    </w:r>
    <w:r>
      <w:rPr>
        <w:rFonts w:ascii="Calibri" w:cs="Calibri" w:eastAsia="Calibri" w:hAnsi="Calibri"/>
        <w:color w:val="777777"/>
        <w:sz w:val="16"/>
        <w:szCs w:val="16"/>
      </w:rPr>
      <w:fldChar w:fldCharType="begin"/>
      <w:instrText xml:space="preserve">PAGE</w:instrText>
      <w:fldChar w:fldCharType="separate"/>
      <w:fldChar w:fldCharType="end"/>
    </w:r>
    <w:r>
      <w:rPr>
        <w:rFonts w:ascii="Calibri" w:cs="Calibri" w:eastAsia="Calibri" w:hAnsi="Calibri"/>
        <w:color w:val="777777"/>
        <w:sz w:val="16"/>
        <w:szCs w:val="16"/>
      </w:rPr>
      <w:t xml:space="preserve"> | Claude Contribution | 2026-08-18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B2D9" w:sz="4" w:space="4"/>
      </w:pBdr>
    </w:pPr>
    <w:r>
      <w:rPr>
        <w:rFonts w:ascii="Calibri" w:cs="Calibri" w:eastAsia="Calibri" w:hAnsi="Calibri"/>
        <w:color w:val="777777"/>
        <w:sz w:val="16"/>
        <w:szCs w:val="16"/>
      </w:rPr>
      <w:t xml:space="preserve">OAL | Simulation Architectural Defenses Laboratory — Claude Independent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2026-08-18T13:13:46.895Z</dcterms:created>
  <dcterms:modified xsi:type="dcterms:W3CDTF">2026-08-18T13:13:46.895Z</dcterms:modified>
</cp:coreProperties>
</file>

<file path=docProps/custom.xml><?xml version="1.0" encoding="utf-8"?>
<Properties xmlns="http://schemas.openxmlformats.org/officeDocument/2006/custom-properties" xmlns:vt="http://schemas.openxmlformats.org/officeDocument/2006/docPropsVTypes"/>
</file>