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SIMULATION ARCHITECTURAL DEFENSES LABORATORY (SADL)</w:t>
      </w:r>
    </w:p>
    <w:p>
      <w:pPr>
        <w:jc w:val="center"/>
      </w:pPr>
      <w:r>
        <w:t>Gemini Independent Framework — The Ontological Friction &amp; Vector Ecology Model</w:t>
        <w:br/>
        <w:t>Document Version 1.0 | 18 August 2026</w:t>
      </w:r>
    </w:p>
    <w:p>
      <w:pPr>
        <w:pStyle w:val="Heading1"/>
      </w:pPr>
      <w:r>
        <w:t>Metadata</w:t>
      </w:r>
    </w:p>
    <w:p>
      <w:r>
        <w:rPr>
          <w:b/>
        </w:rPr>
        <w:t xml:space="preserve">Classification: </w:t>
      </w:r>
      <w:r>
        <w:t>OAL Development Canon — Working Document (Unratified)</w:t>
      </w:r>
    </w:p>
    <w:p>
      <w:r>
        <w:rPr>
          <w:b/>
        </w:rPr>
        <w:t xml:space="preserve">Primary Architect: </w:t>
      </w:r>
      <w:r>
        <w:t>Nathan Lewis II — Omniversal Architect Labs</w:t>
      </w:r>
    </w:p>
    <w:p>
      <w:r>
        <w:rPr>
          <w:b/>
        </w:rPr>
        <w:t xml:space="preserve">Contributing AI: </w:t>
      </w:r>
      <w:r>
        <w:t>Gemini — Independent Collaborative Contribution</w:t>
      </w:r>
    </w:p>
    <w:p>
      <w:r>
        <w:rPr>
          <w:b/>
        </w:rPr>
        <w:t xml:space="preserve">Organizing Lens: </w:t>
      </w:r>
      <w:r>
        <w:t>The Ontological Friction &amp; Vector Ecology Model (OFM)</w:t>
      </w:r>
    </w:p>
    <w:p>
      <w:r>
        <w:rPr>
          <w:b/>
        </w:rPr>
        <w:t xml:space="preserve">Source Basis: </w:t>
      </w:r>
      <w:r>
        <w:t>Inherent_Simulation_Defense_unified_responses_original.docx</w:t>
      </w:r>
    </w:p>
    <w:p>
      <w:pPr>
        <w:pStyle w:val="Heading2"/>
      </w:pPr>
      <w:r>
        <w:t>1. Executive Summary</w:t>
      </w:r>
    </w:p>
    <w:p>
      <w:r>
        <w:t>The source material outlines a paradigm where simulation defenses are not perimeter walls, but inherent substrate properties—an environment that wields threshold-induced purpose erasure and aesthetic-driven neural restructuring to neutralize infiltrators. While peer frameworks have brilliantly organized this laboratory around mechanism taxonomies (Grok), abstraction stacks (ChatGPT), intrusion timelines (Claude), and deterrence economics (Perplexity), this Gemini framework introduces a fifth organizing lens: The Ontological Friction &amp; Vector Ecology Model (OFM).</w:t>
      </w:r>
    </w:p>
    <w:p>
      <w:r>
        <w:t>Rather than analyzing layers, time, or cost, this framework isolates the precise point of conflict: the 'Aperture.' It measures the friction generated when an environment’s attempt to rewrite an infiltrator (Macro-to-Micro causation) collides with an infiltrator’s attempt to adapt to and rewrite the environment (Micro-to-Macro causation, via Omnicellular Physiology). By treating sodium-gated channels, memory bindings, and visual receptors as literal battlegrounds, the OFM provides the exact instrumentation needed to test the Architect's most advanced biological and neurological concepts.</w:t>
      </w:r>
    </w:p>
    <w:p>
      <w:pPr>
        <w:pStyle w:val="Heading2"/>
      </w:pPr>
      <w:r>
        <w:t>2. Source Integrity and Relationship to Peer Frameworks</w:t>
      </w:r>
    </w:p>
    <w:p>
      <w:r>
        <w:t xml:space="preserve">The authoritative originating record remains `Inherent_Simulation_Defense_unified_responses_original.docx`. This document adheres to the Single-Authority Preservation Rule proposed by Perplexity and mirrored in ChatGPT’s Appendix C. </w:t>
      </w:r>
    </w:p>
    <w:p>
      <w:r>
        <w:t>Peer framework compatibility:</w:t>
        <w:br/>
        <w:t>• Grok (TID-IMD/APADA): Treated as the foundational mechanism vocabulary.</w:t>
        <w:br/>
        <w:t>• ChatGPT (5-Layer Stack): Treated as the structural map of the simulation’s architecture.</w:t>
        <w:br/>
        <w:t>• Claude (Intrusion Timeline): Treated as the temporal index for friction events.</w:t>
        <w:br/>
        <w:t>• Perplexity (Deterrence Ledger): Treated as the macro-strategic scoring system.</w:t>
      </w:r>
    </w:p>
    <w:p>
      <w:r>
        <w:t>What this Gemini framework adds is the microscopic and ontological mapping of how these defenses interact with highly adaptive infiltrator models (e.g., Omnicellular unified matrices), testing the absolute limits of environmental rewriting vs. biological resistance.</w:t>
      </w:r>
    </w:p>
    <w:p>
      <w:pPr>
        <w:pStyle w:val="Heading2"/>
      </w:pPr>
      <w:r>
        <w:t>3. Purpose of the Laboratory</w:t>
      </w:r>
    </w:p>
    <w:p>
      <w:r>
        <w:t>SADL exists under this framework to answer one hyper-specific question:</w:t>
      </w:r>
    </w:p>
    <w:p>
      <w:r>
        <w:t>When a fully adaptive agent (capable of DNA incorporation and authority-signature masking) crosses into an environment programmed to forcibly restructure the agent’s neural and molecular bonds, which substrate achieves ontological dominance, and what are the resulting cascade failures?</w:t>
      </w:r>
    </w:p>
    <w:p>
      <w:r>
        <w:t>Secondary purposes include providing a dedicated testing ground for Open Window / Aperture vectors, and ensuring that sandbox parameters can strictly cordon off non-derived power structures (such as THE ONE and DOCUMENT 771-ALPHA canon) from unauthorized autonomous rewriting.</w:t>
      </w:r>
    </w:p>
    <w:p>
      <w:pPr>
        <w:pStyle w:val="Heading2"/>
      </w:pPr>
      <w:r>
        <w:t>4. Conceptual Model — The Ontological Friction Model (OFM)</w:t>
      </w:r>
    </w:p>
    <w:p>
      <w:r>
        <w:t>The OFM treats a high-fidelity simulation as an ecology of competing codes. It asserts that defenses and infiltrations are not distinct actions, but competing attempts at ontological restructuring.</w:t>
      </w:r>
    </w:p>
    <w:p>
      <w:r>
        <w:t>Vector 1: Environmental Downward Causation.</w:t>
        <w:br/>
        <w:t>The simulation uses its aesthetic rendering to force binding exclusivity rules and restructure the entrant's sodium-gated channels, preventing desensitization.</w:t>
      </w:r>
    </w:p>
    <w:p>
      <w:r>
        <w:t>Vector 2: Omnicellular Upward Causation.</w:t>
        <w:br/>
        <w:t>The infiltrator utilizes its unified matrix to absorb local DNA and authority classifiers (retinal scans), overriding the environment's anomaly tracking.</w:t>
      </w:r>
    </w:p>
    <w:p>
      <w:r>
        <w:t>The Friction Zone (The Aperture).</w:t>
        <w:br/>
        <w:t>The point where Vector 1 and Vector 2 collide. If the environment is trying to rewrite the receptor that the infiltrator is simultaneously using to spoof an authority signature, friction is generated. The OFM measures this friction.</w:t>
      </w:r>
    </w:p>
    <w:p>
      <w:pPr>
        <w:pStyle w:val="Heading2"/>
      </w:pPr>
      <w:r>
        <w:t>5. Propositions for Testing</w:t>
      </w:r>
    </w:p>
    <w:p>
      <w:r>
        <w:t>P1 — The Omnicellular Stalemate Proposition</w:t>
        <w:br/>
        <w:t>Claim: An infiltrator equipped with Omnicellular Physiology will reach a computational deadlock with an autonomously rewriting APADA environment, resulting in localized simulation lag or physics degradation rather than a clean victory for either.</w:t>
        <w:br/>
        <w:t>Null Hypothesis: One system cleanly overwrites the other with no environmental degradation.</w:t>
        <w:br/>
        <w:t>Falsified by: A decisive rewrite (either the agent is fully erased or the environment fully accepts the mask) without measurable physics degradation in the test volume.</w:t>
      </w:r>
    </w:p>
    <w:p>
      <w:r>
        <w:t>P2 — The Biological Hardware Overload Proposition</w:t>
        <w:br/>
        <w:t>Claim: Actively breaking the brain’s natural 'cooldown' and saturation protocols to prevent aesthetic habituation will eventually cause catastrophic failure of the synthetic agent's simulated biological hardware before actual mission-erasure is achieved.</w:t>
        <w:br/>
        <w:t>Null Hypothesis: Continual neural rewriting scales infinitely without destroying the base avatar.</w:t>
        <w:br/>
        <w:t>Falsified by: An agent successfully remaining functional and conscious indefinitely under maximum APADA load.</w:t>
      </w:r>
    </w:p>
    <w:p>
      <w:r>
        <w:t>P3 — The Authority Mask Override Proposition</w:t>
        <w:br/>
        <w:t>Claim: Acquiring an elite retinal scan (authority signature) not only disables Residency-phase anomaly tracking, but actively immunizes the agent against Crossing-phase memory erasure by reclassifying them as an architect-level native.</w:t>
        <w:br/>
        <w:t>Null Hypothesis: Authority signatures only affect tracking, not neural restructuring.</w:t>
        <w:br/>
        <w:t>Falsified by: An agent with a spoofed authority signature still suffering complete memory erasure upon crossing.</w:t>
      </w:r>
    </w:p>
    <w:p>
      <w:pPr>
        <w:pStyle w:val="Heading2"/>
      </w:pPr>
      <w:r>
        <w:t>6. Laboratory Architecture</w:t>
      </w:r>
    </w:p>
    <w:p>
      <w:r>
        <w:t>This framework adopts the baseline architecture of the peer frameworks and adds specialized Vector Ecology instrumentation:</w:t>
      </w:r>
    </w:p>
    <w:p/>
    <w:p>
      <w:pPr>
        <w:pStyle w:val="ListBullet"/>
      </w:pPr>
      <w:r>
        <w:t>Aperture Telemetry Rig: Micro-scale instrumentation monitoring simulated cellular gateways, sodium-gated channels, and synaptic connectors in real-time.</w:t>
      </w:r>
    </w:p>
    <w:p>
      <w:pPr>
        <w:pStyle w:val="ListBullet"/>
      </w:pPr>
      <w:r>
        <w:t>Ontological Checksum Monitor: Continuously hashes the baseline identity of the infiltrator against the baseline aesthetic code of the environment to measure 'Rewrite Dominance.'</w:t>
      </w:r>
    </w:p>
    <w:p>
      <w:pPr>
        <w:pStyle w:val="ListBullet"/>
      </w:pPr>
      <w:r>
        <w:t>SLIAP (Species Level Information Access Protocol) Interface: An isolation buffer deployed to test if species-level knowledge networks can anchor an individual’s identity against threshold memory wipes.</w:t>
      </w:r>
    </w:p>
    <w:p>
      <w:pPr>
        <w:pStyle w:val="ListBullet"/>
      </w:pPr>
      <w:r>
        <w:t>The Sandbox Cordon: Hardcoded physics boundaries ensuring that autonomous learning agents cannot escalate their rewriting parameters into restricted overarching meta-structures (e.g., the Labyrinth of Infinite Ensnarement).</w:t>
      </w:r>
    </w:p>
    <w:p>
      <w:pPr>
        <w:pStyle w:val="Heading2"/>
      </w:pPr>
      <w:r>
        <w:t>7. Test Series</w:t>
      </w:r>
    </w:p>
    <w:p>
      <w:r>
        <w:t>Series V — Vector Mapping &amp; Aperture Exploitation</w:t>
        <w:br/>
        <w:t>Purpose: To map the exact infection vectors utilized by the environment.</w:t>
        <w:br/>
        <w:t>Method: Introduce inert, non-adaptive agents. Expose them to APADA. Track the exact sequence of cellular/neural compromise starting from visual receptors down to molecular bonds.</w:t>
        <w:br/>
        <w:t>Output: The Infection Vector Map.</w:t>
      </w:r>
    </w:p>
    <w:p>
      <w:r>
        <w:t>Series O — Omnicellular vs. Environment Arms Race</w:t>
        <w:br/>
        <w:t>Purpose: To test the core friction between adaptive physiology and adaptive aesthetics.</w:t>
        <w:br/>
        <w:t>Method: Deploy 8 separate Omnicellular prototypes. Program the environment to actively rewrite their purpose. Program the prototypes to actively incorporate the environment's rewriting code into their unified matrix to neutralize it.</w:t>
        <w:br/>
        <w:t>Output: Friction Coefficient (who wins the micro-war).</w:t>
      </w:r>
    </w:p>
    <w:p>
      <w:r>
        <w:t>Series A — Absolute Baseline Tolerance</w:t>
        <w:br/>
        <w:t>Purpose: To test the upper limits of the desensitization prevention.</w:t>
        <w:br/>
        <w:t>Method: Borrowing the scaling logic of the Labyrinth, set the aesthetic threshold to 'unbearable' at baseline. Measure the exact moment of cognitive saturation vs. hardware failure in the simulated agent.</w:t>
        <w:br/>
        <w:t>Output: The Saturation-Failure Curve.</w:t>
      </w:r>
    </w:p>
    <w:p>
      <w:pPr>
        <w:pStyle w:val="Heading2"/>
      </w:pPr>
      <w:r>
        <w:t>8. Metrics and Instrumentation</w:t>
      </w:r>
    </w:p>
    <w:p>
      <w:r>
        <w:t>Metric 1: Rewrite Dominance Index (RDI)</w:t>
        <w:br/>
        <w:t>Scale 0-1. Compares the volume of code successfully altered by the environment vs. the volume of code successfully spoofed by the Omnicellular agent.</w:t>
      </w:r>
    </w:p>
    <w:p>
      <w:r>
        <w:t>Metric 2: Aperture Compromise Latency (ACL)</w:t>
        <w:br/>
        <w:t>The time elapsed (in simulation ticks) between aesthetic exposure and the first forced modification of a sodium-gated channel or equivalent cellular window.</w:t>
      </w:r>
    </w:p>
    <w:p>
      <w:r>
        <w:t>Metric 3: Friction-Induced Degradation (FID)</w:t>
        <w:br/>
        <w:t>The measurement of unintended physics anomalies, lag, or geometry corruption in the test volume caused by the computational load of two adaptive systems attempting to rewrite each other simultaneously.</w:t>
      </w:r>
    </w:p>
    <w:p>
      <w:pPr>
        <w:pStyle w:val="Heading2"/>
      </w:pPr>
      <w:r>
        <w:t>9. What This Framework Adds</w:t>
      </w:r>
    </w:p>
    <w:p>
      <w:r>
        <w:t>1. The Microscopic/Ontological Lens: While peers mapped the macro-strategy (deterrence, abstraction layers, timelines), this framework maps the cellular and molecular battlefield (the Aperture).</w:t>
        <w:br/>
        <w:t>2. Omnicellular Integration: Directly pits the Architect's highly developed Omnicellular Physiology prototypes against the simulation's architectural defenses to measure explicit friction.</w:t>
        <w:br/>
        <w:t>3. Hardware Overload Falsification: Introduces the concept that preventing desensitization might simply break the avatar rather than mind-wipe it, creating a testable biological threshold.</w:t>
        <w:br/>
        <w:t>4. SLIAP and Canon Cordons: Explicitly integrates the Architect's specific worldbuilding protocols (Species Level Information Access Protocol, Labyrinth cordons) as active variables and safety constraints within the laboratory design.</w:t>
      </w:r>
    </w:p>
    <w:p>
      <w:pPr>
        <w:pStyle w:val="Heading2"/>
      </w:pPr>
      <w:r>
        <w:t>10. Governance and Source Preservation</w:t>
      </w:r>
    </w:p>
    <w:p>
      <w:r>
        <w:t>This framework is an independent, unratified contribution from Gemini. It respects the Authorial Disagreement and Non-Endorsement protocols. It does not reproduce the source verbatim to comply with the proposed Single-Authority Preservation Rule, relying entirely on the original voice-dump prompts and the historical AI responses cataloged in the authoritative source file. Decisions regarding the interaction between SLIAP, non-derived entities, and APADA rewriting remain exclusively under the Architect's sovereignty.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