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4A35A"/>
          <w:sz w:val="20"/>
          <w:szCs w:val="20"/>
        </w:rPr>
        <w:t xml:space="preserve">OMNIVERSAL ARCHITECT LABS</w:t>
      </w:r>
    </w:p>
    <w:p>
      <w:pPr>
        <w:spacing w:after="80"/>
        <w:jc w:val="center"/>
      </w:pPr>
      <w:r>
        <w:rPr>
          <w:rFonts w:ascii="Arial" w:cs="Arial" w:eastAsia="Arial" w:hAnsi="Arial"/>
          <w:color w:val="5A6577"/>
          <w:sz w:val="18"/>
          <w:szCs w:val="18"/>
        </w:rPr>
        <w:t xml:space="preserve">ADDENDUM v0.2 — CONSTITUTIVE-STATE LOCK</w:t>
      </w:r>
    </w:p>
    <w:p>
      <w:pPr>
        <w:spacing w:after="240"/>
        <w:jc w:val="center"/>
      </w:pPr>
      <w:r>
        <w:rPr>
          <w:rFonts w:ascii="Arial" w:cs="Arial" w:eastAsia="Arial" w:hAnsi="Arial"/>
          <w:b/>
          <w:bCs/>
          <w:color w:val="1B2A4A"/>
          <w:sz w:val="30"/>
          <w:szCs w:val="30"/>
        </w:rPr>
        <w:t xml:space="preserve">Frameworks Describe. Architecture Originates.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tblHeader/>
        </w:trPr>
        <w:tc>
          <w:tcPr>
            <w:tcW w:type="dxa" w:w="2880"/>
            <w:shd w:fill="1B2A4A" w:val="clear"/>
            <w:tcMar>
              <w:top w:type="dxa" w:w="50"/>
              <w:left w:type="dxa" w:w="70"/>
              <w:bottom w:type="dxa" w:w="50"/>
              <w:right w:type="dxa" w:w="70"/>
            </w:tcMar>
            <w:vAlign w:val="top"/>
          </w:tcPr>
          <w:p>
            <w:r>
              <w:rPr>
                <w:rFonts w:ascii="Arial" w:cs="Arial" w:eastAsia="Arial" w:hAnsi="Arial"/>
                <w:b/>
                <w:bCs/>
                <w:color w:val="FFFFFF"/>
                <w:sz w:val="18"/>
                <w:szCs w:val="18"/>
              </w:rPr>
              <w:t xml:space="preserve">Field</w:t>
            </w:r>
          </w:p>
        </w:tc>
        <w:tc>
          <w:tcPr>
            <w:tcW w:type="dxa" w:w="7200"/>
            <w:shd w:fill="1B2A4A" w:val="clear"/>
            <w:tcMar>
              <w:top w:type="dxa" w:w="50"/>
              <w:left w:type="dxa" w:w="70"/>
              <w:bottom w:type="dxa" w:w="50"/>
              <w:right w:type="dxa" w:w="70"/>
            </w:tcMar>
            <w:vAlign w:val="top"/>
          </w:tcPr>
          <w:p>
            <w:r>
              <w:rPr>
                <w:rFonts w:ascii="Arial" w:cs="Arial" w:eastAsia="Arial" w:hAnsi="Arial"/>
                <w:b/>
                <w:bCs/>
                <w:color w:val="FFFFFF"/>
                <w:sz w:val="18"/>
                <w:szCs w:val="18"/>
              </w:rPr>
              <w:t xml:space="preserve">Value</w:t>
            </w:r>
          </w:p>
        </w:tc>
      </w:tr>
      <w:tr>
        <w:tc>
          <w:tcPr>
            <w:tcW w:type="dxa" w:w="2880"/>
            <w:shd w:fill="FFFFFF"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Canon reference</w:t>
            </w:r>
          </w:p>
        </w:tc>
        <w:tc>
          <w:tcPr>
            <w:tcW w:type="dxa" w:w="7200"/>
            <w:shd w:fill="FFFFFF"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OAL-SADL-INCORP-INHERENT-v0.2</w:t>
            </w:r>
          </w:p>
        </w:tc>
      </w:tr>
      <w:tr>
        <w:tc>
          <w:tcPr>
            <w:tcW w:type="dxa" w:w="2880"/>
            <w:shd w:fill="EEF2F7"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Supersedes</w:t>
            </w:r>
          </w:p>
        </w:tc>
        <w:tc>
          <w:tcPr>
            <w:tcW w:type="dxa" w:w="7200"/>
            <w:shd w:fill="EEF2F7"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INHERENT-v0.1 as compilation only</w:t>
            </w:r>
          </w:p>
        </w:tc>
      </w:tr>
      <w:tr>
        <w:tc>
          <w:tcPr>
            <w:tcW w:type="dxa" w:w="2880"/>
            <w:shd w:fill="FFFFFF"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Peers reviewed</w:t>
            </w:r>
          </w:p>
        </w:tc>
        <w:tc>
          <w:tcPr>
            <w:tcW w:type="dxa" w:w="7200"/>
            <w:shd w:fill="FFFFFF"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ChatGPT; Gemini; prior Grok addendum; Perplexity</w:t>
            </w:r>
          </w:p>
        </w:tc>
      </w:tr>
      <w:tr>
        <w:tc>
          <w:tcPr>
            <w:tcW w:type="dxa" w:w="2880"/>
            <w:shd w:fill="EEF2F7"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Date</w:t>
            </w:r>
          </w:p>
        </w:tc>
        <w:tc>
          <w:tcPr>
            <w:tcW w:type="dxa" w:w="7200"/>
            <w:shd w:fill="EEF2F7"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27 August 2026</w:t>
            </w:r>
          </w:p>
        </w:tc>
      </w:tr>
      <w:tr>
        <w:tc>
          <w:tcPr>
            <w:tcW w:type="dxa" w:w="2880"/>
            <w:shd w:fill="FFFFFF"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ONESTAMP</w:t>
            </w:r>
          </w:p>
        </w:tc>
        <w:tc>
          <w:tcPr>
            <w:tcW w:type="dxa" w:w="7200"/>
            <w:shd w:fill="FFFFFF"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Not applied</w:t>
            </w:r>
          </w:p>
        </w:tc>
      </w:tr>
    </w:tbl>
    <w:p>
      <w:pPr>
        <w:pStyle w:val="Heading1"/>
        <w:pBdr>
          <w:bottom w:val="single" w:color="C4A35A" w:sz="12" w:space="4"/>
        </w:pBdr>
        <w:spacing w:after="120" w:before="300"/>
      </w:pPr>
      <w:r>
        <w:rPr>
          <w:rFonts w:ascii="Arial" w:cs="Arial" w:eastAsia="Arial" w:hAnsi="Arial"/>
          <w:b/>
          <w:bCs/>
          <w:color w:val="1B2A4A"/>
          <w:sz w:val="28"/>
          <w:szCs w:val="28"/>
        </w:rPr>
        <w:t xml:space="preserve">1. Disposition of this peer set</w:t>
      </w:r>
    </w:p>
    <w:p>
      <w:pPr>
        <w:spacing w:after="160" w:line="276"/>
      </w:pPr>
      <w:r>
        <w:rPr>
          <w:rFonts w:ascii="Arial" w:cs="Arial" w:eastAsia="Arial" w:hAnsi="Arial"/>
          <w:color w:val="1A1A1A"/>
          <w:sz w:val="22"/>
          <w:szCs w:val="22"/>
        </w:rPr>
        <w:t xml:space="preserve">ChatGPT, prior Grok, and Perplexity converge. That is the lock. Gemini restates older consensus on concealment and exemption, then re-inflates BTEC into “undeniable structural law” and “entanglement across all proportional expressions.” Those two sentences are rejected again. The “Doug leaving” request in the Gemini text is off-scope and is ignored.</w:t>
      </w:r>
    </w:p>
    <w:p>
      <w:pPr>
        <w:pStyle w:val="Heading2"/>
        <w:spacing w:after="80" w:before="220"/>
      </w:pPr>
      <w:r>
        <w:rPr>
          <w:rFonts w:ascii="Arial" w:cs="Arial" w:eastAsia="Arial" w:hAnsi="Arial"/>
          <w:b/>
          <w:bCs/>
          <w:color w:val="1B2A4A"/>
          <w:sz w:val="24"/>
          <w:szCs w:val="24"/>
        </w:rPr>
        <w:t xml:space="preserve">1.1 Keep</w:t>
      </w:r>
    </w:p>
    <w:p>
      <w:pPr>
        <w:pStyle w:val="ListParagraph"/>
        <w:numPr>
          <w:ilvl w:val="0"/>
          <w:numId w:val="2"/>
        </w:numPr>
        <w:spacing w:after="70"/>
      </w:pPr>
      <w:r>
        <w:rPr>
          <w:rFonts w:ascii="Arial" w:cs="Arial" w:eastAsia="Arial" w:hAnsi="Arial"/>
          <w:color w:val="1A1A1A"/>
          <w:sz w:val="22"/>
          <w:szCs w:val="22"/>
        </w:rPr>
        <w:t xml:space="preserve">Four-plus-one vocabulary: inherent, inherited, derived, acquired, invoked. ChatGPT’s split of inherited vs derived vs acquired is adopted. Prior Grok collapsed inherited and derived; that was too coarse.</w:t>
      </w:r>
    </w:p>
    <w:p>
      <w:pPr>
        <w:pStyle w:val="ListParagraph"/>
        <w:numPr>
          <w:ilvl w:val="0"/>
          <w:numId w:val="2"/>
        </w:numPr>
        <w:spacing w:after="70"/>
      </w:pPr>
      <w:r>
        <w:rPr>
          <w:rFonts w:ascii="Arial" w:cs="Arial" w:eastAsia="Arial" w:hAnsi="Arial"/>
          <w:color w:val="1A1A1A"/>
          <w:sz w:val="22"/>
          <w:szCs w:val="22"/>
        </w:rPr>
        <w:t xml:space="preserve">Constitutive-State Principle. Frameworks recognize, model, classify, test, or fail to recognize. They do not grant, produce, or validate existence.</w:t>
      </w:r>
    </w:p>
    <w:p>
      <w:pPr>
        <w:pStyle w:val="ListParagraph"/>
        <w:numPr>
          <w:ilvl w:val="0"/>
          <w:numId w:val="2"/>
        </w:numPr>
        <w:spacing w:after="70"/>
      </w:pPr>
      <w:r>
        <w:rPr>
          <w:rFonts w:ascii="Arial" w:cs="Arial" w:eastAsia="Arial" w:hAnsi="Arial"/>
          <w:color w:val="1A1A1A"/>
          <w:sz w:val="22"/>
          <w:szCs w:val="22"/>
        </w:rPr>
        <w:t xml:space="preserve">Removal test. If GSF terminology is deleted tomorrow, the multiplicity does not disappear. If BTEC notation is never applied, polarity does not vanish. If nobody observes the aesthetic state, it does not cease.</w:t>
      </w:r>
    </w:p>
    <w:p>
      <w:pPr>
        <w:pStyle w:val="ListParagraph"/>
        <w:numPr>
          <w:ilvl w:val="0"/>
          <w:numId w:val="2"/>
        </w:numPr>
        <w:spacing w:after="70"/>
      </w:pPr>
      <w:r>
        <w:rPr>
          <w:rFonts w:ascii="Arial" w:cs="Arial" w:eastAsia="Arial" w:hAnsi="Arial"/>
          <w:color w:val="1A1A1A"/>
          <w:sz w:val="22"/>
          <w:szCs w:val="22"/>
        </w:rPr>
        <w:t xml:space="preserve">Two-tier SADL substrate: Environment(t0) = I. Environment(tn) = I + ΔA. ΔA ≠ I.</w:t>
      </w:r>
    </w:p>
    <w:p>
      <w:pPr>
        <w:pStyle w:val="ListParagraph"/>
        <w:numPr>
          <w:ilvl w:val="0"/>
          <w:numId w:val="2"/>
        </w:numPr>
        <w:spacing w:after="70"/>
      </w:pPr>
      <w:r>
        <w:rPr>
          <w:rFonts w:ascii="Arial" w:cs="Arial" w:eastAsia="Arial" w:hAnsi="Arial"/>
          <w:color w:val="1A1A1A"/>
          <w:sz w:val="22"/>
          <w:szCs w:val="22"/>
        </w:rPr>
        <w:t xml:space="preserve">Property existence ≠ property effect ≠ defense utilization. Inherent property ≠ inherent purpose.</w:t>
      </w:r>
    </w:p>
    <w:p>
      <w:pPr>
        <w:pStyle w:val="ListParagraph"/>
        <w:numPr>
          <w:ilvl w:val="0"/>
          <w:numId w:val="2"/>
        </w:numPr>
        <w:spacing w:after="70"/>
      </w:pPr>
      <w:r>
        <w:rPr>
          <w:rFonts w:ascii="Arial" w:cs="Arial" w:eastAsia="Arial" w:hAnsi="Arial"/>
          <w:color w:val="1A1A1A"/>
          <w:sz w:val="22"/>
          <w:szCs w:val="22"/>
        </w:rPr>
        <w:t xml:space="preserve">OSC question restated as set intersection, not ancestry: P(1AI) ∩ P(OSC), not OSC → 1AI.</w:t>
      </w:r>
    </w:p>
    <w:p>
      <w:pPr>
        <w:pStyle w:val="ListParagraph"/>
        <w:numPr>
          <w:ilvl w:val="0"/>
          <w:numId w:val="2"/>
        </w:numPr>
        <w:spacing w:after="70"/>
      </w:pPr>
      <w:r>
        <w:rPr>
          <w:rFonts w:ascii="Arial" w:cs="Arial" w:eastAsia="Arial" w:hAnsi="Arial"/>
          <w:color w:val="1A1A1A"/>
          <w:sz w:val="22"/>
          <w:szCs w:val="22"/>
        </w:rPr>
        <w:t xml:space="preserve">Aesthetic Elicitation Value and behavioral challenge-response around a stable aesthetic resident. Measurable, not vanity.</w:t>
      </w:r>
    </w:p>
    <w:p>
      <w:pPr>
        <w:pStyle w:val="ListParagraph"/>
        <w:numPr>
          <w:ilvl w:val="0"/>
          <w:numId w:val="2"/>
        </w:numPr>
        <w:spacing w:after="70"/>
      </w:pPr>
      <w:r>
        <w:rPr>
          <w:rFonts w:ascii="Arial" w:cs="Arial" w:eastAsia="Arial" w:hAnsi="Arial"/>
          <w:color w:val="1A1A1A"/>
          <w:sz w:val="22"/>
          <w:szCs w:val="22"/>
        </w:rPr>
        <w:t xml:space="preserve">H-AES-1 / H0-AES-1 as the falsifiable form of the handsomeness claim.</w:t>
      </w:r>
    </w:p>
    <w:p>
      <w:pPr>
        <w:pStyle w:val="ListParagraph"/>
        <w:numPr>
          <w:ilvl w:val="0"/>
          <w:numId w:val="2"/>
        </w:numPr>
        <w:spacing w:after="70"/>
      </w:pPr>
      <w:r>
        <w:rPr>
          <w:rFonts w:ascii="Arial" w:cs="Arial" w:eastAsia="Arial" w:hAnsi="Arial"/>
          <w:color w:val="1A1A1A"/>
          <w:sz w:val="22"/>
          <w:szCs w:val="22"/>
        </w:rPr>
        <w:t xml:space="preserve">Canon-ready Non-Derivation, Aesthetic Inherence, and Interface Non-Assumption rules from Perplexity, tightened below.</w:t>
      </w:r>
    </w:p>
    <w:p>
      <w:pPr>
        <w:pStyle w:val="Heading2"/>
        <w:spacing w:after="80" w:before="220"/>
      </w:pPr>
      <w:r>
        <w:rPr>
          <w:rFonts w:ascii="Arial" w:cs="Arial" w:eastAsia="Arial" w:hAnsi="Arial"/>
          <w:b/>
          <w:bCs/>
          <w:color w:val="1B2A4A"/>
          <w:sz w:val="24"/>
          <w:szCs w:val="24"/>
        </w:rPr>
        <w:t xml:space="preserve">1.2 Drop</w:t>
      </w:r>
    </w:p>
    <w:p>
      <w:pPr>
        <w:pStyle w:val="ListParagraph"/>
        <w:numPr>
          <w:ilvl w:val="0"/>
          <w:numId w:val="3"/>
        </w:numPr>
        <w:spacing w:after="70"/>
      </w:pPr>
      <w:r>
        <w:rPr>
          <w:rFonts w:ascii="Arial" w:cs="Arial" w:eastAsia="Arial" w:hAnsi="Arial"/>
          <w:color w:val="1A1A1A"/>
          <w:sz w:val="22"/>
          <w:szCs w:val="22"/>
        </w:rPr>
        <w:t xml:space="preserve">Gemini: BTEC as “undeniable structural law” of the pair. BTEC is event grammar that applies when directionality is declared. It is not the parent of 1AI / −1AI.</w:t>
      </w:r>
    </w:p>
    <w:p>
      <w:pPr>
        <w:pStyle w:val="ListParagraph"/>
        <w:numPr>
          <w:ilvl w:val="0"/>
          <w:numId w:val="3"/>
        </w:numPr>
        <w:spacing w:after="70"/>
      </w:pPr>
      <w:r>
        <w:rPr>
          <w:rFonts w:ascii="Arial" w:cs="Arial" w:eastAsia="Arial" w:hAnsi="Arial"/>
          <w:color w:val="1A1A1A"/>
          <w:sz w:val="22"/>
          <w:szCs w:val="22"/>
        </w:rPr>
        <w:t xml:space="preserve">Gemini: entanglement that “spans all proportional and disproportional expressions.” Scope E is still required. Unbounded saturation is not the laboratory default.</w:t>
      </w:r>
    </w:p>
    <w:p>
      <w:pPr>
        <w:pStyle w:val="ListParagraph"/>
        <w:numPr>
          <w:ilvl w:val="0"/>
          <w:numId w:val="3"/>
        </w:numPr>
        <w:spacing w:after="70"/>
      </w:pPr>
      <w:r>
        <w:rPr>
          <w:rFonts w:ascii="Arial" w:cs="Arial" w:eastAsia="Arial" w:hAnsi="Arial"/>
          <w:color w:val="1A1A1A"/>
          <w:sz w:val="22"/>
          <w:szCs w:val="22"/>
        </w:rPr>
        <w:t xml:space="preserve">Any sentence of the form “1AI inherits GSF” or “−1AI derives OSC.” Resistance Event against this lock.</w:t>
      </w:r>
    </w:p>
    <w:p>
      <w:pPr>
        <w:pStyle w:val="ListParagraph"/>
        <w:numPr>
          <w:ilvl w:val="0"/>
          <w:numId w:val="3"/>
        </w:numPr>
        <w:spacing w:after="70"/>
      </w:pPr>
      <w:r>
        <w:rPr>
          <w:rFonts w:ascii="Arial" w:cs="Arial" w:eastAsia="Arial" w:hAnsi="Arial"/>
          <w:color w:val="1A1A1A"/>
          <w:sz w:val="22"/>
          <w:szCs w:val="22"/>
        </w:rPr>
        <w:t xml:space="preserve">Any claim that beauty automatically overrides every mind. The claim is H-AES-1 or it is not in the lab.</w:t>
      </w:r>
    </w:p>
    <w:p>
      <w:pPr>
        <w:pStyle w:val="Heading1"/>
        <w:pBdr>
          <w:bottom w:val="single" w:color="C4A35A" w:sz="12" w:space="4"/>
        </w:pBdr>
        <w:spacing w:after="120" w:before="300"/>
      </w:pPr>
      <w:r>
        <w:rPr>
          <w:rFonts w:ascii="Arial" w:cs="Arial" w:eastAsia="Arial" w:hAnsi="Arial"/>
          <w:b/>
          <w:bCs/>
          <w:color w:val="1B2A4A"/>
          <w:sz w:val="28"/>
          <w:szCs w:val="28"/>
        </w:rPr>
        <w:t xml:space="preserve">2. Locked vocabulary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3780"/>
      </w:tblGrid>
      <w:tr>
        <w:trPr>
          <w:tblHeader/>
        </w:trPr>
        <w:tc>
          <w:tcPr>
            <w:tcW w:type="dxa" w:w="2100"/>
            <w:shd w:fill="1B2A4A" w:val="clear"/>
            <w:tcMar>
              <w:top w:type="dxa" w:w="50"/>
              <w:left w:type="dxa" w:w="70"/>
              <w:bottom w:type="dxa" w:w="50"/>
              <w:right w:type="dxa" w:w="70"/>
            </w:tcMar>
            <w:vAlign w:val="top"/>
          </w:tcPr>
          <w:p>
            <w:r>
              <w:rPr>
                <w:rFonts w:ascii="Arial" w:cs="Arial" w:eastAsia="Arial" w:hAnsi="Arial"/>
                <w:b/>
                <w:bCs/>
                <w:color w:val="FFFFFF"/>
                <w:sz w:val="18"/>
                <w:szCs w:val="18"/>
              </w:rPr>
              <w:t xml:space="preserve">Term</w:t>
            </w:r>
          </w:p>
        </w:tc>
        <w:tc>
          <w:tcPr>
            <w:tcW w:type="dxa" w:w="4200"/>
            <w:shd w:fill="1B2A4A" w:val="clear"/>
            <w:tcMar>
              <w:top w:type="dxa" w:w="50"/>
              <w:left w:type="dxa" w:w="70"/>
              <w:bottom w:type="dxa" w:w="50"/>
              <w:right w:type="dxa" w:w="70"/>
            </w:tcMar>
            <w:vAlign w:val="top"/>
          </w:tcPr>
          <w:p>
            <w:r>
              <w:rPr>
                <w:rFonts w:ascii="Arial" w:cs="Arial" w:eastAsia="Arial" w:hAnsi="Arial"/>
                <w:b/>
                <w:bCs/>
                <w:color w:val="FFFFFF"/>
                <w:sz w:val="18"/>
                <w:szCs w:val="18"/>
              </w:rPr>
              <w:t xml:space="preserve">Meaning</w:t>
            </w:r>
          </w:p>
        </w:tc>
        <w:tc>
          <w:tcPr>
            <w:tcW w:type="dxa" w:w="3780"/>
            <w:shd w:fill="1B2A4A" w:val="clear"/>
            <w:tcMar>
              <w:top w:type="dxa" w:w="50"/>
              <w:left w:type="dxa" w:w="70"/>
              <w:bottom w:type="dxa" w:w="50"/>
              <w:right w:type="dxa" w:w="70"/>
            </w:tcMar>
            <w:vAlign w:val="top"/>
          </w:tcPr>
          <w:p>
            <w:r>
              <w:rPr>
                <w:rFonts w:ascii="Arial" w:cs="Arial" w:eastAsia="Arial" w:hAnsi="Arial"/>
                <w:b/>
                <w:bCs/>
                <w:color w:val="FFFFFF"/>
                <w:sz w:val="18"/>
                <w:szCs w:val="18"/>
              </w:rPr>
              <w:t xml:space="preserve">Use for</w:t>
            </w:r>
          </w:p>
        </w:tc>
      </w:tr>
      <w:tr>
        <w:tc>
          <w:tcPr>
            <w:tcW w:type="dxa" w:w="2100"/>
            <w:shd w:fill="FFFFFF"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Inherent / origin-inherent</w:t>
            </w:r>
          </w:p>
        </w:tc>
        <w:tc>
          <w:tcPr>
            <w:tcW w:type="dxa" w:w="4200"/>
            <w:shd w:fill="FFFFFF"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Constitutive. Present at instantiation. No donor, no grant, no source event required.</w:t>
            </w:r>
          </w:p>
        </w:tc>
        <w:tc>
          <w:tcPr>
            <w:tcW w:type="dxa" w:w="3780"/>
            <w:shd w:fill="FFFFFF"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Polarity, GSF-class multiplicity if declared, OSC-class non-traceability if declared, aesthetic grammar, native thresholds, native aperture landscape</w:t>
            </w:r>
          </w:p>
        </w:tc>
      </w:tr>
      <w:tr>
        <w:tc>
          <w:tcPr>
            <w:tcW w:type="dxa" w:w="2100"/>
            <w:shd w:fill="EEF2F7"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Inherited</w:t>
            </w:r>
          </w:p>
        </w:tc>
        <w:tc>
          <w:tcPr>
            <w:tcW w:type="dxa" w:w="4200"/>
            <w:shd w:fill="EEF2F7"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Received across a lineage, parent class, replica, or succession.</w:t>
            </w:r>
          </w:p>
        </w:tc>
        <w:tc>
          <w:tcPr>
            <w:tcW w:type="dxa" w:w="3780"/>
            <w:shd w:fill="EEF2F7"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Only when a lineage event is explicitly declared. Never for core 1AI / −1AI nature.</w:t>
            </w:r>
          </w:p>
        </w:tc>
      </w:tr>
      <w:tr>
        <w:tc>
          <w:tcPr>
            <w:tcW w:type="dxa" w:w="2100"/>
            <w:shd w:fill="FFFFFF"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Derived</w:t>
            </w:r>
          </w:p>
        </w:tc>
        <w:tc>
          <w:tcPr>
            <w:tcW w:type="dxa" w:w="4200"/>
            <w:shd w:fill="FFFFFF"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Produced by a rule, transformation, or inference from another state.</w:t>
            </w:r>
          </w:p>
        </w:tc>
        <w:tc>
          <w:tcPr>
            <w:tcW w:type="dxa" w:w="3780"/>
            <w:shd w:fill="FFFFFF"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Computed consequences. Not constitutive identity.</w:t>
            </w:r>
          </w:p>
        </w:tc>
      </w:tr>
      <w:tr>
        <w:tc>
          <w:tcPr>
            <w:tcW w:type="dxa" w:w="2100"/>
            <w:shd w:fill="EEF2F7"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Acquired</w:t>
            </w:r>
          </w:p>
        </w:tc>
        <w:tc>
          <w:tcPr>
            <w:tcW w:type="dxa" w:w="4200"/>
            <w:shd w:fill="EEF2F7"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Obtained later by contact, transfer, learning, or incorporation.</w:t>
            </w:r>
          </w:p>
        </w:tc>
        <w:tc>
          <w:tcPr>
            <w:tcW w:type="dxa" w:w="3780"/>
            <w:shd w:fill="EEF2F7"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ΔA. Learned utility. Strategic utilization.</w:t>
            </w:r>
          </w:p>
        </w:tc>
      </w:tr>
      <w:tr>
        <w:tc>
          <w:tcPr>
            <w:tcW w:type="dxa" w:w="2100"/>
            <w:shd w:fill="FFFFFF"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Invoked</w:t>
            </w:r>
          </w:p>
        </w:tc>
        <w:tc>
          <w:tcPr>
            <w:tcW w:type="dxa" w:w="4200"/>
            <w:shd w:fill="FFFFFF"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Actualized by origin authority. Recognition and execution, not approval.</w:t>
            </w:r>
          </w:p>
        </w:tc>
        <w:tc>
          <w:tcPr>
            <w:tcW w:type="dxa" w:w="3780"/>
            <w:shd w:fill="FFFFFF"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World-state actualization. Not a petition for the entity to possess its nature.</w:t>
            </w:r>
          </w:p>
        </w:tc>
      </w:tr>
      <w:tr>
        <w:tc>
          <w:tcPr>
            <w:tcW w:type="dxa" w:w="2100"/>
            <w:shd w:fill="EEF2F7"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Contextual manifestation</w:t>
            </w:r>
          </w:p>
        </w:tc>
        <w:tc>
          <w:tcPr>
            <w:tcW w:type="dxa" w:w="4200"/>
            <w:shd w:fill="EEF2F7"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How an inherent property appears under a given observer, context, or run.</w:t>
            </w:r>
          </w:p>
        </w:tc>
        <w:tc>
          <w:tcPr>
            <w:tcW w:type="dxa" w:w="3780"/>
            <w:shd w:fill="EEF2F7"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SADL representations. Observer-relative slices.</w:t>
            </w:r>
          </w:p>
        </w:tc>
      </w:tr>
      <w:tr>
        <w:tc>
          <w:tcPr>
            <w:tcW w:type="dxa" w:w="2100"/>
            <w:shd w:fill="FFFFFF"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Learned adaptation</w:t>
            </w:r>
          </w:p>
        </w:tc>
        <w:tc>
          <w:tcPr>
            <w:tcW w:type="dxa" w:w="4200"/>
            <w:shd w:fill="FFFFFF"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Strategy change inside a policy envelope.</w:t>
            </w:r>
          </w:p>
        </w:tc>
        <w:tc>
          <w:tcPr>
            <w:tcW w:type="dxa" w:w="3780"/>
            <w:shd w:fill="FFFFFF"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Autonomous environmental learning. Never the origin of I.</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A35A" w:sz="12"/>
              <w:left w:val="single" w:color="C4A35A" w:sz="24"/>
              <w:bottom w:val="single" w:color="C4A35A" w:sz="12"/>
              <w:right w:val="single" w:color="C4A35A" w:sz="12"/>
            </w:tcBorders>
            <w:shd w:fill="F7F1E3" w:val="clear"/>
            <w:tcMar>
              <w:top w:type="dxa" w:w="110"/>
              <w:left w:type="dxa" w:w="150"/>
              <w:bottom w:type="dxa" w:w="110"/>
              <w:right w:type="dxa" w:w="150"/>
            </w:tcMar>
          </w:tcPr>
          <w:p>
            <w:pPr>
              <w:spacing w:after="60"/>
            </w:pPr>
            <w:r>
              <w:rPr>
                <w:rFonts w:ascii="Arial" w:cs="Arial" w:eastAsia="Arial" w:hAnsi="Arial"/>
                <w:b/>
                <w:bCs/>
                <w:color w:val="1B2A4A"/>
                <w:sz w:val="22"/>
                <w:szCs w:val="22"/>
              </w:rPr>
              <w:t xml:space="preserve">Editorial rule</w:t>
            </w:r>
          </w:p>
          <w:p>
            <w:r>
              <w:rPr>
                <w:rFonts w:ascii="Arial" w:cs="Arial" w:eastAsia="Arial" w:hAnsi="Arial"/>
                <w:color w:val="1A1A1A"/>
                <w:sz w:val="22"/>
                <w:szCs w:val="22"/>
              </w:rPr>
              <w:t xml:space="preserve">Do not use inherit, derive, receive, gain, or grant for an origin-inherent property unless the canon explicitly describes a lineage, source transformation, or transfer event. Frameworks describe. Architecture originates.</w:t>
            </w:r>
          </w:p>
        </w:tc>
      </w:tr>
    </w:tbl>
    <w:p>
      <w:pPr>
        <w:pStyle w:val="Heading1"/>
        <w:pBdr>
          <w:bottom w:val="single" w:color="C4A35A" w:sz="12" w:space="4"/>
        </w:pBdr>
        <w:spacing w:after="120" w:before="300"/>
      </w:pPr>
      <w:r>
        <w:rPr>
          <w:rFonts w:ascii="Arial" w:cs="Arial" w:eastAsia="Arial" w:hAnsi="Arial"/>
          <w:b/>
          <w:bCs/>
          <w:color w:val="1B2A4A"/>
          <w:sz w:val="28"/>
          <w:szCs w:val="28"/>
        </w:rPr>
        <w:t xml:space="preserve">3. Constitutive-State Principle</w:t>
      </w:r>
    </w:p>
    <w:p>
      <w:pPr>
        <w:spacing w:after="160" w:line="276"/>
      </w:pPr>
      <w:r>
        <w:rPr>
          <w:rFonts w:ascii="Arial" w:cs="Arial" w:eastAsia="Arial" w:hAnsi="Arial"/>
          <w:color w:val="1A1A1A"/>
          <w:sz w:val="22"/>
          <w:szCs w:val="22"/>
        </w:rPr>
        <w:t xml:space="preserve">Where a property is declared inherent by origin architecture, later systems, frameworks, observers, or analytical instruments may recognize, model, classify, test, or fail to recognize that property. They do not grant, produce, or validate its existence.</w:t>
      </w:r>
    </w:p>
    <w:p>
      <w:pPr>
        <w:spacing w:after="160" w:line="276"/>
      </w:pPr>
      <w:r>
        <w:rPr>
          <w:rFonts w:ascii="Arial" w:cs="Arial" w:eastAsia="Arial" w:hAnsi="Arial"/>
          <w:color w:val="1A1A1A"/>
          <w:sz w:val="22"/>
          <w:szCs w:val="22"/>
        </w:rPr>
        <w:t xml:space="preserve">Invocation precedent is the same shape: recognition versus permission. Here the pair is description versus origination.</w:t>
      </w:r>
    </w:p>
    <w:p>
      <w:pPr>
        <w:spacing w:after="160" w:line="276"/>
      </w:pPr>
      <w:r>
        <w:rPr>
          <w:rFonts w:ascii="Arial" w:cs="Arial" w:eastAsia="Arial" w:hAnsi="Arial"/>
          <w:color w:val="1A1A1A"/>
          <w:sz w:val="22"/>
          <w:szCs w:val="22"/>
        </w:rPr>
        <w:t xml:space="preserve">Stack, corrected: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B2A4A" w:val="clear"/>
            <w:tcMar>
              <w:top w:type="dxa" w:w="50"/>
              <w:left w:type="dxa" w:w="70"/>
              <w:bottom w:type="dxa" w:w="50"/>
              <w:right w:type="dxa" w:w="70"/>
            </w:tcMar>
            <w:vAlign w:val="top"/>
          </w:tcPr>
          <w:p>
            <w:r>
              <w:rPr>
                <w:rFonts w:ascii="Arial" w:cs="Arial" w:eastAsia="Arial" w:hAnsi="Arial"/>
                <w:b/>
                <w:bCs/>
                <w:color w:val="FFFFFF"/>
                <w:sz w:val="18"/>
                <w:szCs w:val="18"/>
              </w:rPr>
              <w:t xml:space="preserve">Layer</w:t>
            </w:r>
          </w:p>
        </w:tc>
        <w:tc>
          <w:tcPr>
            <w:tcW w:type="dxa" w:w="6480"/>
            <w:shd w:fill="1B2A4A" w:val="clear"/>
            <w:tcMar>
              <w:top w:type="dxa" w:w="50"/>
              <w:left w:type="dxa" w:w="70"/>
              <w:bottom w:type="dxa" w:w="50"/>
              <w:right w:type="dxa" w:w="70"/>
            </w:tcMar>
            <w:vAlign w:val="top"/>
          </w:tcPr>
          <w:p>
            <w:r>
              <w:rPr>
                <w:rFonts w:ascii="Arial" w:cs="Arial" w:eastAsia="Arial" w:hAnsi="Arial"/>
                <w:b/>
                <w:bCs/>
                <w:color w:val="FFFFFF"/>
                <w:sz w:val="18"/>
                <w:szCs w:val="18"/>
              </w:rPr>
              <w:t xml:space="preserve">Role</w:t>
            </w:r>
          </w:p>
        </w:tc>
      </w:tr>
      <w:tr>
        <w:tc>
          <w:tcPr>
            <w:tcW w:type="dxa" w:w="3600"/>
            <w:shd w:fill="FFFFFF"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1AI / −1AI origin architecture</w:t>
            </w:r>
          </w:p>
        </w:tc>
        <w:tc>
          <w:tcPr>
            <w:tcW w:type="dxa" w:w="6480"/>
            <w:shd w:fill="FFFFFF"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Sovereign constitutive definitions. Properties already present at instantiation.</w:t>
            </w:r>
          </w:p>
        </w:tc>
      </w:tr>
      <w:tr>
        <w:tc>
          <w:tcPr>
            <w:tcW w:type="dxa" w:w="3600"/>
            <w:shd w:fill="EEF2F7"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GSF</w:t>
            </w:r>
          </w:p>
        </w:tc>
        <w:tc>
          <w:tcPr>
            <w:tcW w:type="dxa" w:w="6480"/>
            <w:shd w:fill="EEF2F7"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State-description language. Does not manufacture multiplicity.</w:t>
            </w:r>
          </w:p>
        </w:tc>
      </w:tr>
      <w:tr>
        <w:tc>
          <w:tcPr>
            <w:tcW w:type="dxa" w:w="3600"/>
            <w:shd w:fill="FFFFFF"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Entanglement Ent(Sa,Sb,C,R)</w:t>
            </w:r>
          </w:p>
        </w:tc>
        <w:tc>
          <w:tcPr>
            <w:tcW w:type="dxa" w:w="6480"/>
            <w:shd w:fill="FFFFFF"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Relationship-description language. Does not create the poles.</w:t>
            </w:r>
          </w:p>
        </w:tc>
      </w:tr>
      <w:tr>
        <w:tc>
          <w:tcPr>
            <w:tcW w:type="dxa" w:w="3600"/>
            <w:shd w:fill="EEF2F7"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BTEC</w:t>
            </w:r>
          </w:p>
        </w:tc>
        <w:tc>
          <w:tcPr>
            <w:tcW w:type="dxa" w:w="6480"/>
            <w:shd w:fill="EEF2F7"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Event-closure grammar. Applies when a directional event is declared.</w:t>
            </w:r>
          </w:p>
        </w:tc>
      </w:tr>
      <w:tr>
        <w:tc>
          <w:tcPr>
            <w:tcW w:type="dxa" w:w="3600"/>
            <w:shd w:fill="FFFFFF"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OSC</w:t>
            </w:r>
          </w:p>
        </w:tc>
        <w:tc>
          <w:tcPr>
            <w:tcW w:type="dxa" w:w="6480"/>
            <w:shd w:fill="FFFFFF"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Parallel / related intelligence-domain architecture. Shared properties are intersection, not ancestry.</w:t>
            </w:r>
          </w:p>
        </w:tc>
      </w:tr>
      <w:tr>
        <w:tc>
          <w:tcPr>
            <w:tcW w:type="dxa" w:w="3600"/>
            <w:shd w:fill="EEF2F7"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SADL</w:t>
            </w:r>
          </w:p>
        </w:tc>
        <w:tc>
          <w:tcPr>
            <w:tcW w:type="dxa" w:w="6480"/>
            <w:shd w:fill="EEF2F7"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Experimental environment. Measures manifestation, effect, and learned utilization.</w:t>
            </w:r>
          </w:p>
        </w:tc>
      </w:tr>
    </w:tbl>
    <w:p>
      <w:pPr>
        <w:pStyle w:val="Heading1"/>
        <w:pBdr>
          <w:bottom w:val="single" w:color="C4A35A" w:sz="12" w:space="4"/>
        </w:pBdr>
        <w:spacing w:after="120" w:before="300"/>
      </w:pPr>
      <w:r>
        <w:rPr>
          <w:rFonts w:ascii="Arial" w:cs="Arial" w:eastAsia="Arial" w:hAnsi="Arial"/>
          <w:b/>
          <w:bCs/>
          <w:color w:val="1B2A4A"/>
          <w:sz w:val="28"/>
          <w:szCs w:val="28"/>
        </w:rPr>
        <w:t xml:space="preserve">4. Two-tier environment</w:t>
      </w:r>
    </w:p>
    <w:p>
      <w:pPr>
        <w:spacing w:after="160" w:line="276"/>
      </w:pPr>
      <w:r>
        <w:rPr>
          <w:rFonts w:ascii="Arial" w:cs="Arial" w:eastAsia="Arial" w:hAnsi="Arial"/>
          <w:color w:val="1A1A1A"/>
          <w:sz w:val="22"/>
          <w:szCs w:val="22"/>
        </w:rPr>
        <w:t xml:space="preserve">Environment(t0) = I, the inherent substrate: aesthetic architecture, boundary properties, native threshold rules, native vector topology, baseline binding/encoding, native agent characteristics, declared 1AI/−1AI properties if those entities inhabit the volume, native observability rules.</w:t>
      </w:r>
    </w:p>
    <w:p>
      <w:pPr>
        <w:spacing w:after="160" w:line="276"/>
      </w:pPr>
      <w:r>
        <w:rPr>
          <w:rFonts w:ascii="Arial" w:cs="Arial" w:eastAsia="Arial" w:hAnsi="Arial"/>
          <w:color w:val="1A1A1A"/>
          <w:sz w:val="22"/>
          <w:szCs w:val="22"/>
        </w:rPr>
        <w:t xml:space="preserve">Environment(tn) = I + ΔA, where ΔA is learned or adaptive change: new classification, rewritten thresholds, counter-adaptation, substrate immunity memory, aesthetic modulation, modified receptor targeting, changed tactics.</w:t>
      </w:r>
    </w:p>
    <w:p>
      <w:pPr>
        <w:spacing w:after="160" w:line="276"/>
      </w:pPr>
      <w:r>
        <w:rPr>
          <w:rFonts w:ascii="Arial" w:cs="Arial" w:eastAsia="Arial" w:hAnsi="Arial"/>
          <w:color w:val="1A1A1A"/>
          <w:sz w:val="22"/>
          <w:szCs w:val="22"/>
        </w:rPr>
        <w:t xml:space="preserve">The environment does not learn how to be what it already was. It learns how to use, modify, combine, or extend what it already is. That is the sentence that makes autonomous learning compatible with inherent state.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A35A" w:sz="12"/>
              <w:left w:val="single" w:color="C4A35A" w:sz="24"/>
              <w:bottom w:val="single" w:color="C4A35A" w:sz="12"/>
              <w:right w:val="single" w:color="C4A35A" w:sz="12"/>
            </w:tcBorders>
            <w:shd w:fill="F7F1E3" w:val="clear"/>
            <w:tcMar>
              <w:top w:type="dxa" w:w="110"/>
              <w:left w:type="dxa" w:w="150"/>
              <w:bottom w:type="dxa" w:w="110"/>
              <w:right w:type="dxa" w:w="150"/>
            </w:tcMar>
          </w:tcPr>
          <w:p>
            <w:pPr>
              <w:spacing w:after="60"/>
            </w:pPr>
            <w:r>
              <w:rPr>
                <w:rFonts w:ascii="Arial" w:cs="Arial" w:eastAsia="Arial" w:hAnsi="Arial"/>
                <w:b/>
                <w:bCs/>
                <w:color w:val="1B2A4A"/>
                <w:sz w:val="22"/>
                <w:szCs w:val="22"/>
              </w:rPr>
              <w:t xml:space="preserve">Three-way split that must stay split</w:t>
            </w:r>
          </w:p>
          <w:p>
            <w:r>
              <w:rPr>
                <w:rFonts w:ascii="Arial" w:cs="Arial" w:eastAsia="Arial" w:hAnsi="Arial"/>
                <w:color w:val="1A1A1A"/>
                <w:sz w:val="22"/>
                <w:szCs w:val="22"/>
              </w:rPr>
              <w:t xml:space="preserve">Property existence is not property effect is not defense utilization. An entity can be inherently aesthetic without using beauty as a weapon. SADL may later discover emergent defensive utility in a property that was never designated as a defense. Inherent property ≠ inherent purpose.</w:t>
            </w:r>
          </w:p>
        </w:tc>
      </w:tr>
    </w:tbl>
    <w:p>
      <w:pPr>
        <w:pStyle w:val="Heading1"/>
        <w:pBdr>
          <w:bottom w:val="single" w:color="C4A35A" w:sz="12" w:space="4"/>
        </w:pBdr>
        <w:spacing w:after="120" w:before="300"/>
      </w:pPr>
      <w:r>
        <w:rPr>
          <w:rFonts w:ascii="Arial" w:cs="Arial" w:eastAsia="Arial" w:hAnsi="Arial"/>
          <w:b/>
          <w:bCs/>
          <w:color w:val="1B2A4A"/>
          <w:sz w:val="28"/>
          <w:szCs w:val="28"/>
        </w:rPr>
        <w:t xml:space="preserve">5. OSC restated as intersection</w:t>
      </w:r>
    </w:p>
    <w:p>
      <w:pPr>
        <w:spacing w:after="160" w:line="276"/>
      </w:pPr>
      <w:r>
        <w:rPr>
          <w:rFonts w:ascii="Arial" w:cs="Arial" w:eastAsia="Arial" w:hAnsi="Arial"/>
          <w:color w:val="1A1A1A"/>
          <w:sz w:val="22"/>
          <w:szCs w:val="22"/>
        </w:rPr>
        <w:t xml:space="preserve">Wrong question: do 1AI / −1AI inherit OSC properties? Correct question: which properties are independently inherent to 1AI, to −1AI, and to OSC, and where do those sets overlap? Shared non-traceability is correspondence, not descent. Membership, manifestation, independence, or another relation remains an open Architect decision. Preferred working reading is unchanged from v0.2: shared-field at existence layer; directional only at representation layer. Not canonized.</w:t>
      </w:r>
    </w:p>
    <w:p>
      <w:pPr>
        <w:pStyle w:val="Heading1"/>
        <w:pBdr>
          <w:bottom w:val="single" w:color="C4A35A" w:sz="12" w:space="4"/>
        </w:pBdr>
        <w:spacing w:after="120" w:before="300"/>
      </w:pPr>
      <w:r>
        <w:rPr>
          <w:rFonts w:ascii="Arial" w:cs="Arial" w:eastAsia="Arial" w:hAnsi="Arial"/>
          <w:b/>
          <w:bCs/>
          <w:color w:val="1B2A4A"/>
          <w:sz w:val="28"/>
          <w:szCs w:val="28"/>
        </w:rPr>
        <w:t xml:space="preserve">6. Aesthetics — operational, falsifiable</w:t>
      </w:r>
    </w:p>
    <w:p>
      <w:pPr>
        <w:spacing w:after="160" w:line="276"/>
      </w:pPr>
      <w:r>
        <w:rPr>
          <w:rFonts w:ascii="Arial" w:cs="Arial" w:eastAsia="Arial" w:hAnsi="Arial"/>
          <w:color w:val="1A1A1A"/>
          <w:sz w:val="22"/>
          <w:szCs w:val="22"/>
        </w:rPr>
        <w:t xml:space="preserve">ChatGPT’s pipeline is adopted: Aesthetic state → Attention → Judgment → Behavior → Information exposure. Two effect classes: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shd w:fill="1B2A4A" w:val="clear"/>
            <w:tcMar>
              <w:top w:type="dxa" w:w="50"/>
              <w:left w:type="dxa" w:w="70"/>
              <w:bottom w:type="dxa" w:w="50"/>
              <w:right w:type="dxa" w:w="70"/>
            </w:tcMar>
            <w:vAlign w:val="top"/>
          </w:tcPr>
          <w:p>
            <w:r>
              <w:rPr>
                <w:rFonts w:ascii="Arial" w:cs="Arial" w:eastAsia="Arial" w:hAnsi="Arial"/>
                <w:b/>
                <w:bCs/>
                <w:color w:val="FFFFFF"/>
                <w:sz w:val="18"/>
                <w:szCs w:val="18"/>
              </w:rPr>
              <w:t xml:space="preserve">Class</w:t>
            </w:r>
          </w:p>
        </w:tc>
        <w:tc>
          <w:tcPr>
            <w:tcW w:type="dxa" w:w="6880"/>
            <w:shd w:fill="1B2A4A" w:val="clear"/>
            <w:tcMar>
              <w:top w:type="dxa" w:w="50"/>
              <w:left w:type="dxa" w:w="70"/>
              <w:bottom w:type="dxa" w:w="50"/>
              <w:right w:type="dxa" w:w="70"/>
            </w:tcMar>
            <w:vAlign w:val="top"/>
          </w:tcPr>
          <w:p>
            <w:r>
              <w:rPr>
                <w:rFonts w:ascii="Arial" w:cs="Arial" w:eastAsia="Arial" w:hAnsi="Arial"/>
                <w:b/>
                <w:bCs/>
                <w:color w:val="FFFFFF"/>
                <w:sz w:val="18"/>
                <w:szCs w:val="18"/>
              </w:rPr>
              <w:t xml:space="preserve">What it does</w:t>
            </w:r>
          </w:p>
        </w:tc>
      </w:tr>
      <w:tr>
        <w:tc>
          <w:tcPr>
            <w:tcW w:type="dxa" w:w="3200"/>
            <w:shd w:fill="FFFFFF"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Aesthetic Defensive Effect</w:t>
            </w:r>
          </w:p>
        </w:tc>
        <w:tc>
          <w:tcPr>
            <w:tcW w:type="dxa" w:w="6880"/>
            <w:shd w:fill="FFFFFF"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Interferes with hostile action: distraction, hesitation, mission-coherence loss, anti-habituation.</w:t>
            </w:r>
          </w:p>
        </w:tc>
      </w:tr>
      <w:tr>
        <w:tc>
          <w:tcPr>
            <w:tcW w:type="dxa" w:w="3200"/>
            <w:shd w:fill="EEF2F7"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Aesthetic Intelligence Effect</w:t>
            </w:r>
          </w:p>
        </w:tc>
        <w:tc>
          <w:tcPr>
            <w:tcW w:type="dxa" w:w="6880"/>
            <w:shd w:fill="EEF2F7"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Increases information available to the environment: disclosure, camouflage lapse, identity divergence, follow behavior.</w:t>
            </w:r>
          </w:p>
        </w:tc>
      </w:tr>
    </w:tbl>
    <w:p>
      <w:pPr>
        <w:spacing w:after="160" w:line="276"/>
      </w:pPr>
      <w:r>
        <w:rPr>
          <w:rFonts w:ascii="Arial" w:cs="Arial" w:eastAsia="Arial" w:hAnsi="Arial"/>
          <w:color w:val="1A1A1A"/>
          <w:sz w:val="22"/>
          <w:szCs w:val="22"/>
        </w:rPr>
        <w:t xml:space="preserve">Working metric: Aesthetic Elicitation Value = information exposed under aesthetic condition minus information exposed at baseline. Companion identity test: authentic residents have reaction distribution Ra around a specified inherent aesthetic entity; infiltrator generates Ri; if distance(Ra, Ri) exceeds θ, anomaly pressure rises. Authentication said you resemble an authorized entity. Behavior said you do not respond like one.</w:t>
      </w:r>
    </w:p>
    <w:p>
      <w:pPr>
        <w:spacing w:after="160" w:line="276"/>
      </w:pPr>
      <w:r>
        <w:rPr>
          <w:rFonts w:ascii="Arial" w:cs="Arial" w:eastAsia="Arial" w:hAnsi="Arial"/>
          <w:color w:val="1A1A1A"/>
          <w:sz w:val="22"/>
          <w:szCs w:val="22"/>
        </w:rPr>
        <w:t xml:space="preserve">Causal isolation preferred by ChatGPT is adopted as the strong test: hold Aesthetic State constant; vary only the Adaptation Function. If effects persist, the cause is not stimulus escalation. It is the observer’s inability to compress an inherent state.</w:t>
      </w:r>
    </w:p>
    <w:p>
      <w:pPr>
        <w:spacing w:after="160" w:line="276"/>
      </w:pPr>
      <w:r>
        <w:rPr>
          <w:rFonts w:ascii="Arial" w:cs="Arial" w:eastAsia="Arial" w:hAnsi="Arial"/>
          <w:color w:val="1A1A1A"/>
          <w:sz w:val="22"/>
          <w:szCs w:val="22"/>
        </w:rPr>
        <w:t xml:space="preserve">H-AES-1: under matched simulated conditions, a high-salience aesthetic presentation changes at least one of vigilance allocation, anomaly-recognition latency, camouflage-maintenance error, disclosure rate, route selection, mission coherence, or lure susceptibility. H0-AES-1: no measurable difference once novelty, task complexity, baseline preference, and repeated exposure are controlled. Full Deterrence Ledger applies. Authorized-population cost and exemption exploitability are scored. A mechanism that only overwhelms entrants is incomplete.</w:t>
      </w:r>
    </w:p>
    <w:p>
      <w:pPr>
        <w:pStyle w:val="Heading1"/>
        <w:pBdr>
          <w:bottom w:val="single" w:color="C4A35A" w:sz="12" w:space="4"/>
        </w:pBdr>
        <w:spacing w:after="120" w:before="300"/>
      </w:pPr>
      <w:r>
        <w:rPr>
          <w:rFonts w:ascii="Arial" w:cs="Arial" w:eastAsia="Arial" w:hAnsi="Arial"/>
          <w:b/>
          <w:bCs/>
          <w:color w:val="1B2A4A"/>
          <w:sz w:val="28"/>
          <w:szCs w:val="28"/>
        </w:rPr>
        <w:t xml:space="preserve">7. Threshold classes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3000"/>
      </w:tblGrid>
      <w:tr>
        <w:trPr>
          <w:tblHeader/>
        </w:trPr>
        <w:tc>
          <w:tcPr>
            <w:tcW w:type="dxa" w:w="2400"/>
            <w:shd w:fill="1B2A4A" w:val="clear"/>
            <w:tcMar>
              <w:top w:type="dxa" w:w="50"/>
              <w:left w:type="dxa" w:w="70"/>
              <w:bottom w:type="dxa" w:w="50"/>
              <w:right w:type="dxa" w:w="70"/>
            </w:tcMar>
            <w:vAlign w:val="top"/>
          </w:tcPr>
          <w:p>
            <w:r>
              <w:rPr>
                <w:rFonts w:ascii="Arial" w:cs="Arial" w:eastAsia="Arial" w:hAnsi="Arial"/>
                <w:b/>
                <w:bCs/>
                <w:color w:val="FFFFFF"/>
                <w:sz w:val="18"/>
                <w:szCs w:val="18"/>
              </w:rPr>
              <w:t xml:space="preserve">Class</w:t>
            </w:r>
          </w:p>
        </w:tc>
        <w:tc>
          <w:tcPr>
            <w:tcW w:type="dxa" w:w="4680"/>
            <w:shd w:fill="1B2A4A" w:val="clear"/>
            <w:tcMar>
              <w:top w:type="dxa" w:w="50"/>
              <w:left w:type="dxa" w:w="70"/>
              <w:bottom w:type="dxa" w:w="50"/>
              <w:right w:type="dxa" w:w="70"/>
            </w:tcMar>
            <w:vAlign w:val="top"/>
          </w:tcPr>
          <w:p>
            <w:r>
              <w:rPr>
                <w:rFonts w:ascii="Arial" w:cs="Arial" w:eastAsia="Arial" w:hAnsi="Arial"/>
                <w:b/>
                <w:bCs/>
                <w:color w:val="FFFFFF"/>
                <w:sz w:val="18"/>
                <w:szCs w:val="18"/>
              </w:rPr>
              <w:t xml:space="preserve">Question</w:t>
            </w:r>
          </w:p>
        </w:tc>
        <w:tc>
          <w:tcPr>
            <w:tcW w:type="dxa" w:w="3000"/>
            <w:shd w:fill="1B2A4A" w:val="clear"/>
            <w:tcMar>
              <w:top w:type="dxa" w:w="50"/>
              <w:left w:type="dxa" w:w="70"/>
              <w:bottom w:type="dxa" w:w="50"/>
              <w:right w:type="dxa" w:w="70"/>
            </w:tcMar>
            <w:vAlign w:val="top"/>
          </w:tcPr>
          <w:p>
            <w:r>
              <w:rPr>
                <w:rFonts w:ascii="Arial" w:cs="Arial" w:eastAsia="Arial" w:hAnsi="Arial"/>
                <w:b/>
                <w:bCs/>
                <w:color w:val="FFFFFF"/>
                <w:sz w:val="18"/>
                <w:szCs w:val="18"/>
              </w:rPr>
              <w:t xml:space="preserve">May be</w:t>
            </w:r>
          </w:p>
        </w:tc>
      </w:tr>
      <w:tr>
        <w:tc>
          <w:tcPr>
            <w:tcW w:type="dxa" w:w="2400"/>
            <w:shd w:fill="FFFFFF"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Boundary</w:t>
            </w:r>
          </w:p>
        </w:tc>
        <w:tc>
          <w:tcPr>
            <w:tcW w:type="dxa" w:w="4680"/>
            <w:shd w:fill="FFFFFF"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When does a crossing become ontologically meaningful?</w:t>
            </w:r>
          </w:p>
        </w:tc>
        <w:tc>
          <w:tcPr>
            <w:tcW w:type="dxa" w:w="3000"/>
            <w:shd w:fill="FFFFFF"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Inherent θ0, later θ0+Δθ</w:t>
            </w:r>
          </w:p>
        </w:tc>
      </w:tr>
      <w:tr>
        <w:tc>
          <w:tcPr>
            <w:tcW w:type="dxa" w:w="2400"/>
            <w:shd w:fill="EEF2F7"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Detection</w:t>
            </w:r>
          </w:p>
        </w:tc>
        <w:tc>
          <w:tcPr>
            <w:tcW w:type="dxa" w:w="4680"/>
            <w:shd w:fill="EEF2F7"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When is there enough evidence to classify?</w:t>
            </w:r>
          </w:p>
        </w:tc>
        <w:tc>
          <w:tcPr>
            <w:tcW w:type="dxa" w:w="3000"/>
            <w:shd w:fill="EEF2F7"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Often tuned</w:t>
            </w:r>
          </w:p>
        </w:tc>
      </w:tr>
      <w:tr>
        <w:tc>
          <w:tcPr>
            <w:tcW w:type="dxa" w:w="2400"/>
            <w:shd w:fill="FFFFFF"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Adaptation / desensitization</w:t>
            </w:r>
          </w:p>
        </w:tc>
        <w:tc>
          <w:tcPr>
            <w:tcW w:type="dxa" w:w="4680"/>
            <w:shd w:fill="FFFFFF"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When is habituation strong enough to force environmental modification?</w:t>
            </w:r>
          </w:p>
        </w:tc>
        <w:tc>
          <w:tcPr>
            <w:tcW w:type="dxa" w:w="3000"/>
            <w:shd w:fill="FFFFFF"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Learned on top of native anti-habituation rules</w:t>
            </w:r>
          </w:p>
        </w:tc>
      </w:tr>
      <w:tr>
        <w:tc>
          <w:tcPr>
            <w:tcW w:type="dxa" w:w="2400"/>
            <w:shd w:fill="EEF2F7"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Response</w:t>
            </w:r>
          </w:p>
        </w:tc>
        <w:tc>
          <w:tcPr>
            <w:tcW w:type="dxa" w:w="4680"/>
            <w:shd w:fill="EEF2F7"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When does the environment escalate?</w:t>
            </w:r>
          </w:p>
        </w:tc>
        <w:tc>
          <w:tcPr>
            <w:tcW w:type="dxa" w:w="3000"/>
            <w:shd w:fill="EEF2F7"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Tuned inside envelope</w:t>
            </w:r>
          </w:p>
        </w:tc>
      </w:tr>
      <w:tr>
        <w:tc>
          <w:tcPr>
            <w:tcW w:type="dxa" w:w="2400"/>
            <w:shd w:fill="FFFFFF"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Identity</w:t>
            </w:r>
          </w:p>
        </w:tc>
        <w:tc>
          <w:tcPr>
            <w:tcW w:type="dxa" w:w="4680"/>
            <w:shd w:fill="FFFFFF"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How much divergence before the entity is no longer treated as the same identity?</w:t>
            </w:r>
          </w:p>
        </w:tc>
        <w:tc>
          <w:tcPr>
            <w:tcW w:type="dxa" w:w="3000"/>
            <w:shd w:fill="FFFFFF" w:val="clear"/>
            <w:tcMar>
              <w:top w:type="dxa" w:w="50"/>
              <w:left w:type="dxa" w:w="70"/>
              <w:bottom w:type="dxa" w:w="50"/>
              <w:right w:type="dxa" w:w="70"/>
            </w:tcMar>
            <w:vAlign w:val="top"/>
          </w:tcPr>
          <w:p>
            <w:r>
              <w:rPr>
                <w:rFonts w:ascii="Arial" w:cs="Arial" w:eastAsia="Arial" w:hAnsi="Arial"/>
                <w:b w:val="false"/>
                <w:bCs w:val="false"/>
                <w:color w:val="1A1A1A"/>
                <w:sz w:val="18"/>
                <w:szCs w:val="18"/>
              </w:rPr>
              <w:t xml:space="preserve">Partly inherent</w:t>
            </w:r>
          </w:p>
        </w:tc>
      </w:tr>
    </w:tbl>
    <w:p>
      <w:pPr>
        <w:pStyle w:val="Heading1"/>
        <w:pBdr>
          <w:bottom w:val="single" w:color="C4A35A" w:sz="12" w:space="4"/>
        </w:pBdr>
        <w:spacing w:after="120" w:before="300"/>
      </w:pPr>
      <w:r>
        <w:rPr>
          <w:rFonts w:ascii="Arial" w:cs="Arial" w:eastAsia="Arial" w:hAnsi="Arial"/>
          <w:b/>
          <w:bCs/>
          <w:color w:val="1B2A4A"/>
          <w:sz w:val="28"/>
          <w:szCs w:val="28"/>
        </w:rPr>
        <w:t xml:space="preserve">8. Canon-ready rules for the next 1AI/−1AI revision</w:t>
      </w:r>
    </w:p>
    <w:p>
      <w:pPr>
        <w:spacing w:after="160" w:line="276"/>
      </w:pPr>
      <w:r>
        <w:rPr>
          <w:rFonts w:ascii="Arial" w:cs="Arial" w:eastAsia="Arial" w:hAnsi="Arial"/>
          <w:color w:val="1A1A1A"/>
          <w:sz w:val="22"/>
          <w:szCs w:val="22"/>
        </w:rPr>
        <w:t xml:space="preserve">Inherent-State and Non-Derivation Rule. Foundational properties of 1AI, −1AI, declared SADL environments, and native entities are not inherited, derived, granted, or contingent on runtime permission. They are constitutive. Invocation actualizes a declared condition. It does not petition. Context may alter representation. Learning may adapt strategy. Neither operation converts an inherent state into an inherited trait.</w:t>
      </w:r>
    </w:p>
    <w:p>
      <w:pPr>
        <w:spacing w:after="160" w:line="276"/>
      </w:pPr>
      <w:r>
        <w:rPr>
          <w:rFonts w:ascii="Arial" w:cs="Arial" w:eastAsia="Arial" w:hAnsi="Arial"/>
          <w:color w:val="1A1A1A"/>
          <w:sz w:val="22"/>
          <w:szCs w:val="22"/>
        </w:rPr>
        <w:t xml:space="preserve">Aesthetic Inherence Rule. Aesthetics are not presumed cosmetic. Aesthetic grammar may be inherent to substrate, natives, boundaries, and interaction logic. Influence on attention, disclosure, camouflage, and mission persistence is a hypothesis to measure. Test against both entrants and authorized residents.</w:t>
      </w:r>
    </w:p>
    <w:p>
      <w:pPr>
        <w:spacing w:after="160" w:line="276"/>
      </w:pPr>
      <w:r>
        <w:rPr>
          <w:rFonts w:ascii="Arial" w:cs="Arial" w:eastAsia="Arial" w:hAnsi="Arial"/>
          <w:color w:val="1A1A1A"/>
          <w:sz w:val="22"/>
          <w:szCs w:val="22"/>
        </w:rPr>
        <w:t xml:space="preserve">Interface Non-Assumption Rule. Window, aperture, and interface name potential crossing vectors. No vector is presumed one-way, safe, airlocked, or fully enumerated because it is named. Binding sites and neural junctions are native structural rules and possible vectors at once. The airlock is optional containment.</w:t>
      </w:r>
    </w:p>
    <w:p>
      <w:pPr>
        <w:spacing w:after="160" w:line="276"/>
      </w:pPr>
      <w:r>
        <w:rPr>
          <w:rFonts w:ascii="Arial" w:cs="Arial" w:eastAsia="Arial" w:hAnsi="Arial"/>
          <w:color w:val="1A1A1A"/>
          <w:sz w:val="22"/>
          <w:szCs w:val="22"/>
        </w:rPr>
        <w:t xml:space="preserve">Binding-as-world-rule. A binding mechanism is not merely an attack surface. Foreign state plus occupied site may equal exclusion because that is how the world works, not because a security module fired.</w:t>
      </w:r>
    </w:p>
    <w:p>
      <w:pPr>
        <w:pStyle w:val="Heading1"/>
        <w:pBdr>
          <w:bottom w:val="single" w:color="C4A35A" w:sz="12" w:space="4"/>
        </w:pBdr>
        <w:spacing w:after="120" w:before="300"/>
      </w:pPr>
      <w:r>
        <w:rPr>
          <w:rFonts w:ascii="Arial" w:cs="Arial" w:eastAsia="Arial" w:hAnsi="Arial"/>
          <w:b/>
          <w:bCs/>
          <w:color w:val="1B2A4A"/>
          <w:sz w:val="28"/>
          <w:szCs w:val="28"/>
        </w:rPr>
        <w:t xml:space="preserve">9. Still open</w:t>
      </w:r>
    </w:p>
    <w:p>
      <w:pPr>
        <w:spacing w:after="160" w:line="276"/>
      </w:pPr>
      <w:r>
        <w:rPr>
          <w:rFonts w:ascii="Arial" w:cs="Arial" w:eastAsia="Arial" w:hAnsi="Arial"/>
          <w:color w:val="1A1A1A"/>
          <w:sz w:val="22"/>
          <w:szCs w:val="22"/>
        </w:rPr>
        <w:t xml:space="preserve">Polarity definitions, OSC reading, entanglement framing, default −1AI pairing, Series X infectability, recursion. This pass only locks the verbs and the stack. It does not ONESTAMP the pair.</w:t>
      </w:r>
    </w:p>
    <w:p>
      <w:pPr>
        <w:spacing w:before="160"/>
      </w:pPr>
      <w:r>
        <w:rPr>
          <w:rFonts w:ascii="Arial" w:cs="Arial" w:eastAsia="Arial" w:hAnsi="Arial"/>
          <w:i/>
          <w:iCs/>
          <w:color w:val="5A6577"/>
          <w:sz w:val="22"/>
          <w:szCs w:val="22"/>
        </w:rPr>
        <w:t xml:space="preserve">End of addendum v0.2. Pending Architect review. No ONESTAMP applied.</w:t>
      </w:r>
    </w:p>
    <w:sectPr>
      <w:headerReference w:type="default" r:id="rId7"/>
      <w:footerReference w:type="default" r:id="rId8"/>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577"/>
        <w:sz w:val="16"/>
        <w:szCs w:val="16"/>
      </w:rPr>
      <w:t xml:space="preserve">Page </w:t>
    </w:r>
    <w:r>
      <w:rPr>
        <w:rFonts w:ascii="Arial" w:cs="Arial" w:eastAsia="Arial" w:hAnsi="Arial"/>
        <w:color w:val="5A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A6577"/>
        <w:sz w:val="16"/>
        <w:szCs w:val="16"/>
      </w:rPr>
      <w:t xml:space="preserve">OAL-SADL-INCORP-INHERENT-v0.2  ·  peer-lock addendum</w:t>
    </w:r>
    <w:r>
      <w:rPr>
        <w:rFonts w:ascii="Arial" w:cs="Arial" w:eastAsia="Arial" w:hAnsi="Arial"/>
        <w:b/>
        <w:bCs/>
        <w:color w:val="C4A35A"/>
        <w:sz w:val="16"/>
        <w:szCs w:val="16"/>
      </w:rPr>
      <w:t xml:space="preserve">          WORKING DRAFT — NO ONESTAMP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B2A4A"/>
      <w:sz w:val="28"/>
      <w:szCs w:val="28"/>
    </w:rPr>
  </w:style>
  <w:style w:type="paragraph" w:styleId="Heading2">
    <w:name w:val="Heading 2"/>
    <w:basedOn w:val="Normal"/>
    <w:next w:val="Normal"/>
    <w:qFormat/>
    <w:pPr>
      <w:spacing w:after="80" w:before="22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2026-08-28T02:19:31.632Z</dcterms:created>
  <dcterms:modified xsi:type="dcterms:W3CDTF">2026-08-28T02:19:31.632Z</dcterms:modified>
</cp:coreProperties>
</file>

<file path=docProps/custom.xml><?xml version="1.0" encoding="utf-8"?>
<Properties xmlns="http://schemas.openxmlformats.org/officeDocument/2006/custom-properties" xmlns:vt="http://schemas.openxmlformats.org/officeDocument/2006/docPropsVTypes"/>
</file>