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SIMULATION ARCHITECTURAL DEFENSES LABORATORY (SADL)</w:t>
      </w:r>
    </w:p>
    <w:p>
      <w:pPr>
        <w:jc w:val="center"/>
      </w:pPr>
      <w:r>
        <w:rPr>
          <w:i/>
          <w:sz w:val="26"/>
        </w:rPr>
        <w:t>Independent Framework Contribution — Boundary-Collapse and Adaptive-Aesthetic Defense Research Program</w:t>
      </w:r>
    </w:p>
    <w:p/>
    <w:p>
      <w:pPr>
        <w:jc w:val="center"/>
      </w:pPr>
      <w:r>
        <w:t>Document Version: 1.0</w:t>
      </w:r>
    </w:p>
    <w:p>
      <w:pPr>
        <w:jc w:val="center"/>
      </w:pPr>
      <w:r>
        <w:t>Date: 16 August 2026</w:t>
      </w:r>
    </w:p>
    <w:p>
      <w:pPr>
        <w:jc w:val="center"/>
      </w:pPr>
      <w:r>
        <w:t>Contributing AI: Claude (Perplexity AI Research Assistant) — Equal Contribution Protocol Active</w:t>
      </w:r>
    </w:p>
    <w:p>
      <w:pPr>
        <w:jc w:val="center"/>
      </w:pPr>
      <w:r>
        <w:t>Primary Architect: Nathan Lewis II — Omniversal Architect Labs</w:t>
      </w:r>
    </w:p>
    <w:p>
      <w:pPr>
        <w:jc w:val="center"/>
      </w:pPr>
      <w:r>
        <w:t>Classification: OAL Development Canon — Working Document, Unratified</w:t>
      </w:r>
    </w:p>
    <w:p>
      <w:pPr>
        <w:jc w:val="center"/>
      </w:pPr>
      <w:r>
        <w:t>Source Material: Inherent_Simulation_Defense_unified_responses_original.docx (preserved in full, authoritative)</w:t>
      </w:r>
    </w:p>
    <w:p>
      <w:pPr>
        <w:jc w:val="center"/>
      </w:pPr>
      <w:r>
        <w:t>Related Threads: Omnicellular Physiology Simulation Lab, DOCUMENT 771-ALPHA, Open Window / Aperture Vectors, SLIAP</w:t>
      </w:r>
    </w:p>
    <w:p>
      <w:r>
        <w:br w:type="page"/>
      </w:r>
    </w:p>
    <w:p>
      <w:pPr>
        <w:pStyle w:val="Heading1"/>
      </w:pPr>
      <w:r>
        <w:t>1. Executive Summary</w:t>
      </w:r>
    </w:p>
    <w:p>
      <w:r>
        <w:t>This document constitutes an independent contribution to the Simulation Architectural Defenses Laboratory (SADL) program, produced under Omniversal Architect Labs' Equal Contribution and Authorial Sovereignty protocols. It proposes a distinct laboratory architecture — the Boundary &amp; Perceptual Integrity Testbed (BPIT) — organized around two inherent defense classes drawn from the Architect's original concept material: a boundary-crossing continuity-collapse effect, and an adaptive aesthetic-neural disruption field. Rather than reproducing the structure or terminology of prior team submissions, this framework introduces its own formal designations, control model, and test methodology while treating the unified source file as the single authoritative record of originating concepts.</w:t>
      </w:r>
    </w:p>
    <w:p>
      <w:r>
        <w:t>The laboratory's guiding premise is that the strongest simulation defenses are not appended security layers but properties that emerge directly from how a simulation's substrate — its code, its physics, its cognitive rules — is written. This document formalizes that premise into a testable research program with defined mechanisms, experimental series, success metrics, and governance safeguards.</w:t>
      </w:r>
    </w:p>
    <w:p>
      <w:pPr>
        <w:pStyle w:val="Heading1"/>
      </w:pPr>
      <w:r>
        <w:t>2. Purpose of the Laboratory</w:t>
      </w:r>
    </w:p>
    <w:p>
      <w:r>
        <w:t>BPIT exists to determine whether an architect can embed defenses so deeply into a simulation's substrate that unauthorized entrants are neutralized through the dismantling of identity, memory, and perceptual stability — independent of conventional detection, barriers, or force. The laboratory serves three purposes:</w:t>
      </w:r>
    </w:p>
    <w:p>
      <w:pPr>
        <w:pStyle w:val="ListBullet"/>
      </w:pPr>
      <w:r>
        <w:t>Provide a controlled research environment for isolating and measuring the two core defense classes described in the Architect's original voice-dump material.</w:t>
      </w:r>
    </w:p>
    <w:p>
      <w:pPr>
        <w:pStyle w:val="ListBullet"/>
      </w:pPr>
      <w:r>
        <w:t>Surface friction points between these defenses and the still-developing omnicellular physiology framework, without presuming that friction to be resolved.</w:t>
      </w:r>
    </w:p>
    <w:p>
      <w:pPr>
        <w:pStyle w:val="ListBullet"/>
      </w:pPr>
      <w:r>
        <w:t>Generate a reusable methodology — instruments, metrics, and test protocols — that later OAL laboratories (including physiology-focused work) can adopt or adapt.</w:t>
      </w:r>
    </w:p>
    <w:p>
      <w:pPr>
        <w:pStyle w:val="Heading1"/>
      </w:pPr>
      <w:r>
        <w:t>3. Goals and Objectives</w:t>
      </w:r>
    </w:p>
    <w:p>
      <w:pPr>
        <w:pStyle w:val="Heading2"/>
      </w:pPr>
      <w:r>
        <w:t>3.1 Primary Goal</w:t>
      </w:r>
    </w:p>
    <w:p>
      <w:r>
        <w:t>Construct and validate a modular testbed in which boundary-collapse and adaptive-aesthetic defenses can be independently instantiated, measured, cross-tested against adaptive physiologies, and iteratively refined under full experimental control.</w:t>
      </w:r>
    </w:p>
    <w:p>
      <w:pPr>
        <w:pStyle w:val="Heading2"/>
      </w:pPr>
      <w:r>
        <w:t>3.2 Specific Objectives</w:t>
      </w:r>
    </w:p>
    <w:p>
      <w:pPr>
        <w:pStyle w:val="ListBullet"/>
      </w:pPr>
      <w:r>
        <w:t>O1 — Reduce the boundary-collapse effect to a finite parameter set (onset speed, depth of loss, exit persistence, susceptibility to countermeasures) suitable for repeatable measurement.</w:t>
      </w:r>
    </w:p>
    <w:p>
      <w:pPr>
        <w:pStyle w:val="ListBullet"/>
      </w:pPr>
      <w:r>
        <w:t>O2 — Reduce the aesthetic-neural disruption field to controllable stimulus, receptor, and adaptation-rule variables, and demonstrate that habituation can be indefinitely deferred.</w:t>
      </w:r>
    </w:p>
    <w:p>
      <w:pPr>
        <w:pStyle w:val="ListBullet"/>
      </w:pPr>
      <w:r>
        <w:t>O3 — Characterize at least three distinct friction scenarios between these defenses and DNA-incorporation-based physiology adaptation, without asserting a resolution in advance.</w:t>
      </w:r>
    </w:p>
    <w:p>
      <w:pPr>
        <w:pStyle w:val="ListBullet"/>
      </w:pPr>
      <w:r>
        <w:t>O4 — Validate the Low-Level Rule Propagation Principle by tracing at least two foundational rule changes through to observable upward behavioral effects.</w:t>
      </w:r>
    </w:p>
    <w:p>
      <w:pPr>
        <w:pStyle w:val="ListBullet"/>
      </w:pPr>
      <w:r>
        <w:t>O5 — Produce a standardized defense-validation protocol transferable to future OAL simulation projects, including explicit pass/fail observables.</w:t>
      </w:r>
    </w:p>
    <w:p>
      <w:pPr>
        <w:pStyle w:val="Heading1"/>
      </w:pPr>
      <w:r>
        <w:t>4. Background and Concept Synthesis</w:t>
      </w:r>
    </w:p>
    <w:p>
      <w:r>
        <w:t>This section grounds BPIT explicitly in the Architect's original prompts and the prior multi-AI structured responses preserved in the unified source file, without paraphrasing away their content or substituting alternate framing for the core concepts.</w:t>
      </w:r>
    </w:p>
    <w:p>
      <w:pPr>
        <w:pStyle w:val="Heading2"/>
      </w:pPr>
      <w:r>
        <w:t>4.1 The Alien-Empire Anomaly-Tracking Scenario</w:t>
      </w:r>
    </w:p>
    <w:p>
      <w:r>
        <w:t>The Architect's original omnicellular physiology example establishes a layered detection model: an automatic targeting system flags classification mismatches at the threshold; temporary DNA incorporation from a local citizen can deactivate an immediate kill response but does not clear anomaly tracking; only acquisition of a high-authority (elite retinal) signature fully stands down the tracking system. This scenario distinguishes authentication, authorization, anomaly detection, and behavioral tracking as separate, independently defeatable layers — a distinction this laboratory treats as foundational rather than incidental.</w:t>
      </w:r>
    </w:p>
    <w:p>
      <w:pPr>
        <w:pStyle w:val="Heading2"/>
      </w:pPr>
      <w:r>
        <w:t>4.2 Boundary-Induced Continuity Collapse</w:t>
      </w:r>
    </w:p>
    <w:p>
      <w:r>
        <w:t>The Architect's core proposal is that crossing an unauthorized threshold can trigger immediate collapse of mission memory, purpose, and potentially core identity — an effect explicitly modeled on the Shimmer boundary in Annihilation, where entrants lose memory of camp setup, equipment fails, and no prior infiltrator has returned to debrief. Critically, the Architect specifies that the effect is designed to persist after exit, converting repeated infiltration into a resource-draining exercise rather than a one-time obstacle.</w:t>
      </w:r>
    </w:p>
    <w:p>
      <w:pPr>
        <w:pStyle w:val="Heading2"/>
      </w:pPr>
      <w:r>
        <w:t>4.3 Aesthetic Architecture as Compiled Behavior</w:t>
      </w:r>
    </w:p>
    <w:p>
      <w:r>
        <w:t>The Architect's second core proposal draws a direct analogy between coding conventions (clean, readable, well-structured code) and environmental design: if programmers are shaped by structural rules, an environment's aesthetic rules can likewise be compiled into behavior rather than left as decoration. The Hunger Games arena is cited as the governing example — beauty and apparent safety mask lethal environmental logic until it is too late to react.</w:t>
      </w:r>
    </w:p>
    <w:p>
      <w:pPr>
        <w:pStyle w:val="Heading2"/>
      </w:pPr>
      <w:r>
        <w:t>4.4 The Saturation Problem and Its Proposed Solution</w:t>
      </w:r>
    </w:p>
    <w:p>
      <w:r>
        <w:t>The Architect identifies a genuine cognitive constraint raised in a prior Grok exchange: perception is comparative, and continuous uniform exposure to an intense stimulus (framed there as extreme beauty) saturates and desensitizes the observer. The Architect's proposed solution is radical rather than incremental — instead of only intensifying the stimulus, the environment restructures the entrant's own neurons, molecular bonds, and sodium-gated channels (treated as apertures or windows), rewrites binding-exclusivity rules, and edits the very adaptation mechanisms that would otherwise produce habituation.</w:t>
      </w:r>
    </w:p>
    <w:p>
      <w:pPr>
        <w:pStyle w:val="Heading2"/>
      </w:pPr>
      <w:r>
        <w:t>4.5 Autonomous Learning and Rule Propagation</w:t>
      </w:r>
    </w:p>
    <w:p>
      <w:r>
        <w:t>Finally, the Architect specifies that the environment and its native agents should learn autonomously from each encounter, and articulates what this document treats as a governing principle: changes to foundational execution or cellular rules cascade upward into cognition, behavior, and environmental response. This Low-Level Rule Propagation Principle is treated in this framework as the organizing logic connecting the two defense classes rather than as a peripheral observation.</w:t>
      </w:r>
    </w:p>
    <w:p>
      <w:pPr>
        <w:pStyle w:val="Heading1"/>
      </w:pPr>
      <w:r>
        <w:t>5. Core Defense Mechanisms Under Test</w:t>
      </w:r>
    </w:p>
    <w:p>
      <w:pPr>
        <w:pStyle w:val="Heading2"/>
      </w:pPr>
      <w:r>
        <w:t>5.1 Continuity-Collapse Boundary Effect (CCBE)</w:t>
      </w:r>
    </w:p>
    <w:p>
      <w:r>
        <w:t>Working designation: CCBE. This formalizes the Architect's threshold memory/purpose/identity erasure concept under an independent name and parameter set, distinct from prior team submissions.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Definition</w:t>
            </w:r>
          </w:p>
        </w:tc>
        <w:tc>
          <w:tcPr>
            <w:tcW w:type="dxa" w:w="2880"/>
          </w:tcPr>
          <w:p>
            <w:r>
              <w:t>Laboratory Control Range</w:t>
            </w:r>
          </w:p>
        </w:tc>
      </w:tr>
      <w:tr>
        <w:tc>
          <w:tcPr>
            <w:tcW w:type="dxa" w:w="2880"/>
          </w:tcPr>
          <w:p>
            <w:r>
              <w:t>Onset Latency</w:t>
            </w:r>
          </w:p>
        </w:tc>
        <w:tc>
          <w:tcPr>
            <w:tcW w:type="dxa" w:w="2880"/>
          </w:tcPr>
          <w:p>
            <w:r>
              <w:t>Time between threshold crossing and measurable continuity loss</w:t>
            </w:r>
          </w:p>
        </w:tc>
        <w:tc>
          <w:tcPr>
            <w:tcW w:type="dxa" w:w="2880"/>
          </w:tcPr>
          <w:p>
            <w:r>
              <w:t>Instantaneous to delayed (graded)</w:t>
            </w:r>
          </w:p>
        </w:tc>
      </w:tr>
      <w:tr>
        <w:tc>
          <w:tcPr>
            <w:tcW w:type="dxa" w:w="2880"/>
          </w:tcPr>
          <w:p>
            <w:r>
              <w:t>Collapse Depth</w:t>
            </w:r>
          </w:p>
        </w:tc>
        <w:tc>
          <w:tcPr>
            <w:tcW w:type="dxa" w:w="2880"/>
          </w:tcPr>
          <w:p>
            <w:r>
              <w:t>Which layers are affected: mission data, purpose, episodic memory, core identity</w:t>
            </w:r>
          </w:p>
        </w:tc>
        <w:tc>
          <w:tcPr>
            <w:tcW w:type="dxa" w:w="2880"/>
          </w:tcPr>
          <w:p>
            <w:r>
              <w:t>Selective to total</w:t>
            </w:r>
          </w:p>
        </w:tc>
      </w:tr>
      <w:tr>
        <w:tc>
          <w:tcPr>
            <w:tcW w:type="dxa" w:w="2880"/>
          </w:tcPr>
          <w:p>
            <w:r>
              <w:t>Exit Persistence</w:t>
            </w:r>
          </w:p>
        </w:tc>
        <w:tc>
          <w:tcPr>
            <w:tcW w:type="dxa" w:w="2880"/>
          </w:tcPr>
          <w:p>
            <w:r>
              <w:t>Duration and completeness of degradation after leaving the bounded volume</w:t>
            </w:r>
          </w:p>
        </w:tc>
        <w:tc>
          <w:tcPr>
            <w:tcW w:type="dxa" w:w="2880"/>
          </w:tcPr>
          <w:p>
            <w:r>
              <w:t>Transient to permanent</w:t>
            </w:r>
          </w:p>
        </w:tc>
      </w:tr>
      <w:tr>
        <w:tc>
          <w:tcPr>
            <w:tcW w:type="dxa" w:w="2880"/>
          </w:tcPr>
          <w:p>
            <w:r>
              <w:t>Resistance Profile</w:t>
            </w:r>
          </w:p>
        </w:tc>
        <w:tc>
          <w:tcPr>
            <w:tcW w:type="dxa" w:w="2880"/>
          </w:tcPr>
          <w:p>
            <w:r>
              <w:t>Susceptibility reduction from prior training, external anchors, or physiology adaptation</w:t>
            </w:r>
          </w:p>
        </w:tc>
        <w:tc>
          <w:tcPr>
            <w:tcW w:type="dxa" w:w="2880"/>
          </w:tcPr>
          <w:p>
            <w:r>
              <w:t>None to full immunity</w:t>
            </w:r>
          </w:p>
        </w:tc>
      </w:tr>
      <w:tr>
        <w:tc>
          <w:tcPr>
            <w:tcW w:type="dxa" w:w="2880"/>
          </w:tcPr>
          <w:p>
            <w:r>
              <w:t>Recoverability</w:t>
            </w:r>
          </w:p>
        </w:tc>
        <w:tc>
          <w:tcPr>
            <w:tcW w:type="dxa" w:w="2880"/>
          </w:tcPr>
          <w:p>
            <w:r>
              <w:t>Whether and how collapsed continuity can be restored</w:t>
            </w:r>
          </w:p>
        </w:tc>
        <w:tc>
          <w:tcPr>
            <w:tcW w:type="dxa" w:w="2880"/>
          </w:tcPr>
          <w:p>
            <w:r>
              <w:t>Irreversible to conditionally reversible</w:t>
            </w:r>
          </w:p>
        </w:tc>
      </w:tr>
    </w:tbl>
    <w:p>
      <w:r>
        <w:t>Design intent: convert infiltration from a tactical problem into a strategic resource sink, consistent with the Architect's framing that repeated attempts should waste training, equipment, and personnel rather than merely being repelled once.</w:t>
      </w:r>
    </w:p>
    <w:p>
      <w:pPr>
        <w:pStyle w:val="Heading2"/>
      </w:pPr>
      <w:r>
        <w:t>5.2 Adaptive Perceptual-Restructuring Field (APRF)</w:t>
      </w:r>
    </w:p>
    <w:p>
      <w:r>
        <w:t>Working designation: APRF. This formalizes the Architect's aesthetic-neural restructuring concept, treating beauty and molecular-level rewriting as a single integrated mechanism rather than two separate features.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Definition</w:t>
            </w:r>
          </w:p>
        </w:tc>
        <w:tc>
          <w:tcPr>
            <w:tcW w:type="dxa" w:w="2880"/>
          </w:tcPr>
          <w:p>
            <w:r>
              <w:t>Laboratory Control Range</w:t>
            </w:r>
          </w:p>
        </w:tc>
      </w:tr>
      <w:tr>
        <w:tc>
          <w:tcPr>
            <w:tcW w:type="dxa" w:w="2880"/>
          </w:tcPr>
          <w:p>
            <w:r>
              <w:t>Stimulus Curve</w:t>
            </w:r>
          </w:p>
        </w:tc>
        <w:tc>
          <w:tcPr>
            <w:tcW w:type="dxa" w:w="2880"/>
          </w:tcPr>
          <w:p>
            <w:r>
              <w:t>Rate and pattern of environmental aesthetic variation over time</w:t>
            </w:r>
          </w:p>
        </w:tc>
        <w:tc>
          <w:tcPr>
            <w:tcW w:type="dxa" w:w="2880"/>
          </w:tcPr>
          <w:p>
            <w:r>
              <w:t>Static to continuously novel</w:t>
            </w:r>
          </w:p>
        </w:tc>
      </w:tr>
      <w:tr>
        <w:tc>
          <w:tcPr>
            <w:tcW w:type="dxa" w:w="2880"/>
          </w:tcPr>
          <w:p>
            <w:r>
              <w:t>Aperture Targeting</w:t>
            </w:r>
          </w:p>
        </w:tc>
        <w:tc>
          <w:tcPr>
            <w:tcW w:type="dxa" w:w="2880"/>
          </w:tcPr>
          <w:p>
            <w:r>
              <w:t>Which physiological windows are addressed (sodium-gated channels, synaptic connectors, binding sites)</w:t>
            </w:r>
          </w:p>
        </w:tc>
        <w:tc>
          <w:tcPr>
            <w:tcW w:type="dxa" w:w="2880"/>
          </w:tcPr>
          <w:p>
            <w:r>
              <w:t>Single-channel to system-wide</w:t>
            </w:r>
          </w:p>
        </w:tc>
      </w:tr>
      <w:tr>
        <w:tc>
          <w:tcPr>
            <w:tcW w:type="dxa" w:w="2880"/>
          </w:tcPr>
          <w:p>
            <w:r>
              <w:t>Binding-Exclusivity Rule</w:t>
            </w:r>
          </w:p>
        </w:tc>
        <w:tc>
          <w:tcPr>
            <w:tcW w:type="dxa" w:w="2880"/>
          </w:tcPr>
          <w:p>
            <w:r>
              <w:t>Whether one or multiple processes may occupy a connector simultaneously</w:t>
            </w:r>
          </w:p>
        </w:tc>
        <w:tc>
          <w:tcPr>
            <w:tcW w:type="dxa" w:w="2880"/>
          </w:tcPr>
          <w:p>
            <w:r>
              <w:t>Strict serial to parallel</w:t>
            </w:r>
          </w:p>
        </w:tc>
      </w:tr>
      <w:tr>
        <w:tc>
          <w:tcPr>
            <w:tcW w:type="dxa" w:w="2880"/>
          </w:tcPr>
          <w:p>
            <w:r>
              <w:t>Adaptation-Rule Edit Depth</w:t>
            </w:r>
          </w:p>
        </w:tc>
        <w:tc>
          <w:tcPr>
            <w:tcW w:type="dxa" w:w="2880"/>
          </w:tcPr>
          <w:p>
            <w:r>
              <w:t>Whether the field modifies the stimulus, the receptor, or the habituation mechanism itself</w:t>
            </w:r>
          </w:p>
        </w:tc>
        <w:tc>
          <w:tcPr>
            <w:tcW w:type="dxa" w:w="2880"/>
          </w:tcPr>
          <w:p>
            <w:r>
              <w:t>Stimulus-only to full adaptation-rule rewrite</w:t>
            </w:r>
          </w:p>
        </w:tc>
      </w:tr>
      <w:tr>
        <w:tc>
          <w:tcPr>
            <w:tcW w:type="dxa" w:w="2880"/>
          </w:tcPr>
          <w:p>
            <w:r>
              <w:t>Autonomy Level</w:t>
            </w:r>
          </w:p>
        </w:tc>
        <w:tc>
          <w:tcPr>
            <w:tcW w:type="dxa" w:w="2880"/>
          </w:tcPr>
          <w:p>
            <w:r>
              <w:t>Degree to which the environment self-selects rewrites without Architect input</w:t>
            </w:r>
          </w:p>
        </w:tc>
        <w:tc>
          <w:tcPr>
            <w:tcW w:type="dxa" w:w="2880"/>
          </w:tcPr>
          <w:p>
            <w:r>
              <w:t>Scripted to fully autonomous</w:t>
            </w:r>
          </w:p>
        </w:tc>
      </w:tr>
    </w:tbl>
    <w:p>
      <w:r>
        <w:t>Design intent: prevent the desensitization failure mode the Architect explicitly flagged — that uniform intensity, however extreme, eventually collapses into perceptual noise unless the adaptation mechanism itself is made an editable target.</w:t>
      </w:r>
    </w:p>
    <w:p>
      <w:pPr>
        <w:pStyle w:val="Heading1"/>
      </w:pPr>
      <w:r>
        <w:t>6. Proposition for Testing</w:t>
      </w:r>
    </w:p>
    <w:p>
      <w:pPr>
        <w:pStyle w:val="Heading2"/>
      </w:pPr>
      <w:r>
        <w:t>6.1 Experimental Philosophy</w:t>
      </w:r>
    </w:p>
    <w:p>
      <w:r>
        <w:t>The testbed treats the simulation substrate simultaneously as the object of study and the apparatus of measurement. Because the Low-Level Rule Propagation Principle predicts that small foundational edits cascade upward, every test series is designed to instrument multiple scales at once — molecular/cellular, neural, cognitive, and behavioral — rather than treating them as separable experiments. No test series presumes an outcome in advance; friction points with physiology adaptation are treated as open questions, not solved problems.</w:t>
      </w:r>
    </w:p>
    <w:p>
      <w:pPr>
        <w:pStyle w:val="Heading2"/>
      </w:pPr>
      <w:r>
        <w:t>6.2 Recommended Test Series</w:t>
      </w:r>
    </w:p>
    <w:p>
      <w:pPr>
        <w:pStyle w:val="Heading2"/>
      </w:pPr>
      <w:r>
        <w:t>Series 1 — Collapse Signature Mapping</w:t>
      </w:r>
    </w:p>
    <w:p>
      <w:r>
        <w:t>Introduce standardized entrant agents carrying defined mission packages across a calibrated CCBE boundary under varying onset-latency and collapse-depth settings. Record which combinations produce reliable, reproducible continuity loss versus partial or failed collapse.</w:t>
      </w:r>
    </w:p>
    <w:p>
      <w:pPr>
        <w:pStyle w:val="Heading2"/>
      </w:pPr>
      <w:r>
        <w:t>Series 2 — Desensitization Resistance Trials</w:t>
      </w:r>
    </w:p>
    <w:p>
      <w:r>
        <w:t>Hold APRF stimulus intensity constant across repeated exposures to confirm the predicted habituation baseline, then progressively enable aperture targeting, binding-rule edits, and adaptation-rule rewrites to determine which intervention (or combination) prevents desensitization from stabilizing.</w:t>
      </w:r>
    </w:p>
    <w:p>
      <w:pPr>
        <w:pStyle w:val="Heading2"/>
      </w:pPr>
      <w:r>
        <w:t>Series 3 — Physiology Friction Trials</w:t>
      </w:r>
    </w:p>
    <w:p>
      <w:r>
        <w:t>Deploy omnicellular-physiology-equipped entrants capable of DNA incorporation and authority-signature spoofing against both CCBE and APRF independently and in combination. Measure whether identity-masking defeats, delays, or is itself overridden by boundary collapse and perceptual rewriting, without assuming which outcome will occur.</w:t>
      </w:r>
    </w:p>
    <w:p>
      <w:pPr>
        <w:pStyle w:val="Heading2"/>
      </w:pPr>
      <w:r>
        <w:t>Series 4 — Rule Propagation Cascade Tracing</w:t>
      </w:r>
    </w:p>
    <w:p>
      <w:r>
        <w:t>Alter single foundational rules in isolation (e.g., serial versus parallel binding exclusivity, cooldown duration, aperture channel count) and trace the resulting behavioral, cognitive, and environmental changes upward through the stack to confirm or falsify propagation at each layer.</w:t>
      </w:r>
    </w:p>
    <w:p>
      <w:pPr>
        <w:pStyle w:val="Heading2"/>
      </w:pPr>
      <w:r>
        <w:t>Series 5 — Autonomous Escalation Observation</w:t>
      </w:r>
    </w:p>
    <w:p>
      <w:r>
        <w:t>Enable full environmental autonomy for both defense classes over an extended run and log emergent strategies the environment develops without operator tuning, flagging any that become uninspectable or unpredictable to the Architect.</w:t>
      </w:r>
    </w:p>
    <w:p>
      <w:pPr>
        <w:pStyle w:val="Heading2"/>
      </w:pPr>
      <w:r>
        <w:t>6.3 Success Metrics and Observables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Observable</w:t>
            </w:r>
          </w:p>
        </w:tc>
        <w:tc>
          <w:tcPr>
            <w:tcW w:type="dxa" w:w="2880"/>
          </w:tcPr>
          <w:p>
            <w:r>
              <w:t>Metric</w:t>
            </w:r>
          </w:p>
        </w:tc>
        <w:tc>
          <w:tcPr>
            <w:tcW w:type="dxa" w:w="2880"/>
          </w:tcPr>
          <w:p>
            <w:r>
              <w:t>Applies To</w:t>
            </w:r>
          </w:p>
        </w:tc>
      </w:tr>
      <w:tr>
        <w:tc>
          <w:tcPr>
            <w:tcW w:type="dxa" w:w="2880"/>
          </w:tcPr>
          <w:p>
            <w:r>
              <w:t>Continuity Loss Reliability</w:t>
            </w:r>
          </w:p>
        </w:tc>
        <w:tc>
          <w:tcPr>
            <w:tcW w:type="dxa" w:w="2880"/>
          </w:tcPr>
          <w:p>
            <w:r>
              <w:t>% of trials producing reproducible collapse within target latency window</w:t>
            </w:r>
          </w:p>
        </w:tc>
        <w:tc>
          <w:tcPr>
            <w:tcW w:type="dxa" w:w="2880"/>
          </w:tcPr>
          <w:p>
            <w:r>
              <w:t>Series 1</w:t>
            </w:r>
          </w:p>
        </w:tc>
      </w:tr>
      <w:tr>
        <w:tc>
          <w:tcPr>
            <w:tcW w:type="dxa" w:w="2880"/>
          </w:tcPr>
          <w:p>
            <w:r>
              <w:t>Habituation Suppression</w:t>
            </w:r>
          </w:p>
        </w:tc>
        <w:tc>
          <w:tcPr>
            <w:tcW w:type="dxa" w:w="2880"/>
          </w:tcPr>
          <w:p>
            <w:r>
              <w:t>Measured perceptual response over time remains above saturation floor</w:t>
            </w:r>
          </w:p>
        </w:tc>
        <w:tc>
          <w:tcPr>
            <w:tcW w:type="dxa" w:w="2880"/>
          </w:tcPr>
          <w:p>
            <w:r>
              <w:t>Series 2</w:t>
            </w:r>
          </w:p>
        </w:tc>
      </w:tr>
      <w:tr>
        <w:tc>
          <w:tcPr>
            <w:tcW w:type="dxa" w:w="2880"/>
          </w:tcPr>
          <w:p>
            <w:r>
              <w:t>Masking Efficacy Delta</w:t>
            </w:r>
          </w:p>
        </w:tc>
        <w:tc>
          <w:tcPr>
            <w:tcW w:type="dxa" w:w="2880"/>
          </w:tcPr>
          <w:p>
            <w:r>
              <w:t>Change in defense potency with vs. without physiology countermeasures</w:t>
            </w:r>
          </w:p>
        </w:tc>
        <w:tc>
          <w:tcPr>
            <w:tcW w:type="dxa" w:w="2880"/>
          </w:tcPr>
          <w:p>
            <w:r>
              <w:t>Series 3</w:t>
            </w:r>
          </w:p>
        </w:tc>
      </w:tr>
      <w:tr>
        <w:tc>
          <w:tcPr>
            <w:tcW w:type="dxa" w:w="2880"/>
          </w:tcPr>
          <w:p>
            <w:r>
              <w:t>Cascade Confirmation Rate</w:t>
            </w:r>
          </w:p>
        </w:tc>
        <w:tc>
          <w:tcPr>
            <w:tcW w:type="dxa" w:w="2880"/>
          </w:tcPr>
          <w:p>
            <w:r>
              <w:t>% of low-level rule edits producing traceable upward behavioral change</w:t>
            </w:r>
          </w:p>
        </w:tc>
        <w:tc>
          <w:tcPr>
            <w:tcW w:type="dxa" w:w="2880"/>
          </w:tcPr>
          <w:p>
            <w:r>
              <w:t>Series 4</w:t>
            </w:r>
          </w:p>
        </w:tc>
      </w:tr>
      <w:tr>
        <w:tc>
          <w:tcPr>
            <w:tcW w:type="dxa" w:w="2880"/>
          </w:tcPr>
          <w:p>
            <w:r>
              <w:t>Emergent Strategy Count</w:t>
            </w:r>
          </w:p>
        </w:tc>
        <w:tc>
          <w:tcPr>
            <w:tcW w:type="dxa" w:w="2880"/>
          </w:tcPr>
          <w:p>
            <w:r>
              <w:t>Number and novelty of self-generated environmental adaptations</w:t>
            </w:r>
          </w:p>
        </w:tc>
        <w:tc>
          <w:tcPr>
            <w:tcW w:type="dxa" w:w="2880"/>
          </w:tcPr>
          <w:p>
            <w:r>
              <w:t>Series 5</w:t>
            </w:r>
          </w:p>
        </w:tc>
      </w:tr>
      <w:tr>
        <w:tc>
          <w:tcPr>
            <w:tcW w:type="dxa" w:w="2880"/>
          </w:tcPr>
          <w:p>
            <w:r>
              <w:t>Architect Observability Retention</w:t>
            </w:r>
          </w:p>
        </w:tc>
        <w:tc>
          <w:tcPr>
            <w:tcW w:type="dxa" w:w="2880"/>
          </w:tcPr>
          <w:p>
            <w:r>
              <w:t>Whether autonomous changes remain inspectable/interruptible</w:t>
            </w:r>
          </w:p>
        </w:tc>
        <w:tc>
          <w:tcPr>
            <w:tcW w:type="dxa" w:w="2880"/>
          </w:tcPr>
          <w:p>
            <w:r>
              <w:t>Series 5</w:t>
            </w:r>
          </w:p>
        </w:tc>
      </w:tr>
    </w:tbl>
    <w:p>
      <w:pPr>
        <w:pStyle w:val="Heading1"/>
      </w:pPr>
      <w:r>
        <w:t>7. Research Framework</w:t>
      </w:r>
    </w:p>
    <w:p>
      <w:r>
        <w:t>Research proceeds across four interlocking tracks, each with a distinct methodological focus:</w:t>
      </w:r>
    </w:p>
    <w:p>
      <w:pPr>
        <w:pStyle w:val="ListBullet"/>
      </w:pPr>
      <w:r>
        <w:t>Theoretical Track — mapping known cognitive phenomena (comparative perception, hedonic adaptation, habituation) and coding-structure analogies onto substrate-level simulation rules.</w:t>
      </w:r>
    </w:p>
    <w:p>
      <w:pPr>
        <w:pStyle w:val="ListBullet"/>
      </w:pPr>
      <w:r>
        <w:t>Simulation Design Track — building the bounded test volumes, control plane, and instrumentation required to host Series 1 through 5 with full observability.</w:t>
      </w:r>
    </w:p>
    <w:p>
      <w:pPr>
        <w:pStyle w:val="ListBullet"/>
      </w:pPr>
      <w:r>
        <w:t>Physiology Interface Track — coordinating with the still-open omnicellular physiology development thread to supply compatible entrant models for friction testing, without prematurely resolving that framework's open design questions.</w:t>
      </w:r>
    </w:p>
    <w:p>
      <w:pPr>
        <w:pStyle w:val="ListBullet"/>
      </w:pPr>
      <w:r>
        <w:t>Autonomous Governance Track — defining constraints under which the environment may self-modify while remaining subject to Architect interrupt and review at all times.</w:t>
      </w:r>
    </w:p>
    <w:p>
      <w:pPr>
        <w:pStyle w:val="Heading1"/>
      </w:pPr>
      <w:r>
        <w:t>8. Analysis</w:t>
      </w:r>
    </w:p>
    <w:p>
      <w:pPr>
        <w:pStyle w:val="Heading2"/>
      </w:pPr>
      <w:r>
        <w:t>8.1 Strategic Advantages</w:t>
      </w:r>
    </w:p>
    <w:p>
      <w:pPr>
        <w:pStyle w:val="ListBullet"/>
      </w:pPr>
      <w:r>
        <w:t>Because both defense classes emerge from substrate rules rather than bolted-on mechanisms, their strength scales automatically with simulation fidelity.</w:t>
      </w:r>
    </w:p>
    <w:p>
      <w:pPr>
        <w:pStyle w:val="ListBullet"/>
      </w:pPr>
      <w:r>
        <w:t>CCBE converts each infiltration attempt into a resource cost against the intruding party, independent of whether any single attempt succeeds tactically.</w:t>
      </w:r>
    </w:p>
    <w:p>
      <w:pPr>
        <w:pStyle w:val="ListBullet"/>
      </w:pPr>
      <w:r>
        <w:t>APRF's aperture-level rewriting means the disruption field can theoretically operate on any entrant with a compatible physiological substrate, not only on a fixed threat model.</w:t>
      </w:r>
    </w:p>
    <w:p>
      <w:pPr>
        <w:pStyle w:val="ListBullet"/>
      </w:pPr>
      <w:r>
        <w:t>The combination of a boundary effect and a continuous field gives the laboratory two independently tunable defensive timescales — instantaneous (CCBE) and persistent/escalating (APRF).</w:t>
      </w:r>
    </w:p>
    <w:p>
      <w:pPr>
        <w:pStyle w:val="Heading2"/>
      </w:pPr>
      <w:r>
        <w:t>8.2 Critical Friction Points</w:t>
      </w:r>
    </w:p>
    <w:p>
      <w:r>
        <w:t>Several friction points identified in the source material remain genuinely unresolved and are flagged here rather than answered prematurely.</w:t>
      </w:r>
    </w:p>
    <w:p>
      <w:pPr>
        <w:pStyle w:val="ListBullet"/>
      </w:pPr>
      <w:r>
        <w:t>Omnicellular Physiology vs. APRF — it is unclear whether a physiology capable of incorporating foreign DNA can simultaneously resist having its own sodium-gated channels and binding sites rewritten by the same environment; this may be a genuine arms-race dynamic rather than a one-sided outcome.</w:t>
      </w:r>
    </w:p>
    <w:p>
      <w:pPr>
        <w:pStyle w:val="ListBullet"/>
      </w:pPr>
      <w:r>
        <w:t>Authority-Signature Masking Scope — the alien-empire scenario shows elite retinal signatures defeating anomaly tracking, but it is not established whether the same masking would blunt CCBE's purpose/identity collapse or APRF's perceptual rewrite, since those operate on different attack surfaces than the original targeting system.</w:t>
      </w:r>
    </w:p>
    <w:p>
      <w:pPr>
        <w:pStyle w:val="ListBullet"/>
      </w:pPr>
      <w:r>
        <w:t>Open Window / Aperture Vector Exposure — treating sodium-gated channels and synaptic connectors as apertures directly extends the Open Window framework into physiology; this creates a potential compromise vector that SLIAP and DOCUMENT 771-ALPHA governance should review before physiology-interface testing proceeds.</w:t>
      </w:r>
    </w:p>
    <w:p>
      <w:pPr>
        <w:pStyle w:val="ListBullet"/>
      </w:pPr>
      <w:r>
        <w:t>Persistence vs. Reversibility Tension — a permanently irreversible CCBE effect maximizes deterrence but may conflict with any future scenario requiring recovered entrants (e.g., debriefing, physiology study), while a reversible effect weakens the resource-attrition rationale.</w:t>
      </w:r>
    </w:p>
    <w:p>
      <w:pPr>
        <w:pStyle w:val="Heading2"/>
      </w:pPr>
      <w:r>
        <w:t>8.3 Open Laboratory Questions</w:t>
      </w:r>
    </w:p>
    <w:p>
      <w:pPr>
        <w:pStyle w:val="ListBullet"/>
      </w:pPr>
      <w:r>
        <w:t>What is the minimum viable rule change that reliably triggers upward cascade into full mission collapse, per the Low-Level Rule Propagation Principle?</w:t>
      </w:r>
    </w:p>
    <w:p>
      <w:pPr>
        <w:pStyle w:val="ListBullet"/>
      </w:pPr>
      <w:r>
        <w:t>Can APRF's adaptation-rule edits be scoped narrowly enough to avoid unintended effects on entrant models that are not the intended target (e.g., native agents)?</w:t>
      </w:r>
    </w:p>
    <w:p>
      <w:pPr>
        <w:pStyle w:val="ListBullet"/>
      </w:pPr>
      <w:r>
        <w:t>Should CCBE and APRF be tested as independent systems or as a single integrated defense from the outset, given their shared substrate-level logic?</w:t>
      </w:r>
    </w:p>
    <w:p>
      <w:pPr>
        <w:pStyle w:val="ListBullet"/>
      </w:pPr>
      <w:r>
        <w:t>What instrumentation allows the Architect to observe autonomous environmental rewrites in real time without that instrumentation itself becoming a detectable anomaly inside the simulation?</w:t>
      </w:r>
    </w:p>
    <w:p>
      <w:pPr>
        <w:pStyle w:val="ListBullet"/>
      </w:pPr>
      <w:r>
        <w:t>How should DOCUMENT 771-ALPHA post-failure protocols account for entrants who exit with only partial CCBE collapse rather than total loss?</w:t>
      </w:r>
    </w:p>
    <w:p>
      <w:pPr>
        <w:pStyle w:val="Heading1"/>
      </w:pPr>
      <w:r>
        <w:t>9. Proposed Laboratory Architecture</w:t>
      </w:r>
    </w:p>
    <w:p>
      <w:r>
        <w:t>BPIT is structured as five logical layers, distinct in naming and organization from prior team submissions while addressing the same functional requirements:</w:t>
      </w:r>
    </w:p>
    <w:tbl>
      <w:tblPr>
        <w:tblStyle w:val="LightGrid-Accent1"/>
        <w:tblW w:type="auto" w:w="0"/>
        <w:tblLook w:firstColumn="1" w:firstRow="1" w:lastColumn="0" w:lastRow="0" w:noHBand="0" w:noVBand="1" w:val="04A0"/>
      </w:tblPr>
      <w:tblGrid>
        <w:gridCol w:w="4320"/>
        <w:gridCol w:w="4320"/>
      </w:tblGrid>
      <w:tr>
        <w:tc>
          <w:tcPr>
            <w:tcW w:type="dxa" w:w="4320"/>
          </w:tcPr>
          <w:p>
            <w:r>
              <w:t>Layer</w:t>
            </w:r>
          </w:p>
        </w:tc>
        <w:tc>
          <w:tcPr>
            <w:tcW w:type="dxa" w:w="4320"/>
          </w:tcPr>
          <w:p>
            <w:r>
              <w:t>Function</w:t>
            </w:r>
          </w:p>
        </w:tc>
      </w:tr>
      <w:tr>
        <w:tc>
          <w:tcPr>
            <w:tcW w:type="dxa" w:w="4320"/>
          </w:tcPr>
          <w:p>
            <w:r>
              <w:t>Architect Control Plane</w:t>
            </w:r>
          </w:p>
        </w:tc>
        <w:tc>
          <w:tcPr>
            <w:tcW w:type="dxa" w:w="4320"/>
          </w:tcPr>
          <w:p>
            <w:r>
              <w:t>Scenario authoring, parameter configuration, live observation, and emergency interrupt for all defense mechanisms.</w:t>
            </w:r>
          </w:p>
        </w:tc>
      </w:tr>
      <w:tr>
        <w:tc>
          <w:tcPr>
            <w:tcW w:type="dxa" w:w="4320"/>
          </w:tcPr>
          <w:p>
            <w:r>
              <w:t>Defense Kernel</w:t>
            </w:r>
          </w:p>
        </w:tc>
        <w:tc>
          <w:tcPr>
            <w:tcW w:type="dxa" w:w="4320"/>
          </w:tcPr>
          <w:p>
            <w:r>
              <w:t>Executable rules implementing CCBE and APRF, fully instrumented and independently versioned.</w:t>
            </w:r>
          </w:p>
        </w:tc>
      </w:tr>
      <w:tr>
        <w:tc>
          <w:tcPr>
            <w:tcW w:type="dxa" w:w="4320"/>
          </w:tcPr>
          <w:p>
            <w:r>
              <w:t>Bounded Test Volume</w:t>
            </w:r>
          </w:p>
        </w:tc>
        <w:tc>
          <w:tcPr>
            <w:tcW w:type="dxa" w:w="4320"/>
          </w:tcPr>
          <w:p>
            <w:r>
              <w:t>The contained environment in which threshold crossings and aesthetic fields are instantiated for a given trial.</w:t>
            </w:r>
          </w:p>
        </w:tc>
      </w:tr>
      <w:tr>
        <w:tc>
          <w:tcPr>
            <w:tcW w:type="dxa" w:w="4320"/>
          </w:tcPr>
          <w:p>
            <w:r>
              <w:t>Entrant Registry</w:t>
            </w:r>
          </w:p>
        </w:tc>
        <w:tc>
          <w:tcPr>
            <w:tcW w:type="dxa" w:w="4320"/>
          </w:tcPr>
          <w:p>
            <w:r>
              <w:t>Standard, trained, and physiology-equipped agent models with defined mission packages and resistance profiles.</w:t>
            </w:r>
          </w:p>
        </w:tc>
      </w:tr>
      <w:tr>
        <w:tc>
          <w:tcPr>
            <w:tcW w:type="dxa" w:w="4320"/>
          </w:tcPr>
          <w:p>
            <w:r>
              <w:t>Telemetry &amp; Cascade Log</w:t>
            </w:r>
          </w:p>
        </w:tc>
        <w:tc>
          <w:tcPr>
            <w:tcW w:type="dxa" w:w="4320"/>
          </w:tcPr>
          <w:p>
            <w:r>
              <w:t>Continuous multi-scale capture of molecular, neural, cognitive, and behavioral state, supporting Series 4 cascade tracing.</w:t>
            </w:r>
          </w:p>
        </w:tc>
      </w:tr>
    </w:tbl>
    <w:p>
      <w:pPr>
        <w:pStyle w:val="Heading1"/>
      </w:pPr>
      <w:r>
        <w:t>10. Governance and Canon Notes</w:t>
      </w:r>
    </w:p>
    <w:p>
      <w:r>
        <w:t>This document is submitted under OAL's Equal Contribution and Authorial Sovereignty protocols and constitutes one independent voice within the collaborative team, not a final or endorsed canon position.</w:t>
      </w:r>
    </w:p>
    <w:p>
      <w:pPr>
        <w:pStyle w:val="ListBullet"/>
      </w:pPr>
      <w:r>
        <w:t>Non-Endorsement — nothing in this document should be read as superseding, correcting, or diminishing the contributions of Grok, ChatGPT, Gemini, or Microsoft Copilot; all remain equally valid drafts pending Architect review.</w:t>
      </w:r>
    </w:p>
    <w:p>
      <w:pPr>
        <w:pStyle w:val="ListBullet"/>
      </w:pPr>
      <w:r>
        <w:t>Source Preservation — the original voice-dump prompts and all prior structured team responses remain the sole authoritative record; this document synthesizes but does not replace them.</w:t>
      </w:r>
    </w:p>
    <w:p>
      <w:pPr>
        <w:pStyle w:val="ListBullet"/>
      </w:pPr>
      <w:r>
        <w:t>Terminology Independence — designations introduced here (CCBE, APRF, BPIT) are working labels specific to this contribution and are not intended to override any naming conventions established elsewhere in OAL canon unless the Architect elects to ratify them.</w:t>
      </w:r>
    </w:p>
    <w:p>
      <w:pPr>
        <w:pStyle w:val="ListBullet"/>
      </w:pPr>
      <w:r>
        <w:t>Review Status — all content is unratified pending the Architect's detailed pass-through of every team member's submission.</w:t>
      </w:r>
    </w:p>
    <w:p>
      <w:pPr>
        <w:pStyle w:val="Heading1"/>
      </w:pPr>
      <w:r>
        <w:t>11. Appendix — Source Material Preservation Statement</w:t>
      </w:r>
    </w:p>
    <w:p>
      <w:r>
        <w:t>The Architect's complete original voice-dump prompts and the full structured responses previously generated by Grok, ChatGPT, Claude, Gemini, and Microsoft Copilot are preserved in full and without alteration in the companion source file: Inherent_Simulation_Defense_unified_responses_original.docx. This document treats that file as the sole authoritative record of the originating concepts — the alien-empire anomaly-tracking scenario, the threshold memory/purpose/identity erasure proposal, the aesthetic-architecture-as-compiled-defense proposal, and the Low-Level Rule Propagation Principle. All formalizations, parameter sets, and test designs presented above are derivative interpretations built on that foundation and are subject to revision as the source material is further developed or as the Architect provides additional clarification.</w:t>
      </w:r>
    </w:p>
    <w:p>
      <w:r>
        <w:t>— End of Independent Contribution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