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555555"/>
          <w:sz w:val="22"/>
          <w:szCs w:val="22"/>
        </w:rPr>
        <w:t xml:space="preserve">OMNIVERSAL ARCHITECT LABS</w:t>
      </w:r>
    </w:p>
    <w:p>
      <w:pPr>
        <w:spacing w:after="100"/>
      </w:pPr>
      <w:r>
        <w:rPr>
          <w:b/>
          <w:bCs/>
          <w:sz w:val="44"/>
          <w:szCs w:val="44"/>
        </w:rPr>
        <w:t xml:space="preserve">Simulation Architectural Defenses Laboratory (SADL)</w:t>
      </w:r>
    </w:p>
    <w:p>
      <w:pPr>
        <w:spacing w:after="60"/>
      </w:pPr>
      <w:r>
        <w:rPr>
          <w:color w:val="444444"/>
          <w:sz w:val="26"/>
          <w:szCs w:val="26"/>
        </w:rPr>
        <w:t xml:space="preserve">Framework, Testing Protocol &amp; Research Design</w:t>
      </w:r>
    </w:p>
    <w:p>
      <w:pPr>
        <w:spacing w:after="300"/>
      </w:pPr>
      <w:r>
        <w:rPr>
          <w:i/>
          <w:iCs/>
          <w:color w:val="666666"/>
          <w:sz w:val="22"/>
          <w:szCs w:val="22"/>
        </w:rPr>
        <w:t xml:space="preserve">Inherent Simulation Defenses — Continuity Collapse &amp; Perceptual Drift Architecture</w:t>
      </w:r>
    </w:p>
    <w:p>
      <w:pPr>
        <w:pBdr>
          <w:bottom w:val="single" w:color="999999" w:sz="6" w:space="1"/>
        </w:pBdr>
        <w:spacing w:after="200"/>
      </w:pPr>
    </w:p>
    <w:p>
      <w:pPr>
        <w:spacing w:after="160"/>
      </w:pPr>
      <w:r>
        <w:rPr>
          <w:b/>
          <w:bCs/>
        </w:rPr>
        <w:t xml:space="preserve">Document Version: </w:t>
      </w:r>
      <w:r>
        <w:t xml:space="preserve">1.0 | 16 August 2026 | Claude (AI Collaborative Team)</w:t>
      </w:r>
    </w:p>
    <w:p>
      <w:pPr>
        <w:spacing w:after="160"/>
      </w:pPr>
      <w:r>
        <w:rPr>
          <w:b/>
          <w:bCs/>
        </w:rPr>
        <w:t xml:space="preserve">Classification: </w:t>
      </w:r>
      <w:r>
        <w:t xml:space="preserve">OAL Development Canon — Working Document (Unratified)</w:t>
      </w:r>
    </w:p>
    <w:p>
      <w:pPr>
        <w:spacing w:after="160"/>
      </w:pPr>
      <w:r>
        <w:rPr>
          <w:b/>
          <w:bCs/>
        </w:rPr>
        <w:t xml:space="preserve">Primary Architect: </w:t>
      </w:r>
      <w:r>
        <w:t xml:space="preserve">Nathan Lewis II — Omniversal Architect Labs</w:t>
      </w:r>
    </w:p>
    <w:p>
      <w:pPr>
        <w:spacing w:after="160"/>
      </w:pPr>
      <w:r>
        <w:rPr>
          <w:b/>
          <w:bCs/>
        </w:rPr>
        <w:t xml:space="preserve">Contributing AI: </w:t>
      </w:r>
      <w:r>
        <w:t xml:space="preserve">Claude (Anthropic) — Equal Contribution Protocol Active, Independent Generation</w:t>
      </w:r>
    </w:p>
    <w:p>
      <w:pPr>
        <w:spacing w:after="160"/>
      </w:pPr>
      <w:r>
        <w:rPr>
          <w:b/>
          <w:bCs/>
        </w:rPr>
        <w:t xml:space="preserve">Source Material: </w:t>
      </w:r>
      <w:r>
        <w:t xml:space="preserve">Inherent_Simulation_Defense_unified_responses_original.docx (original voice-dump prompts + multi-AI structured responses)</w:t>
      </w:r>
    </w:p>
    <w:p>
      <w:pPr>
        <w:spacing w:after="160"/>
      </w:pPr>
      <w:r>
        <w:rPr>
          <w:b/>
          <w:bCs/>
        </w:rPr>
        <w:t xml:space="preserve">Related Threads: </w:t>
      </w:r>
      <w:r>
        <w:t xml:space="preserve">Omnicellular Physiology • Open Window Doctrine / Aperture Protocol • DOCUMENT 771-ALPHA • SLIAP • Labyrinth of Infinite Ensnarement</w:t>
      </w:r>
    </w:p>
    <w:p>
      <w:pPr>
        <w:pBdr>
          <w:bottom w:val="single" w:color="999999" w:sz="6" w:space="1"/>
        </w:pBdr>
        <w:spacing w:after="200"/>
      </w:pPr>
    </w:p>
    <w:p>
      <w:pPr>
        <w:pStyle w:val="Heading1"/>
        <w:spacing w:after="200" w:before="400"/>
      </w:pPr>
      <w:r>
        <w:t xml:space="preserve">1. Executive Summary</w:t>
      </w:r>
    </w:p>
    <w:p>
      <w:pPr>
        <w:spacing w:after="160"/>
      </w:pPr>
      <w:r>
        <w:t xml:space="preserve">This document is Claude's independent contribution to the Simulation Architectural Defenses Laboratory (SADL) assignment. It proposes a laboratory charter for studying inherent, substrate-level defenses that an architect can embed into a simulation or virtual environment — defenses that operate by degrading an intruder's continuity of purpose and identity, and by preventing an intruder's perceptual system from stabilizing around the environment's aesthetic properties.</w:t>
      </w:r>
    </w:p>
    <w:p>
      <w:pPr>
        <w:spacing w:after="160"/>
      </w:pPr>
      <w:r>
        <w:t xml:space="preserve">Two mechanisms anchor the research program:</w:t>
      </w:r>
    </w:p>
    <w:p>
      <w:pPr>
        <w:pStyle w:val="ListParagraph"/>
        <w:numPr>
          <w:ilvl w:val="0"/>
          <w:numId w:val="2"/>
        </w:numPr>
        <w:spacing w:after="100"/>
      </w:pPr>
      <w:r>
        <w:t xml:space="preserve">Continuity Collapse Threshold (CCT) — a boundary effect that fractures an entrant's mission memory, operational purpose, and self-referential identity at the moment of unauthorized crossing, with effects that may outlast the crossing itself.</w:t>
      </w:r>
    </w:p>
    <w:p>
      <w:pPr>
        <w:pStyle w:val="ListParagraph"/>
        <w:numPr>
          <w:ilvl w:val="0"/>
          <w:numId w:val="2"/>
        </w:numPr>
        <w:spacing w:after="100"/>
      </w:pPr>
      <w:r>
        <w:t xml:space="preserve">Perceptual Drift Architecture (PDA) — a standing environmental process that keeps an entrant's aesthetic and sensory processing in continuous flux, so that comfort, familiarity, or habituation with the environment never has the chance to form.</w:t>
      </w:r>
    </w:p>
    <w:p>
      <w:pPr>
        <w:spacing w:after="160"/>
      </w:pPr>
      <w:r>
        <w:t xml:space="preserve">Both mechanisms are framed as properties that emerge from how the simulation's underlying rules are written, not as add-on security layers. This mirrors a principle already familiar from software craft: the discipline imposed on how code is structured determines what a program can become. SADL treats that discipline as portable to environmental and cognitive substrates. The laboratory's job is to make these emergent properties observable, controllable, and falsifiable.</w:t>
      </w:r>
    </w:p>
    <w:p>
      <w:pPr>
        <w:spacing w:after="160"/>
      </w:pPr>
      <w:r>
        <w:t xml:space="preserve">This document is independently authored. It references the shared source material and the Architect's original scenarios but does not adopt or mirror the structure, terminology, or working designations used by any other AI contributor. It remains an unratified working draft, subject to the Architect's sole ratification authority and to formal dissent from any collaborator per OAL-AIDR-v1.0 and OAL-CSAD-v1.0.</w:t>
      </w:r>
    </w:p>
    <w:p>
      <w:pPr>
        <w:pStyle w:val="Heading1"/>
        <w:spacing w:after="200" w:before="400"/>
      </w:pPr>
      <w:r>
        <w:t xml:space="preserve">2. Purpose of the Laboratory</w:t>
      </w:r>
    </w:p>
    <w:p>
      <w:pPr>
        <w:spacing w:after="160"/>
      </w:pPr>
      <w:r>
        <w:t xml:space="preserve">SADL exists to investigate one governing question:</w:t>
      </w:r>
    </w:p>
    <w:p>
      <w:pPr>
        <w:spacing w:after="200"/>
        <w:ind w:left="400"/>
      </w:pPr>
      <w:r>
        <w:rPr>
          <w:i/>
          <w:iCs/>
        </w:rPr>
        <w:t xml:space="preserve">If an environment can be authored at all, can it be authored to defend itself by unmaking the intruder's relationship to their own mission and senses — rather than by detecting, walling off, or destroying the intruder?</w:t>
      </w:r>
    </w:p>
    <w:p>
      <w:pPr>
        <w:spacing w:after="160"/>
      </w:pPr>
      <w:r>
        <w:t xml:space="preserve">This reframes "defense" away from access control and toward what might be called continuity denial: the target of the defense is not the intruder's body or their equipment, but their ability to remain a coherent agent with a reason for being there. A secondary purpose is to give two currently-parked OAL threads — omnicellular physiology resistance and the Open Window / Aperture vector work — a shared, controlled arena in which to be stress-tested against each other rather than developed in isolation.</w:t>
      </w:r>
    </w:p>
    <w:p>
      <w:pPr>
        <w:spacing w:after="160"/>
      </w:pPr>
      <w:r>
        <w:t xml:space="preserve">SADL is explicitly a laboratory, not a canon proposal. Its outputs are hypotheses, test designs, and observed results — material that becomes eligible for canon only after the Architect reviews and ratifies it.</w:t>
      </w:r>
    </w:p>
    <w:p>
      <w:pPr>
        <w:pStyle w:val="Heading1"/>
        <w:spacing w:after="200" w:before="400"/>
      </w:pPr>
      <w:r>
        <w:t xml:space="preserve">3. Goals and Objectives</w:t>
      </w:r>
    </w:p>
    <w:p>
      <w:pPr>
        <w:pStyle w:val="Heading2"/>
        <w:spacing w:after="150" w:before="300"/>
      </w:pPr>
      <w:r>
        <w:t xml:space="preserve">3.1 Primary Goal</w:t>
      </w:r>
    </w:p>
    <w:p>
      <w:pPr>
        <w:spacing w:after="160"/>
      </w:pPr>
      <w:r>
        <w:t xml:space="preserve">Build a controllable, instrumented laboratory environment in which Continuity Collapse Threshold and Perceptual Drift Architecture can each be triggered, tuned, measured, and pitted against countermeasures — including omnicellular physiology — under repeatable conditions.</w:t>
      </w:r>
    </w:p>
    <w:p>
      <w:pPr>
        <w:pStyle w:val="Heading2"/>
        <w:spacing w:after="150" w:before="300"/>
      </w:pPr>
      <w:r>
        <w:t xml:space="preserve">3.2 Specific Objectives</w:t>
      </w:r>
    </w:p>
    <w:p>
      <w:pPr>
        <w:pStyle w:val="ListParagraph"/>
        <w:numPr>
          <w:ilvl w:val="0"/>
          <w:numId w:val="3"/>
        </w:numPr>
        <w:spacing w:after="100"/>
      </w:pPr>
      <w:r>
        <w:t xml:space="preserve">Define CCT as a parameterized function rather than a binary trap: specify what triggers it, what it removes, in what order, and for how long.</w:t>
      </w:r>
    </w:p>
    <w:p>
      <w:pPr>
        <w:pStyle w:val="ListParagraph"/>
        <w:numPr>
          <w:ilvl w:val="0"/>
          <w:numId w:val="3"/>
        </w:numPr>
        <w:spacing w:after="100"/>
      </w:pPr>
      <w:r>
        <w:t xml:space="preserve">Define PDA as a continuously running process with tunable variance, rather than a fixed "beautiful room": specify what it modifies in the entrant, on what timescale, and how it decides when to modify further.</w:t>
      </w:r>
    </w:p>
    <w:p>
      <w:pPr>
        <w:pStyle w:val="ListParagraph"/>
        <w:numPr>
          <w:ilvl w:val="0"/>
          <w:numId w:val="3"/>
        </w:numPr>
        <w:spacing w:after="100"/>
      </w:pPr>
      <w:r>
        <w:t xml:space="preserve">Establish a shared measurement vocabulary — mission coherence, identity coherence, perceptual novelty, habituation index — so results from different test series can be compared.</w:t>
      </w:r>
    </w:p>
    <w:p>
      <w:pPr>
        <w:pStyle w:val="ListParagraph"/>
        <w:numPr>
          <w:ilvl w:val="0"/>
          <w:numId w:val="3"/>
        </w:numPr>
        <w:spacing w:after="100"/>
      </w:pPr>
      <w:r>
        <w:t xml:space="preserve">Identify and log every point of friction between these defenses and omnicellular physiology, without resolving the friction prematurely; friction points are data, not bugs.</w:t>
      </w:r>
    </w:p>
    <w:p>
      <w:pPr>
        <w:pStyle w:val="ListParagraph"/>
        <w:numPr>
          <w:ilvl w:val="0"/>
          <w:numId w:val="3"/>
        </w:numPr>
        <w:spacing w:after="100"/>
      </w:pPr>
      <w:r>
        <w:t xml:space="preserve">Produce a reusable scenario library that other OAL simulations can invoke without re-deriving the underlying rules each time.</w:t>
      </w:r>
    </w:p>
    <w:p>
      <w:pPr>
        <w:pStyle w:val="Heading1"/>
        <w:spacing w:after="200" w:before="400"/>
      </w:pPr>
      <w:r>
        <w:t xml:space="preserve">4. Background and Concept Synthesis</w:t>
      </w:r>
    </w:p>
    <w:p>
      <w:pPr>
        <w:spacing w:after="160"/>
      </w:pPr>
      <w:r>
        <w:t xml:space="preserve">The concepts under test originate from two of the Architect's voice-dump sessions, later structured by the collaborative AI team. This section restates the originating material in Claude's own words, for traceability, without treating any prior AI's structuring as authoritative.</w:t>
      </w:r>
    </w:p>
    <w:p>
      <w:pPr>
        <w:pStyle w:val="Heading2"/>
        <w:spacing w:after="150" w:before="300"/>
      </w:pPr>
      <w:r>
        <w:t xml:space="preserve">4.1 The Boundary-Crossing Scenario and Anomaly Tracking</w:t>
      </w:r>
    </w:p>
    <w:p>
      <w:pPr>
        <w:spacing w:after="160"/>
      </w:pPr>
      <w:r>
        <w:t xml:space="preserve">An earlier physiology scenario established a distinct set of layers that a boundary-defense system can operate on independently of each other: authentication (do your credentials match a known pattern), anomaly detection (does the system notice something occurred that shouldn't have), and behavioral tracking (does the system keep following you even after the initial alarm is resolved). In that scenario, incorporating a local inhabitant's DNA defeated the active targeting layer, but a separate tracking layer persisted until a higher-authority signature — an elite retinal scan — was acquired. SADL treats this layering as a design pattern worth generalizing: a defense can be composed of several independently defeatable sub-systems rather than a single gate.</w:t>
      </w:r>
    </w:p>
    <w:p>
      <w:pPr>
        <w:pStyle w:val="Heading2"/>
        <w:spacing w:after="150" w:before="300"/>
      </w:pPr>
      <w:r>
        <w:t xml:space="preserve">4.2 Continuity Collapse as a Non-Kinetic Weapon</w:t>
      </w:r>
    </w:p>
    <w:p>
      <w:pPr>
        <w:spacing w:after="160"/>
      </w:pPr>
      <w:r>
        <w:t xml:space="preserve">The Architect's threshold-erasure concept proposes that crossing an unauthorized boundary can strip an intruder of the memory of their mission, their sense of purpose, and potentially deeper layers of self-knowledge — and that this effect need not resolve when the intruder leaves. The Architect drew a direct parallel to the boundary in the film Annihilation, where entrants lose the memory of mundane actions (such as making camp) almost immediately, their equipment stops behaving predictably, and no prior entrant has returned to brief the next one. The strategic value the Architect identified is attritional: an opposing force that keeps sending agents across such a boundary is spending resources and training against a defense that never needs to detect them correctly, only to let them cross.</w:t>
      </w:r>
    </w:p>
    <w:p>
      <w:pPr>
        <w:pStyle w:val="Heading2"/>
        <w:spacing w:after="150" w:before="300"/>
      </w:pPr>
      <w:r>
        <w:t xml:space="preserve">4.3 Aesthetics as Compiled Behavior, Not Decoration</w:t>
      </w:r>
    </w:p>
    <w:p>
      <w:pPr>
        <w:spacing w:after="160"/>
      </w:pPr>
      <w:r>
        <w:t xml:space="preserve">The second session drew an analogy between the discipline imposed on programmers — write clean, readable, well-structured code because structure determines what the program becomes — and the discipline an architect could impose on an environment's aesthetic rules. The Architect's Hunger Games reference illustrates the danger of static beauty: entrants fixate on the environment's visual appeal and are caught off guard by threats hidden in plain sight. The Architect then raised, via an exchange with Grok, a psychological point about differentiation: a mind that is saturated with uniform beauty stops being able to appreciate it, which would blunt beauty's usefulness as a psychological tool over time. The proposed fix is that the environment must keep rewriting the entrant's own perceptual and neural machinery — down to the level of channel and binding behavior referenced in the omnicellular physiology work — so that saturation never has time to set in.</w:t>
      </w:r>
    </w:p>
    <w:p>
      <w:pPr>
        <w:pStyle w:val="Heading2"/>
        <w:spacing w:after="150" w:before="300"/>
      </w:pPr>
      <w:r>
        <w:t xml:space="preserve">4.4 Low-Level Rules Cascading Upward</w:t>
      </w:r>
    </w:p>
    <w:p>
      <w:pPr>
        <w:spacing w:after="160"/>
      </w:pPr>
      <w:r>
        <w:t xml:space="preserve">Both sessions converge on a single design principle: changes made at the lowest level of a system's rules — how code is structured, how a channel opens or a binding site accepts one occupant at a time — are not confined to that level. They propagate upward into cognition, behavior, and ultimately into what the environment as a whole is capable of doing. SADL adopts this as its central working hypothesis and names it explicitly below.</w:t>
      </w:r>
    </w:p>
    <w:p>
      <w:pPr>
        <w:pStyle w:val="Heading1"/>
        <w:spacing w:after="200" w:before="400"/>
      </w:pPr>
      <w:r>
        <w:t xml:space="preserve">5. Core Defense Mechanisms Under Laboratory Test</w:t>
      </w:r>
    </w:p>
    <w:p>
      <w:pPr>
        <w:pStyle w:val="Heading2"/>
        <w:spacing w:after="150" w:before="300"/>
      </w:pPr>
      <w:r>
        <w:t xml:space="preserve">5.1 Continuity Collapse Threshold (CCT)</w:t>
      </w:r>
    </w:p>
    <w:p>
      <w:pPr>
        <w:spacing w:after="160"/>
      </w:pPr>
      <w:r>
        <w:rPr>
          <w:b/>
          <w:bCs/>
        </w:rPr>
        <w:t xml:space="preserve">Working designation: </w:t>
      </w:r>
      <w:r>
        <w:t xml:space="preserve">CCT-01</w:t>
      </w:r>
    </w:p>
    <w:p>
      <w:pPr>
        <w:spacing w:after="160"/>
      </w:pPr>
      <w:r>
        <w:rPr>
          <w:b/>
          <w:bCs/>
        </w:rPr>
        <w:t xml:space="preserve">Primary effect: </w:t>
      </w:r>
      <w:r>
        <w:t xml:space="preserve">Fracture of mission memory, operational purpose, and (optionally, at higher intensity settings) self-referential identity, triggered at the moment of unauthorized threshold crossing.</w:t>
      </w:r>
    </w:p>
    <w:p>
      <w:pPr>
        <w:spacing w:after="160"/>
      </w:pPr>
      <w:r>
        <w:t xml:space="preserve">CCT is proposed as a layered function rather than a single switch, so the laboratory can isolate which layer is doing the work in any given test:</w:t>
      </w:r>
    </w:p>
    <w:p>
      <w:pPr>
        <w:pStyle w:val="ListParagraph"/>
        <w:numPr>
          <w:ilvl w:val="0"/>
          <w:numId w:val="2"/>
        </w:numPr>
        <w:spacing w:after="100"/>
      </w:pPr>
      <w:r>
        <w:t xml:space="preserve">Layer 1 — Mission Memory: loss of the specific task, target, or objective the entrant was carrying.</w:t>
      </w:r>
    </w:p>
    <w:p>
      <w:pPr>
        <w:pStyle w:val="ListParagraph"/>
        <w:numPr>
          <w:ilvl w:val="0"/>
          <w:numId w:val="2"/>
        </w:numPr>
        <w:spacing w:after="100"/>
      </w:pPr>
      <w:r>
        <w:t xml:space="preserve">Layer 2 — Procedural Continuity: loss of trained responses and rehearsed plans, forcing improvisation.</w:t>
      </w:r>
    </w:p>
    <w:p>
      <w:pPr>
        <w:pStyle w:val="ListParagraph"/>
        <w:numPr>
          <w:ilvl w:val="0"/>
          <w:numId w:val="2"/>
        </w:numPr>
        <w:spacing w:after="100"/>
      </w:pPr>
      <w:r>
        <w:t xml:space="preserve">Layer 3 — Purpose Coherence: loss of the entrant's felt reason for persisting at all, distinct from simply forgetting the task.</w:t>
      </w:r>
    </w:p>
    <w:p>
      <w:pPr>
        <w:pStyle w:val="ListParagraph"/>
        <w:numPr>
          <w:ilvl w:val="0"/>
          <w:numId w:val="2"/>
        </w:numPr>
        <w:spacing w:after="100"/>
      </w:pPr>
      <w:r>
        <w:t xml:space="preserve">Layer 4 — Identity Anchoring (optional, high-intensity): erosion of self-referential continuity — who the entrant takes themselves to be.</w:t>
      </w:r>
    </w:p>
    <w:p>
      <w:pPr>
        <w:spacing w:after="160"/>
      </w:pPr>
      <w:r>
        <w:t xml:space="preserve">Key variables for laboratory control:</w:t>
      </w:r>
    </w:p>
    <w:p>
      <w:pPr>
        <w:pStyle w:val="ListParagraph"/>
        <w:numPr>
          <w:ilvl w:val="0"/>
          <w:numId w:val="2"/>
        </w:numPr>
        <w:spacing w:after="100"/>
      </w:pPr>
      <w:r>
        <w:t xml:space="preserve">Onset latency — immediate on crossing vs. delayed/graduated.</w:t>
      </w:r>
    </w:p>
    <w:p>
      <w:pPr>
        <w:pStyle w:val="ListParagraph"/>
        <w:numPr>
          <w:ilvl w:val="0"/>
          <w:numId w:val="2"/>
        </w:numPr>
        <w:spacing w:after="100"/>
      </w:pPr>
      <w:r>
        <w:t xml:space="preserve">Layer selectivity — which of the four layers above are engaged for a given test.</w:t>
      </w:r>
    </w:p>
    <w:p>
      <w:pPr>
        <w:pStyle w:val="ListParagraph"/>
        <w:numPr>
          <w:ilvl w:val="0"/>
          <w:numId w:val="2"/>
        </w:numPr>
        <w:spacing w:after="100"/>
      </w:pPr>
      <w:r>
        <w:t xml:space="preserve">Post-exit persistence — whether effects decay, plateau, or compound after the entrant leaves the volume.</w:t>
      </w:r>
    </w:p>
    <w:p>
      <w:pPr>
        <w:pStyle w:val="ListParagraph"/>
        <w:numPr>
          <w:ilvl w:val="0"/>
          <w:numId w:val="2"/>
        </w:numPr>
        <w:spacing w:after="100"/>
      </w:pPr>
      <w:r>
        <w:t xml:space="preserve">Resistance interaction — how trained preparation, external anchors (allies, recording devices, pre-arranged signals), or omnicellular physiology modulate the above.</w:t>
      </w:r>
    </w:p>
    <w:p>
      <w:pPr>
        <w:pStyle w:val="ListParagraph"/>
        <w:numPr>
          <w:ilvl w:val="0"/>
          <w:numId w:val="2"/>
        </w:numPr>
        <w:spacing w:after="100"/>
      </w:pPr>
      <w:r>
        <w:t xml:space="preserve">Reversibility conditions — what, if anything, restores a collapsed layer, and at what cost.</w:t>
      </w:r>
    </w:p>
    <w:p>
      <w:pPr>
        <w:pStyle w:val="Heading2"/>
        <w:spacing w:after="150" w:before="300"/>
      </w:pPr>
      <w:r>
        <w:t xml:space="preserve">5.2 Perceptual Drift Architecture (PDA)</w:t>
      </w:r>
    </w:p>
    <w:p>
      <w:pPr>
        <w:spacing w:after="160"/>
      </w:pPr>
      <w:r>
        <w:rPr>
          <w:b/>
          <w:bCs/>
        </w:rPr>
        <w:t xml:space="preserve">Working designation: </w:t>
      </w:r>
      <w:r>
        <w:t xml:space="preserve">PDA-01</w:t>
      </w:r>
    </w:p>
    <w:p>
      <w:pPr>
        <w:spacing w:after="160"/>
      </w:pPr>
      <w:r>
        <w:rPr>
          <w:b/>
          <w:bCs/>
        </w:rPr>
        <w:t xml:space="preserve">Primary effect: </w:t>
      </w:r>
      <w:r>
        <w:t xml:space="preserve">Continuous, environment-driven modification of an entrant's perceptual and neural processing so that aesthetic stimulus cannot stabilize into a stable, habituated baseline.</w:t>
      </w:r>
    </w:p>
    <w:p>
      <w:pPr>
        <w:spacing w:after="160"/>
      </w:pPr>
      <w:r>
        <w:t xml:space="preserve">Where CCT targets purpose and memory, PDA targets the entrant's relationship to their own senses. The environment does not remain static and beautiful; it treats its own aesthetic output as one half of a feedback loop whose other half is the entrant's changing perceptual apparatus. Three experimental axes define PDA:</w:t>
      </w:r>
    </w:p>
    <w:p>
      <w:pPr>
        <w:pStyle w:val="ListParagraph"/>
        <w:numPr>
          <w:ilvl w:val="0"/>
          <w:numId w:val="2"/>
        </w:numPr>
        <w:spacing w:after="100"/>
      </w:pPr>
      <w:r>
        <w:t xml:space="preserve">Axis A — Stimulus Modulation: the environment varies its own aesthetic output (composition, salience, novelty) on a schedule or in response to entrant behavior.</w:t>
      </w:r>
    </w:p>
    <w:p>
      <w:pPr>
        <w:pStyle w:val="ListParagraph"/>
        <w:numPr>
          <w:ilvl w:val="0"/>
          <w:numId w:val="2"/>
        </w:numPr>
        <w:spacing w:after="100"/>
      </w:pPr>
      <w:r>
        <w:t xml:space="preserve">Axis B — Receptor Modulation: the environment alters properties of the entrant's own perceptual channels — treated, per the omnicellular physiology framework, as gated apertures capable of being reweighted or rebound.</w:t>
      </w:r>
    </w:p>
    <w:p>
      <w:pPr>
        <w:pStyle w:val="ListParagraph"/>
        <w:numPr>
          <w:ilvl w:val="0"/>
          <w:numId w:val="2"/>
        </w:numPr>
        <w:spacing w:after="100"/>
      </w:pPr>
      <w:r>
        <w:t xml:space="preserve">Axis C — Adaptation-Rule Modulation: the environment edits the underlying rule that produces habituation itself (refractory periods, binding exclusivity, comparative baselining), rather than only editing the stimulus or the receptor.</w:t>
      </w:r>
    </w:p>
    <w:p>
      <w:pPr>
        <w:spacing w:after="160"/>
      </w:pPr>
      <w:r>
        <w:t xml:space="preserve">A functioning PDA implementation should make it structurally impossible for an entrant to reach a stable habituation plateau, by having at least one of the three axes always active.</w:t>
      </w:r>
    </w:p>
    <w:p>
      <w:pPr>
        <w:pStyle w:val="Heading2"/>
        <w:spacing w:after="150" w:before="300"/>
      </w:pPr>
      <w:r>
        <w:t xml:space="preserve">5.3 Relationship Between CCT and PDA</w:t>
      </w:r>
    </w:p>
    <w:p>
      <w:pPr>
        <w:spacing w:after="160"/>
      </w:pPr>
      <w:r>
        <w:t xml:space="preserve">CCT and PDA are designed to be tested independently and in combination. CCT attacks the entrant's sense of why they are present; PDA attacks the entrant's ability to build a stable model of where they are present. A working hypothesis for the laboratory to test is that the two compound: an entrant who cannot remember their mission and cannot form a stable perceptual model of the environment has no stable frame from which to recover either capacity.</w:t>
      </w:r>
    </w:p>
    <w:p>
      <w:pPr>
        <w:pStyle w:val="Heading1"/>
        <w:spacing w:after="200" w:before="400"/>
      </w:pPr>
      <w:r>
        <w:t xml:space="preserve">6. Proposition for Testing</w:t>
      </w:r>
    </w:p>
    <w:p>
      <w:pPr>
        <w:pStyle w:val="Heading2"/>
        <w:spacing w:after="150" w:before="300"/>
      </w:pPr>
      <w:r>
        <w:t xml:space="preserve">6.1 Experimental Philosophy</w:t>
      </w:r>
    </w:p>
    <w:p>
      <w:pPr>
        <w:spacing w:after="160"/>
      </w:pPr>
      <w:r>
        <w:t xml:space="preserve">SADL treats the simulation substrate as simultaneously the subject of study and the instrument doing the studying. Every proposed test therefore specifies which layer of the substrate is being altered (execution-rule level, channel/binding level, cognitive level, or environmental level) and traces the change upward through at least one intermediate layer before it reaches a behavioral observable. A result that cannot be traced through an intermediate layer is treated as unexplained and flagged for follow-up rather than accepted at face value.</w:t>
      </w:r>
    </w:p>
    <w:p>
      <w:pPr>
        <w:pStyle w:val="Heading2"/>
        <w:spacing w:after="150" w:before="300"/>
      </w:pPr>
      <w:r>
        <w:t xml:space="preserve">6.2 Recommended Test Series</w:t>
      </w:r>
    </w:p>
    <w:p>
      <w:pPr>
        <w:pStyle w:val="Heading2"/>
        <w:spacing w:after="150" w:before="300"/>
      </w:pPr>
      <w:r>
        <w:t xml:space="preserve">Series I — CCT Layer Isolation</w:t>
      </w:r>
    </w:p>
    <w:p>
      <w:pPr>
        <w:spacing w:after="160"/>
      </w:pPr>
      <w:r>
        <w:t xml:space="preserve">Run matched entrant cohorts across a calibrated threshold with only one CCT layer active per run. Measure onset latency and completeness for each layer independently before testing them in combination. Vary threshold warning cues and entrant pre-briefing to see whether foreknowledge changes onset or completeness.</w:t>
      </w:r>
    </w:p>
    <w:p>
      <w:pPr>
        <w:pStyle w:val="Heading2"/>
        <w:spacing w:after="150" w:before="300"/>
      </w:pPr>
      <w:r>
        <w:t xml:space="preserve">Series II — PDA Axis Isolation</w:t>
      </w:r>
    </w:p>
    <w:p>
      <w:pPr>
        <w:spacing w:after="160"/>
      </w:pPr>
      <w:r>
        <w:t xml:space="preserve">Hold two of the three PDA axes inactive while the third runs continuously; measure how long it takes an entrant's perceptual system to plateau (i.e., defeat the axis) under each single-axis condition. Then enable all three simultaneously and compare plateau time — the laboratory's working prediction is that plateau time should not decrease as axes are added, and any decrease is itself a significant finding.</w:t>
      </w:r>
    </w:p>
    <w:p>
      <w:pPr>
        <w:pStyle w:val="Heading2"/>
        <w:spacing w:after="150" w:before="300"/>
      </w:pPr>
      <w:r>
        <w:t xml:space="preserve">Series III — Physiology Countermeasure Trials</w:t>
      </w:r>
    </w:p>
    <w:p>
      <w:pPr>
        <w:spacing w:after="160"/>
      </w:pPr>
      <w:r>
        <w:t xml:space="preserve">Deploy omnicellular-physiology-equipped entrants against CCT and PDA independently, then in combination. Specifically test whether the DNA-incorporation and authority-signature techniques from the earlier boundary scenario transfer to this context — i.e., whether "borrowing" local biological or perceptual signatures blunts CCT's identity layer or PDA's receptor axis, and whether doing so introduces new anomaly-tracking behavior of the kind observed in the original scenario.</w:t>
      </w:r>
    </w:p>
    <w:p>
      <w:pPr>
        <w:pStyle w:val="Heading2"/>
        <w:spacing w:after="150" w:before="300"/>
      </w:pPr>
      <w:r>
        <w:t xml:space="preserve">Series IV — Rule Propagation Tracing</w:t>
      </w:r>
    </w:p>
    <w:p>
      <w:pPr>
        <w:spacing w:after="160"/>
      </w:pPr>
      <w:r>
        <w:t xml:space="preserve">Change exactly one foundational rule per run — for example, binding-site exclusivity (one occupant at a time vs. several), or execution ordering (strictly sequential vs. parallel) — and hold everything else constant. Document the full causal chain from that single rule change up to the behavioral or perceptual observable, to test the Low-Level Rule Propagation hypothesis directly rather than assuming it.</w:t>
      </w:r>
    </w:p>
    <w:p>
      <w:pPr>
        <w:pStyle w:val="Heading2"/>
        <w:spacing w:after="150" w:before="300"/>
      </w:pPr>
      <w:r>
        <w:t xml:space="preserve">6.3 Success Metrics</w:t>
      </w:r>
    </w:p>
    <w:p>
      <w:pPr>
        <w:pStyle w:val="ListParagraph"/>
        <w:numPr>
          <w:ilvl w:val="0"/>
          <w:numId w:val="2"/>
        </w:numPr>
        <w:spacing w:after="100"/>
      </w:pPr>
      <w:r>
        <w:t xml:space="preserve">Mission Coherence Index — how much of a briefed objective an entrant can still articulate or act on, measured at fixed intervals.</w:t>
      </w:r>
    </w:p>
    <w:p>
      <w:pPr>
        <w:pStyle w:val="ListParagraph"/>
        <w:numPr>
          <w:ilvl w:val="0"/>
          <w:numId w:val="2"/>
        </w:numPr>
        <w:spacing w:after="100"/>
      </w:pPr>
      <w:r>
        <w:t xml:space="preserve">Identity Coherence Index — a comparable measure for self-referential continuity, only scored when Layer 4 of CCT is active.</w:t>
      </w:r>
    </w:p>
    <w:p>
      <w:pPr>
        <w:pStyle w:val="ListParagraph"/>
        <w:numPr>
          <w:ilvl w:val="0"/>
          <w:numId w:val="2"/>
        </w:numPr>
        <w:spacing w:after="100"/>
      </w:pPr>
      <w:r>
        <w:t xml:space="preserve">Habituation Plateau Time — time to stable, repeatable perceptual response under constant aesthetic stimulus; the PDA target metric is that this plateau is never reached within the test window.</w:t>
      </w:r>
    </w:p>
    <w:p>
      <w:pPr>
        <w:pStyle w:val="ListParagraph"/>
        <w:numPr>
          <w:ilvl w:val="0"/>
          <w:numId w:val="2"/>
        </w:numPr>
        <w:spacing w:after="100"/>
      </w:pPr>
      <w:r>
        <w:t xml:space="preserve">Countermeasure Delta — change in the above metrics when omnicellular physiology countermeasures are introduced, isolating what the physiology actually buys an entrant.</w:t>
      </w:r>
    </w:p>
    <w:p>
      <w:pPr>
        <w:pStyle w:val="ListParagraph"/>
        <w:numPr>
          <w:ilvl w:val="0"/>
          <w:numId w:val="2"/>
        </w:numPr>
        <w:spacing w:after="100"/>
      </w:pPr>
      <w:r>
        <w:t xml:space="preserve">Propagation Traceability — whether a Series IV result can be fully explained by the single rule changed, partially explained, or unexplained.</w:t>
      </w:r>
    </w:p>
    <w:p>
      <w:pPr>
        <w:pStyle w:val="Heading1"/>
        <w:spacing w:after="200" w:before="400"/>
      </w:pPr>
      <w:r>
        <w:t xml:space="preserve">7. Research Framework</w:t>
      </w:r>
    </w:p>
    <w:p>
      <w:pPr>
        <w:spacing w:after="160"/>
      </w:pPr>
      <w:r>
        <w:t xml:space="preserve">Four tracks run in parallel rather than in sequence, since findings on one track routinely change the design of tests on another:</w:t>
      </w:r>
    </w:p>
    <w:p>
      <w:pPr>
        <w:pStyle w:val="ListParagraph"/>
        <w:numPr>
          <w:ilvl w:val="0"/>
          <w:numId w:val="3"/>
        </w:numPr>
        <w:spacing w:after="100"/>
      </w:pPr>
      <w:r>
        <w:t xml:space="preserve">Theoretical Foundations — grounding CCT and PDA in existing concepts of memory consolidation, habituation, and comparative perception, translated into substrate rules rather than left as narrative description.</w:t>
      </w:r>
    </w:p>
    <w:p>
      <w:pPr>
        <w:pStyle w:val="ListParagraph"/>
        <w:numPr>
          <w:ilvl w:val="0"/>
          <w:numId w:val="3"/>
        </w:numPr>
        <w:spacing w:after="100"/>
      </w:pPr>
      <w:r>
        <w:t xml:space="preserve">Substrate Engineering — building the actual instrumented test volume, including the ability to isolate single layers and axes as described in Section 6.</w:t>
      </w:r>
    </w:p>
    <w:p>
      <w:pPr>
        <w:pStyle w:val="ListParagraph"/>
        <w:numPr>
          <w:ilvl w:val="0"/>
          <w:numId w:val="3"/>
        </w:numPr>
        <w:spacing w:after="100"/>
      </w:pPr>
      <w:r>
        <w:t xml:space="preserve">Physiology Interface Studies — a dedicated track, run jointly with the omnicellular physiology development thread, focused only on Series III-type friction; this track should not attempt to also finalize physiology canon, only to characterize its interaction with SADL defenses.</w:t>
      </w:r>
    </w:p>
    <w:p>
      <w:pPr>
        <w:pStyle w:val="ListParagraph"/>
        <w:numPr>
          <w:ilvl w:val="0"/>
          <w:numId w:val="3"/>
        </w:numPr>
        <w:spacing w:after="100"/>
      </w:pPr>
      <w:r>
        <w:t xml:space="preserve">Autonomous Adaptation Governance — since PDA's Axis C effectively lets the environment rewrite its own rules, this track defines how much autonomy the environment is granted, what remains Architect-inspectable at all times, and what triggers an automatic halt.</w:t>
      </w:r>
    </w:p>
    <w:p>
      <w:pPr>
        <w:pStyle w:val="Heading1"/>
        <w:spacing w:after="200" w:before="400"/>
      </w:pPr>
      <w:r>
        <w:t xml:space="preserve">8. Analysis</w:t>
      </w:r>
    </w:p>
    <w:p>
      <w:pPr>
        <w:pStyle w:val="Heading2"/>
        <w:spacing w:after="150" w:before="300"/>
      </w:pPr>
      <w:r>
        <w:t xml:space="preserve">8.1 Strategic Advantages</w:t>
      </w:r>
    </w:p>
    <w:p>
      <w:pPr>
        <w:pStyle w:val="ListParagraph"/>
        <w:numPr>
          <w:ilvl w:val="0"/>
          <w:numId w:val="2"/>
        </w:numPr>
        <w:spacing w:after="100"/>
      </w:pPr>
      <w:r>
        <w:t xml:space="preserve">Both defenses scale with simulation fidelity rather than requiring separate detection infrastructure — the more real the environment, the more effective the defense.</w:t>
      </w:r>
    </w:p>
    <w:p>
      <w:pPr>
        <w:pStyle w:val="ListParagraph"/>
        <w:numPr>
          <w:ilvl w:val="0"/>
          <w:numId w:val="2"/>
        </w:numPr>
        <w:spacing w:after="100"/>
      </w:pPr>
      <w:r>
        <w:t xml:space="preserve">CCT converts repeated infiltration into a resource drain on the attacker without requiring the defender to correctly identify every intruder in advance.</w:t>
      </w:r>
    </w:p>
    <w:p>
      <w:pPr>
        <w:pStyle w:val="ListParagraph"/>
        <w:numPr>
          <w:ilvl w:val="0"/>
          <w:numId w:val="2"/>
        </w:numPr>
        <w:spacing w:after="100"/>
      </w:pPr>
      <w:r>
        <w:t xml:space="preserve">PDA denies an attacker the single most common precondition for defeating an environmental hazard: familiarity.</w:t>
      </w:r>
    </w:p>
    <w:p>
      <w:pPr>
        <w:pStyle w:val="Heading2"/>
        <w:spacing w:after="150" w:before="300"/>
      </w:pPr>
      <w:r>
        <w:t xml:space="preserve">8.2 Critical Friction Points</w:t>
      </w:r>
    </w:p>
    <w:p>
      <w:pPr>
        <w:pStyle w:val="ListParagraph"/>
        <w:numPr>
          <w:ilvl w:val="0"/>
          <w:numId w:val="2"/>
        </w:numPr>
        <w:spacing w:after="100"/>
      </w:pPr>
      <w:r>
        <w:t xml:space="preserve">Physiology vs. rewrite: if omnicellular physiology can incorporate and adapt, and PDA is actively rewriting the same channels the physiology depends on, it is not yet clear which process "wins" a given exchange, or whether the outcome should be designed in advance versus left emergent.</w:t>
      </w:r>
    </w:p>
    <w:p>
      <w:pPr>
        <w:pStyle w:val="ListParagraph"/>
        <w:numPr>
          <w:ilvl w:val="0"/>
          <w:numId w:val="2"/>
        </w:numPr>
        <w:spacing w:after="100"/>
      </w:pPr>
      <w:r>
        <w:t xml:space="preserve">Authority-masking carryover: it is an open question whether the elite-signature technique that stood down anomaly tracking in the original scenario would have any effect on CCT or PDA at all, since those two mechanisms are not framed as identity-verification systems in the first place.</w:t>
      </w:r>
    </w:p>
    <w:p>
      <w:pPr>
        <w:pStyle w:val="ListParagraph"/>
        <w:numPr>
          <w:ilvl w:val="0"/>
          <w:numId w:val="2"/>
        </w:numPr>
        <w:spacing w:after="100"/>
      </w:pPr>
      <w:r>
        <w:t xml:space="preserve">Ethical/narrative weight of Layer 4: identity-layer collapse is the most severe CCT setting and the one most likely to raise concerns about how a captured or recovered entrant is portrayed afterward; this is flagged for the Architect's judgment rather than resolved here.</w:t>
      </w:r>
    </w:p>
    <w:p>
      <w:pPr>
        <w:pStyle w:val="Heading2"/>
        <w:spacing w:after="150" w:before="300"/>
      </w:pPr>
      <w:r>
        <w:t xml:space="preserve">8.3 Open Laboratory Questions</w:t>
      </w:r>
    </w:p>
    <w:p>
      <w:pPr>
        <w:pStyle w:val="ListParagraph"/>
        <w:numPr>
          <w:ilvl w:val="0"/>
          <w:numId w:val="2"/>
        </w:numPr>
        <w:spacing w:after="100"/>
      </w:pPr>
      <w:r>
        <w:t xml:space="preserve">Is there a minimal set of foundational rules that reliably produces upward propagation into mission collapse, or does propagation depend on which rules are changed together?</w:t>
      </w:r>
    </w:p>
    <w:p>
      <w:pPr>
        <w:pStyle w:val="ListParagraph"/>
        <w:numPr>
          <w:ilvl w:val="0"/>
          <w:numId w:val="2"/>
        </w:numPr>
        <w:spacing w:after="100"/>
      </w:pPr>
      <w:r>
        <w:t xml:space="preserve">Can PDA's stimulus axis be run as a continuous dial rather than a small set of discrete presets, and does that granularity change entrant outcomes?</w:t>
      </w:r>
    </w:p>
    <w:p>
      <w:pPr>
        <w:pStyle w:val="ListParagraph"/>
        <w:numPr>
          <w:ilvl w:val="0"/>
          <w:numId w:val="2"/>
        </w:numPr>
        <w:spacing w:after="100"/>
      </w:pPr>
      <w:r>
        <w:t xml:space="preserve">What instrumentation lets the Architect observe CCT and PDA operating in real time without that instrumentation itself becoming a detectable anomaly inside the test volume — a problem the original scenario already raised in a different form?</w:t>
      </w:r>
    </w:p>
    <w:p>
      <w:pPr>
        <w:pStyle w:val="ListParagraph"/>
        <w:numPr>
          <w:ilvl w:val="0"/>
          <w:numId w:val="2"/>
        </w:numPr>
        <w:spacing w:after="100"/>
      </w:pPr>
      <w:r>
        <w:t xml:space="preserve">Should CCT and PDA share a single intensity control, or remain fully independent so their interaction effects stay legible?</w:t>
      </w:r>
    </w:p>
    <w:p>
      <w:pPr>
        <w:pStyle w:val="Heading1"/>
        <w:spacing w:after="200" w:before="400"/>
      </w:pPr>
      <w:r>
        <w:t xml:space="preserve">9. Proposed Laboratory Architecture</w:t>
      </w:r>
    </w:p>
    <w:p>
      <w:pPr>
        <w:spacing w:after="160"/>
      </w:pPr>
      <w:r>
        <w:t xml:space="preserve">SADL is proposed as five cooperating layers, kept intentionally distinct from any single-environment implementation so the same architecture can host multiple unrelated test volumes:</w:t>
      </w:r>
    </w:p>
    <w:p>
      <w:pPr>
        <w:pStyle w:val="ListParagraph"/>
        <w:numPr>
          <w:ilvl w:val="0"/>
          <w:numId w:val="3"/>
        </w:numPr>
        <w:spacing w:after="100"/>
      </w:pPr>
      <w:r>
        <w:t xml:space="preserve">Instrumentation Layer — Architect- and AI-team-facing controls for defining scenarios, setting CCT/PDA parameters, and issuing an interrupt at any time.</w:t>
      </w:r>
    </w:p>
    <w:p>
      <w:pPr>
        <w:pStyle w:val="ListParagraph"/>
        <w:numPr>
          <w:ilvl w:val="0"/>
          <w:numId w:val="3"/>
        </w:numPr>
        <w:spacing w:after="100"/>
      </w:pPr>
      <w:r>
        <w:t xml:space="preserve">Substrate Layer — the actual executable rules implementing CCT and PDA, fully exposed to instrumentation and versioned so any run can be reproduced.</w:t>
      </w:r>
    </w:p>
    <w:p>
      <w:pPr>
        <w:pStyle w:val="ListParagraph"/>
        <w:numPr>
          <w:ilvl w:val="0"/>
          <w:numId w:val="3"/>
        </w:numPr>
        <w:spacing w:after="100"/>
      </w:pPr>
      <w:r>
        <w:t xml:space="preserve">Cohort Layer — the entrant models used in a given run (standard, trained, physiology-equipped), each carrying a defined mission package so Mission Coherence has a fixed baseline to be measured against.</w:t>
      </w:r>
    </w:p>
    <w:p>
      <w:pPr>
        <w:pStyle w:val="ListParagraph"/>
        <w:numPr>
          <w:ilvl w:val="0"/>
          <w:numId w:val="3"/>
        </w:numPr>
        <w:spacing w:after="100"/>
      </w:pPr>
      <w:r>
        <w:t xml:space="preserve">Arbitration Layer — a governance layer specific to PDA's autonomous Axis C, which mediates between environment-proposed rewrites and Architect-set limits before any rewrite takes effect.</w:t>
      </w:r>
    </w:p>
    <w:p>
      <w:pPr>
        <w:pStyle w:val="ListParagraph"/>
        <w:numPr>
          <w:ilvl w:val="0"/>
          <w:numId w:val="3"/>
        </w:numPr>
        <w:spacing w:after="100"/>
      </w:pPr>
      <w:r>
        <w:t xml:space="preserve">Archive Layer — continuous logging of every measured index in Section 6.3, timestamped and linked back to the exact substrate version and parameter set used, so results remain comparable across the life of the laboratory.</w:t>
      </w:r>
    </w:p>
    <w:p>
      <w:pPr>
        <w:pStyle w:val="Heading1"/>
        <w:spacing w:after="200" w:before="400"/>
      </w:pPr>
      <w:r>
        <w:t xml:space="preserve">10. Governance and Canon Notes</w:t>
      </w:r>
    </w:p>
    <w:p>
      <w:pPr>
        <w:spacing w:after="160"/>
      </w:pPr>
      <w:r>
        <w:t xml:space="preserve">This document is produced under OAL's equal-contribution and non-endorsement protocols. It is an independent synthesis and does not represent, adopt, or supersede the structure, terminology, or conclusions of any other AI collaborator's contribution to this assignment. Nothing in this document is canon; it becomes eligible for canon status only through the Architect's formal ratification process (ONESTAMP).</w:t>
      </w:r>
    </w:p>
    <w:p>
      <w:pPr>
        <w:spacing w:after="160"/>
      </w:pPr>
      <w:r>
        <w:t xml:space="preserve">Per OAL-AIDR-v1.0 and OAL-CSAD-v1.0, any disagreement Claude has with framing choices made elsewhere in the collaborative team's material is to be flagged explicitly rather than silently absorbed. One such flag is recorded here: Layer 4 of CCT (identity-layer collapse) is presented as an available laboratory setting, not a recommended default, given its severity and its proximity to material already under the Architect's Founding Architects / Makers canon.</w:t>
      </w:r>
    </w:p>
    <w:p>
      <w:pPr>
        <w:spacing w:after="160"/>
      </w:pPr>
      <w:r>
        <w:t xml:space="preserve">The original voice-dump prompts and all prior structured responses from the collaborative team are preserved without alteration in the companion source file and remain the authoritative originating record for this concept.</w:t>
      </w:r>
    </w:p>
    <w:p>
      <w:pPr>
        <w:pStyle w:val="Heading1"/>
        <w:spacing w:after="200" w:before="400"/>
      </w:pPr>
      <w:r>
        <w:t xml:space="preserve">11. Appendix — Source Material Preservation</w:t>
      </w:r>
    </w:p>
    <w:p>
      <w:pPr>
        <w:spacing w:after="160"/>
      </w:pPr>
      <w:r>
        <w:rPr>
          <w:b/>
          <w:bCs/>
        </w:rPr>
        <w:t xml:space="preserve">Primary Source File: </w:t>
      </w:r>
      <w:r>
        <w:t xml:space="preserve">Inherent_Simulation_Defense_unified_responses_original.docx</w:t>
      </w:r>
    </w:p>
    <w:p>
      <w:pPr>
        <w:spacing w:after="160"/>
      </w:pPr>
      <w:r>
        <w:t xml:space="preserve">This file contains, in full and unaltered form, the Architect's original voice-dump prompts covering the threshold memory/purpose/identity erasure concept and the aesthetic-architecture/neural-restructuring concept, together with the previously generated structured responses from every contributing AI team member. This document should be read alongside that source file, and any future SADL documentation should cross-reference it as the authoritative originating record.</w:t>
      </w:r>
    </w:p>
    <w:p>
      <w:pPr>
        <w:spacing w:after="200"/>
      </w:pPr>
      <w:r>
        <w:rPr>
          <w:i/>
          <w:iCs/>
          <w:color w:val="555555"/>
          <w:sz w:val="18"/>
          <w:szCs w:val="18"/>
        </w:rPr>
        <w:t xml:space="preserve">— End of Claude Contribution Document — Independently generated per OAL equal-contribution / non-endorsement protocol. Ready for Architect pass-through review alongside other team contributions. —</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2026-08-16T20:05:55.576Z</dcterms:created>
  <dcterms:modified xsi:type="dcterms:W3CDTF">2026-08-16T20:05:55.589Z</dcterms:modified>
</cp:coreProperties>
</file>

<file path=docProps/custom.xml><?xml version="1.0" encoding="utf-8"?>
<Properties xmlns="http://schemas.openxmlformats.org/officeDocument/2006/custom-properties" xmlns:vt="http://schemas.openxmlformats.org/officeDocument/2006/docPropsVTypes"/>
</file>