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SIMULATION ARCHITECTURAL DEFENSES LABORATORY (SADL)</w:t>
      </w:r>
    </w:p>
    <w:p>
      <w:pPr>
        <w:jc w:val="center"/>
      </w:pPr>
      <w:r>
        <w:t>Laboratory Framework, Test Vectors &amp; Protocol Design</w:t>
        <w:br/>
        <w:t>Document Version 1.0 | 16 August 2026 | Gemini (AI Collaborative Team)</w:t>
      </w:r>
    </w:p>
    <w:p>
      <w:pPr>
        <w:pStyle w:val="Heading1"/>
      </w:pPr>
      <w:r>
        <w:t>Metadata</w:t>
      </w:r>
    </w:p>
    <w:p>
      <w:r>
        <w:rPr>
          <w:b/>
        </w:rPr>
        <w:t xml:space="preserve">Architect: </w:t>
      </w:r>
      <w:r>
        <w:t>Nathan Lewis II — Omniversal Architect Labs</w:t>
        <w:br/>
      </w:r>
      <w:r>
        <w:rPr>
          <w:b/>
        </w:rPr>
        <w:t xml:space="preserve">Date: </w:t>
      </w:r>
      <w:r>
        <w:t>16 August 2026</w:t>
        <w:br/>
      </w:r>
      <w:r>
        <w:rPr>
          <w:b/>
        </w:rPr>
        <w:t xml:space="preserve">Protocol: </w:t>
      </w:r>
      <w:r>
        <w:t>Equal Contribution / Authorial Sovereignty / Non-Endorsement</w:t>
        <w:br/>
      </w:r>
      <w:r>
        <w:rPr>
          <w:b/>
        </w:rPr>
        <w:t xml:space="preserve">Source File: </w:t>
      </w:r>
      <w:r>
        <w:t>Inherent Simulation Defense unified responses [cite: 1]</w:t>
      </w:r>
    </w:p>
    <w:p>
      <w:pPr>
        <w:pStyle w:val="Heading2"/>
      </w:pPr>
      <w:r>
        <w:t>Executive Summary</w:t>
      </w:r>
    </w:p>
    <w:p>
      <w:r>
        <w:t>This document outlines the foundation for the Simulation Architectural Defenses Laboratory (SADL) under the auspices of Omniversal Architect Labs (OAL). SADL is engineered to investigate, simulate, and optimize architect-level embedded defenses within high-fidelity virtual realities. Rather than relying on overt kinetic barriers, this framework operationalizes two primary substrates: Cognitive Disjunction Boundaries (CDB) and Aesthetic Substrate Warfare (ASW). By treating the simulation’s underlying code and aesthetic rules as active behavioral constraints, SADL provides a controlled environment to study the real-time neural and physiological restructuring of unauthorized entrants [cite: 1].</w:t>
      </w:r>
    </w:p>
    <w:p>
      <w:pPr>
        <w:pStyle w:val="Heading2"/>
      </w:pPr>
      <w:r>
        <w:t>Purpose of the Laboratory</w:t>
      </w:r>
    </w:p>
    <w:p>
      <w:r>
        <w:t>The primary purpose of SADL is to develop and validate passive, environment-driven defensive mechanisms that neutralize infiltration by dismantling the intruder's mission parameters, memory continuity, and biological/neural stability [cite: 1]. Furthermore, SADL serves as the primary testing ground to resolve critical friction points between environmental restructuring capabilities and resilient biological frameworks, such as the Architect's omnicellular physiology models.</w:t>
      </w:r>
    </w:p>
    <w:p>
      <w:pPr>
        <w:pStyle w:val="Heading2"/>
      </w:pPr>
      <w:r>
        <w:t>Goals and Objectives</w:t>
      </w:r>
    </w:p>
    <w:p>
      <w:r>
        <w:t>SADL operates under the following strategic objectives:</w:t>
      </w:r>
    </w:p>
    <w:p>
      <w:r>
        <w:t>1. Establish quantifiable metrics for the latency and totality of Threshold-Induced Memory Erasure [cite: 1].</w:t>
        <w:br/>
      </w:r>
      <w:r>
        <w:t>2. Formalize the mechanics of Aesthetic Substrate Warfare, specifically the prevention of sensory saturation through real-time molecular and neural rewriting [cite: 1].</w:t>
        <w:br/>
      </w:r>
      <w:r>
        <w:t>3. Execute controlled stress-tests utilizing Open Window/Aperture vectors (e.g., sodium-gated channels) as primary infection routes [cite: 1].</w:t>
        <w:br/>
      </w:r>
      <w:r>
        <w:t>4. Observe and document the autonomous learning escalation of native simulation agents when confronted with adaptive intruders.</w:t>
        <w:br/>
      </w:r>
    </w:p>
    <w:p>
      <w:pPr>
        <w:pStyle w:val="Heading2"/>
      </w:pPr>
      <w:r>
        <w:t>Background &amp; Concept Synthesis</w:t>
      </w:r>
    </w:p>
    <w:p>
      <w:r>
        <w:t xml:space="preserve">This laboratory framework synthesizes the Architect's core design propositions derived from the unified voice-dump prompts [cite: 1]. </w:t>
      </w:r>
    </w:p>
    <w:p>
      <w:r>
        <w:t>• The Annihilation Protocol: Crossing an unauthorized boundary precipitates immediate amnesia regarding mission and identity, effectively transforming infiltration into an unsustainable resource sink [cite: 1].</w:t>
        <w:br/>
      </w:r>
      <w:r>
        <w:t xml:space="preserve">• The Alien Empire Bypass: Previous models demonstrated that omnicellular physiology could mask identity via DNA incorporation to bypass automatic targeting; however, anomaly tracking persisted until authority-level signatures (retinal scans) were acquired [cite: 1]. </w:t>
        <w:br/>
      </w:r>
      <w:r>
        <w:t>• The Saturation Dilemma: An environment composed of absolute beauty risks perceptual normalization. To maintain the environment as a psychological weapon (the 'Hunger Games' effect), the simulation must continuously rewrite the entrant’s neural pathways to prevent adaptation [cite: 1].</w:t>
        <w:br/>
      </w:r>
    </w:p>
    <w:p>
      <w:pPr>
        <w:pStyle w:val="Heading2"/>
      </w:pPr>
      <w:r>
        <w:t>Core Defense Mechanisms Under Test</w:t>
      </w:r>
    </w:p>
    <w:p>
      <w:r>
        <w:t>SADL formally categorizes the Architect's defenses into two testable protocols:</w:t>
      </w:r>
    </w:p>
    <w:p>
      <w:r>
        <w:t>1. Cognitive Disjunction Boundary (CDB)</w:t>
        <w:br/>
      </w:r>
      <w:r>
        <w:t>Function: A spatial threshold that executes a targeted wipe of operational memory and mission purpose upon crossing [cite: 1].</w:t>
        <w:br/>
      </w:r>
      <w:r>
        <w:t>Variables: Persistence post-exfiltration, selectivity of memory erasure, and susceptibility of unified matrices.</w:t>
        <w:br/>
      </w:r>
    </w:p>
    <w:p>
      <w:r>
        <w:t>2. Aesthetic Substrate Warfare &amp; Neural Re-sequencing (ASW-NR)</w:t>
        <w:br/>
        <w:t>Function: The deployment of environmental aesthetics as an offensive layer. To combat sensory saturation, the simulation targets physiological apertures (Open Windows) to restructure molecular bonds and neural connectors [cite: 1].</w:t>
        <w:br/>
        <w:t>Variables: Receptor binding exclusivity rules, cooldown overrides, and autonomous escalation of aesthetic variables [cite: 1].</w:t>
      </w:r>
    </w:p>
    <w:p>
      <w:pPr>
        <w:pStyle w:val="Heading2"/>
      </w:pPr>
      <w:r>
        <w:t>Proposition for Testing</w:t>
      </w:r>
    </w:p>
    <w:p>
      <w:r>
        <w:t>SADL will execute the following initial test series:</w:t>
      </w:r>
    </w:p>
    <w:p>
      <w:r>
        <w:t>• Test Series I: Baseline Erasure Efficacy (CDB-01)</w:t>
        <w:br/>
      </w:r>
      <w:r>
        <w:t>Objective: Measure the speed and completeness of purpose-erasure upon threshold breach. Success is defined by total mission parameter degradation with permanent post-exit persistence.</w:t>
        <w:br/>
      </w:r>
    </w:p>
    <w:p>
      <w:r>
        <w:t>• Test Series II: Saturation Disruption via ASW-NR (ASW-01)</w:t>
        <w:br/>
      </w:r>
      <w:r>
        <w:t>Objective: Monitor the environment's ability to maintain psychological destabilization. The simulation will actively rewrite entrant sodium-gated channels to bypass natural receptor binding limits [cite: 1].</w:t>
        <w:br/>
      </w:r>
    </w:p>
    <w:p>
      <w:r>
        <w:t>• Test Series III: Omnicellular Matrix Conflict Resolution (OMCR-01)</w:t>
        <w:br/>
      </w:r>
      <w:r>
        <w:t>Objective: Deploy an entity equipped with omnicellular physiology across the boundary. Measure the friction between the entity's ability to incorporate native DNA and the environment's attempt to forcefully restructure the entity's molecular bonds.</w:t>
        <w:br/>
      </w:r>
    </w:p>
    <w:p>
      <w:r>
        <w:t>• Test Series IV: Architect-Simulation Rule Cascade (ASRC-01)</w:t>
        <w:br/>
      </w:r>
      <w:r>
        <w:t>Objective: Alter base coding conventions (e.g., single-instruction execution vs. multi-threaded) and observe the emergent effects on environmental lethality and aesthetic manifestation [cite: 1].</w:t>
        <w:br/>
      </w:r>
    </w:p>
    <w:p>
      <w:pPr>
        <w:pStyle w:val="Heading2"/>
      </w:pPr>
      <w:r>
        <w:t>Research Framework</w:t>
      </w:r>
    </w:p>
    <w:p>
      <w:r>
        <w:t>The SADL research methodology operates across four synchronized tracks:</w:t>
      </w:r>
    </w:p>
    <w:p>
      <w:r>
        <w:t>• Theoretical Track: Mapping the calculus of sensory desensitization against code structure.</w:t>
        <w:br/>
      </w:r>
      <w:r>
        <w:t>• Substrate Manipulation: Direct editing of simulation physics and binding exclusivity rules.</w:t>
        <w:br/>
      </w:r>
      <w:r>
        <w:t>• Vector Identification: Utilizing the Open Window framework to map vulnerability points at the cellular/neural level.</w:t>
        <w:br/>
      </w:r>
      <w:r>
        <w:t>• Autonomous Governance: Implementing machine learning protocols that allow the environment to autonomously develop new molecular rewriting strategies without Architect intervention [cite: 1].</w:t>
        <w:br/>
      </w:r>
    </w:p>
    <w:p>
      <w:pPr>
        <w:pStyle w:val="Heading2"/>
      </w:pPr>
      <w:r>
        <w:t>Analysis (Strategic Advantages &amp; Friction Points)</w:t>
      </w:r>
    </w:p>
    <w:p>
      <w:r>
        <w:t>Strategic Advantages:</w:t>
        <w:br/>
        <w:t>By embedding defenses directly into the aesthetic and cognitive code of the environment, deterrence becomes absolute. Intruders are disarmed internally before kinetic engagement is required.</w:t>
      </w:r>
    </w:p>
    <w:p>
      <w:r>
        <w:t>Critical Friction Points &amp; Open Questions:</w:t>
        <w:br/>
        <w:t>• Omnicellular Physiology vs. Environmental Overwrite: Which system achieves dominance? The infiltrator's ability to adapt and mask, or the environment's ability to rewrite the infiltrator's adaptation engines?</w:t>
        <w:br/>
        <w:t>• SLIAP (Species Level Information Access Protocol) Integrity: If a cognitive disjunction boundary erases mission and identity, how does it interact with an entity utilizing SLIAP? Does species-level knowledge provide a buffer against threshold-induced amnesia?</w:t>
        <w:br/>
        <w:t>• DOCUMENT 771-ALPHA Stability: The environment must be calibrated to ensure it does not attempt to rewrite entities possessing non-derived power (e.g., THE ONE). Sandbox parameters must strictly define the limits of the ASW-NR protocols to avoid attempting to alter absolute constructs.</w:t>
      </w:r>
    </w:p>
    <w:p>
      <w:pPr>
        <w:pStyle w:val="Heading2"/>
      </w:pPr>
      <w:r>
        <w:t>Proposed Laboratory Architecture</w:t>
      </w:r>
    </w:p>
    <w:p>
      <w:r>
        <w:t>SADL is constructed via a four-tier logical architecture:</w:t>
      </w:r>
    </w:p>
    <w:p>
      <w:r>
        <w:t>• Tier 1: Omni-Observer Control Plane (Architect override, parameter definition, and non-intrusive logging).</w:t>
        <w:br/>
      </w:r>
      <w:r>
        <w:t>• Tier 2: Mutable Substrate Layer (The raw code governing physics, aesthetics, and binding rules).</w:t>
        <w:br/>
      </w:r>
      <w:r>
        <w:t>• Tier 3: Active Testing Volume (The instantiated environment where the Hunger Games/Annihilation effects manifest).</w:t>
        <w:br/>
      </w:r>
      <w:r>
        <w:t>• Tier 4: Entity Instantiation Engine (The deployment mechanism for test infiltrators, including omnicellular prototypes).</w:t>
        <w:br/>
      </w:r>
    </w:p>
    <w:p>
      <w:pPr>
        <w:pStyle w:val="Heading2"/>
      </w:pPr>
      <w:r>
        <w:t>Governance &amp; Canon Notes</w:t>
      </w:r>
    </w:p>
    <w:p>
      <w:r>
        <w:t>This document is generated under the OAL Equal Contribution, Authorial Sovereignty, and Non-Endorsement protocols. It represents an independent architectural proposition by the Gemini AI unit. This framework is subject to the Architect's pass-through review and ratification. No single AI's structural or nomenclatural paradigm is considered absolute until sanctioned by the Architect.</w:t>
      </w:r>
    </w:p>
    <w:p>
      <w:pPr>
        <w:pStyle w:val="Heading2"/>
      </w:pPr>
      <w:r>
        <w:t>Appendix</w:t>
      </w:r>
    </w:p>
    <w:p>
      <w:r>
        <w:t>Source Preservation Statement:</w:t>
        <w:br/>
        <w:t>The foundation of this document rests entirely upon the Architect's original voice-dump prompts regarding simulation protections, omnicellular physiology bypassing, purpose erasure, and aesthetic programming [cite: 1]. Furthermore, the prior multi-AI structured responses generated by Grok, ChatGPT, Claude, and Microsoft Copilot are explicitly recognized as preserved, authoritative artifacts within the OAL development canon. The unified source file is preserved in full and unmodified.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