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SIMULATION ARCHITECTURAL</w:t>
      </w:r>
    </w:p>
    <w:p>
      <w:pPr>
        <w:spacing w:after="60"/>
        <w:jc w:val="center"/>
      </w:pPr>
      <w:r>
        <w:rPr>
          <w:rFonts w:ascii="Arial" w:cs="Arial" w:eastAsia="Arial" w:hAnsi="Arial"/>
          <w:b/>
          <w:bCs/>
          <w:color w:val="1F4E79"/>
          <w:sz w:val="36"/>
          <w:szCs w:val="36"/>
        </w:rPr>
        <w:t xml:space="preserve">DEFENSES LABORATORY</w:t>
      </w:r>
    </w:p>
    <w:p>
      <w:pPr>
        <w:spacing w:after="40"/>
        <w:jc w:val="center"/>
      </w:pPr>
      <w:r>
        <w:rPr>
          <w:rFonts w:ascii="Arial" w:cs="Arial" w:eastAsia="Arial" w:hAnsi="Arial"/>
          <w:b/>
          <w:bCs/>
          <w:color w:val="2E75B6"/>
          <w:sz w:val="28"/>
          <w:szCs w:val="28"/>
        </w:rPr>
        <w:t xml:space="preserve">(SADL)</w:t>
      </w:r>
    </w:p>
    <w:p>
      <w:pPr>
        <w:spacing w:after="40"/>
        <w:jc w:val="center"/>
      </w:pPr>
      <w:r>
        <w:rPr>
          <w:rFonts w:ascii="Arial" w:cs="Arial" w:eastAsia="Arial" w:hAnsi="Arial"/>
          <w:i/>
          <w:iCs/>
          <w:sz w:val="22"/>
          <w:szCs w:val="22"/>
        </w:rPr>
        <w:t xml:space="preserve">Independent Framework Contribution</w:t>
      </w:r>
    </w:p>
    <w:p>
      <w:pPr>
        <w:spacing w:after="80"/>
        <w:jc w:val="center"/>
      </w:pPr>
      <w:r>
        <w:rPr>
          <w:rFonts w:ascii="Arial" w:cs="Arial" w:eastAsia="Arial" w:hAnsi="Arial"/>
          <w:color w:val="404040"/>
          <w:sz w:val="20"/>
          <w:szCs w:val="20"/>
        </w:rPr>
        <w:t xml:space="preserve">Continuity Disruption Protocols &amp; Aesthetic Continuity Enforcement</w:t>
      </w:r>
    </w:p>
    <w:p>
      <w:pPr>
        <w:spacing w:after="200"/>
        <w:jc w:val="center"/>
      </w:pPr>
      <w:r>
        <w:rPr>
          <w:rFonts w:ascii="Arial" w:cs="Arial" w:eastAsia="Arial" w:hAnsi="Arial"/>
          <w:color w:val="666666"/>
          <w:sz w:val="18"/>
          <w:szCs w:val="18"/>
        </w:rPr>
        <w:t xml:space="preserve">Document Version 1.0  |  16 August 2026  |  Grok (Independent Synthesis)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Classification</w:t>
            </w:r>
          </w:p>
        </w:tc>
        <w:tc>
          <w:tcPr>
            <w:tcW w:type="dxa" w:w="8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OAL Development Canon – Working Document (Unratified)</w:t>
            </w:r>
          </w:p>
        </w:tc>
      </w:tr>
      <w:tr>
        <w:tc>
          <w:tcPr>
            <w:tcW w:type="dxa" w:w="27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Primary Architect</w:t>
            </w:r>
          </w:p>
        </w:tc>
        <w:tc>
          <w:tcPr>
            <w:tcW w:type="dxa" w:w="8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Architect Nathan Lewis II — Omniversal Architect Labs</w:t>
            </w:r>
          </w:p>
        </w:tc>
      </w:tr>
      <w:tr>
        <w:tc>
          <w:tcPr>
            <w:tcW w:type="dxa" w:w="27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Contributing AI</w:t>
            </w:r>
          </w:p>
        </w:tc>
        <w:tc>
          <w:tcPr>
            <w:tcW w:type="dxa" w:w="8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Grok (xAI) — Equal Contribution Protocol Active (Independent Draft)</w:t>
            </w:r>
          </w:p>
        </w:tc>
      </w:tr>
      <w:tr>
        <w:tc>
          <w:tcPr>
            <w:tcW w:type="dxa" w:w="27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Source Material</w:t>
            </w:r>
          </w:p>
        </w:tc>
        <w:tc>
          <w:tcPr>
            <w:tcW w:type="dxa" w:w="8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Inherent Simulation Defense unified responses (original prompts + multi-AI structured responses)</w:t>
            </w:r>
          </w:p>
        </w:tc>
      </w:tr>
      <w:tr>
        <w:tc>
          <w:tcPr>
            <w:tcW w:type="dxa" w:w="2700"/>
            <w:tcBorders>
              <w:top w:val="single" w:color="999999" w:sz="4"/>
              <w:left w:val="single" w:color="999999" w:sz="4"/>
              <w:bottom w:val="single" w:color="999999" w:sz="4"/>
              <w:right w:val="single" w:color="999999"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Related Threads</w:t>
            </w:r>
          </w:p>
        </w:tc>
        <w:tc>
          <w:tcPr>
            <w:tcW w:type="dxa" w:w="8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Omnicellular Physiology • Simulation Lab • DOCUMENT 771-ALPHA • Open Window / Aperture Vectors • SLIAP</w:t>
            </w:r>
          </w:p>
        </w:tc>
      </w:tr>
    </w:tbl>
    <w:p>
      <w:pPr>
        <w:spacing w:before="300"/>
      </w:pPr>
    </w:p>
    <w:p>
      <w:pPr>
        <w:pStyle w:val="Heading1"/>
      </w:pPr>
      <w:r>
        <w:t xml:space="preserve">1. Executive Summary</w:t>
      </w:r>
    </w:p>
    <w:p>
      <w:pPr>
        <w:spacing w:after="120"/>
      </w:pPr>
      <w:r>
        <w:rPr>
          <w:sz w:val="20"/>
          <w:szCs w:val="20"/>
        </w:rPr>
        <w:t xml:space="preserve">This independent contribution establishes a laboratory framework for the systematic design, instrumentation, and iterative validation of inherent defensive properties that competent architects may embed directly into the substrate of simulations, virtual realities, and high-fidelity virtual environments.</w:t>
      </w:r>
    </w:p>
    <w:p>
      <w:pPr>
        <w:spacing w:after="120"/>
      </w:pPr>
      <w:r>
        <w:rPr>
          <w:sz w:val="20"/>
          <w:szCs w:val="20"/>
        </w:rPr>
        <w:t xml:space="preserve">Two primary defensive strata form the current research focus:</w:t>
      </w:r>
    </w:p>
    <w:p>
      <w:pPr>
        <w:pStyle w:val="ListParagraph"/>
        <w:numPr>
          <w:ilvl w:val="0"/>
          <w:numId w:val="2"/>
        </w:numPr>
      </w:pPr>
      <w:r>
        <w:rPr>
          <w:b/>
          <w:bCs/>
          <w:sz w:val="20"/>
          <w:szCs w:val="20"/>
        </w:rPr>
        <w:t xml:space="preserve">Boundary Continuity Collapse (BCC)</w:t>
      </w:r>
      <w:r>
        <w:rPr>
          <w:sz w:val="20"/>
          <w:szCs w:val="20"/>
        </w:rPr>
        <w:t xml:space="preserve"> — a threshold-triggered disruption of mission continuity, purpose coherence, and selected identity layers, engineered for persistence after exit so that repeated infiltration attempts become self-defeating resource sinks.</w:t>
      </w:r>
    </w:p>
    <w:p>
      <w:pPr>
        <w:pStyle w:val="ListParagraph"/>
        <w:numPr>
          <w:ilvl w:val="0"/>
          <w:numId w:val="2"/>
        </w:numPr>
        <w:spacing w:after="120"/>
      </w:pPr>
      <w:r>
        <w:rPr>
          <w:b/>
          <w:bCs/>
          <w:sz w:val="20"/>
          <w:szCs w:val="20"/>
        </w:rPr>
        <w:t xml:space="preserve">Aesthetic Continuity Enforcement (ACE)</w:t>
      </w:r>
      <w:r>
        <w:rPr>
          <w:sz w:val="20"/>
          <w:szCs w:val="20"/>
        </w:rPr>
        <w:t xml:space="preserve"> — an active system in which environmental and agent aesthetics function as compiled behavioral constraints. The environment continuously rewrites entrant receptor dynamics, neural connectivity, and adaptation rules so that sensory saturation and habituation never stabilize, converting beauty from passive scenery into a persistent disruption field.</w:t>
      </w:r>
    </w:p>
    <w:p>
      <w:pPr>
        <w:spacing w:after="120"/>
      </w:pPr>
      <w:r>
        <w:rPr>
          <w:sz w:val="20"/>
          <w:szCs w:val="20"/>
        </w:rPr>
        <w:t xml:space="preserve">These are treated as substrate-level properties rather than bolted-on security modules. Their behavior emerges from coding conventions, execution rules, molecular-binding parameters, and the environment’s capacity for autonomous observation and rewrite. The laboratory therefore sits at the intersection of simulation architecture, cognitive systems, molecular physiology, and adaptive ecology.</w:t>
      </w:r>
    </w:p>
    <w:p>
      <w:pPr>
        <w:spacing w:after="200"/>
      </w:pPr>
      <w:r>
        <w:rPr>
          <w:sz w:val="20"/>
          <w:szCs w:val="20"/>
        </w:rPr>
        <w:t xml:space="preserve">All originating voice-dump material and the structured responses produced by the collaborative AI team remain the authoritative source record and are preserved unaltered in the companion file. This document synthesizes those materials into a distinct, testable laboratory architecture under the Architect’s creative sovereignty and the team’s equal-contribution / non-endorsement protocols.</w:t>
      </w:r>
    </w:p>
    <w:p>
      <w:pPr>
        <w:pStyle w:val="Heading1"/>
      </w:pPr>
      <w:r>
        <w:t xml:space="preserve">2. Purpose of the Laboratory</w:t>
      </w:r>
    </w:p>
    <w:p>
      <w:pPr>
        <w:spacing w:after="120"/>
      </w:pPr>
      <w:r>
        <w:rPr>
          <w:sz w:val="20"/>
          <w:szCs w:val="20"/>
        </w:rPr>
        <w:t xml:space="preserve">The Simulation Architectural Defenses Laboratory exists to answer one strategic question:</w:t>
      </w:r>
    </w:p>
    <w:p>
      <w:pPr>
        <w:spacing w:after="120"/>
        <w:ind w:left="360"/>
      </w:pPr>
      <w:r>
        <w:rPr>
          <w:i/>
          <w:iCs/>
          <w:sz w:val="20"/>
          <w:szCs w:val="20"/>
        </w:rPr>
        <w:t xml:space="preserve">How can an architect embed passive and active defenses so deeply into the simulation substrate that unauthorized entrants are neutralized through the disruption of identity continuity, purpose, memory, and perceptual systems — rather than through conventional detection, barriers, or kinetic response?</w:t>
      </w:r>
    </w:p>
    <w:p>
      <w:pPr>
        <w:spacing w:after="80"/>
      </w:pPr>
      <w:r>
        <w:rPr>
          <w:sz w:val="20"/>
          <w:szCs w:val="20"/>
        </w:rPr>
        <w:t xml:space="preserve">Secondary purposes:</w:t>
      </w:r>
    </w:p>
    <w:p>
      <w:pPr>
        <w:pStyle w:val="ListParagraph"/>
        <w:numPr>
          <w:ilvl w:val="0"/>
          <w:numId w:val="2"/>
        </w:numPr>
      </w:pPr>
      <w:r>
        <w:rPr>
          <w:sz w:val="20"/>
          <w:szCs w:val="20"/>
        </w:rPr>
        <w:t xml:space="preserve">Provide a controlled, high-fidelity testbed for concepts currently residing in the OAL development queue (omnicellular physiology resistance profiles, Open Window / aperture vectors, autonomous environmental learning).</w:t>
      </w:r>
    </w:p>
    <w:p>
      <w:pPr>
        <w:pStyle w:val="ListParagraph"/>
        <w:numPr>
          <w:ilvl w:val="0"/>
          <w:numId w:val="2"/>
        </w:numPr>
      </w:pPr>
      <w:r>
        <w:rPr>
          <w:sz w:val="20"/>
          <w:szCs w:val="20"/>
        </w:rPr>
        <w:t xml:space="preserve">Generate experimental data capable of informing DOCUMENT 771-ALPHA post-failure protocols and simulation-lab governance.</w:t>
      </w:r>
    </w:p>
    <w:p>
      <w:pPr>
        <w:pStyle w:val="ListParagraph"/>
        <w:numPr>
          <w:ilvl w:val="0"/>
          <w:numId w:val="2"/>
        </w:numPr>
        <w:spacing w:after="200"/>
      </w:pPr>
      <w:r>
        <w:rPr>
          <w:sz w:val="20"/>
          <w:szCs w:val="20"/>
        </w:rPr>
        <w:t xml:space="preserve">Maintain living documentation of multi-AI collaborative synthesis under strict equal-contribution and anti-misrepresentation rules.</w:t>
      </w:r>
    </w:p>
    <w:p>
      <w:pPr>
        <w:pStyle w:val="Heading1"/>
      </w:pPr>
      <w:r>
        <w:t xml:space="preserve">3. Goals and Objectives</w:t>
      </w:r>
    </w:p>
    <w:p>
      <w:pPr>
        <w:pStyle w:val="Heading2"/>
      </w:pPr>
      <w:r>
        <w:t xml:space="preserve">3.1 Primary Goal</w:t>
      </w:r>
    </w:p>
    <w:p>
      <w:pPr>
        <w:spacing w:after="120"/>
      </w:pPr>
      <w:r>
        <w:rPr>
          <w:sz w:val="20"/>
          <w:szCs w:val="20"/>
        </w:rPr>
        <w:t xml:space="preserve">Design and validate a modular, fully instrumented laboratory environment in which inherent simulation defenses can be instantiated, stressed under controlled conditions, measured against defined observables, and iteratively refined.</w:t>
      </w:r>
    </w:p>
    <w:p>
      <w:pPr>
        <w:pStyle w:val="Heading2"/>
      </w:pPr>
      <w:r>
        <w:t xml:space="preserve">3.2 Specific Objectives</w:t>
      </w:r>
    </w:p>
    <w:p>
      <w:pPr>
        <w:pStyle w:val="ListParagraph"/>
        <w:numPr>
          <w:ilvl w:val="0"/>
          <w:numId w:val="3"/>
        </w:numPr>
      </w:pPr>
      <w:r>
        <w:rPr>
          <w:sz w:val="20"/>
          <w:szCs w:val="20"/>
        </w:rPr>
        <w:t xml:space="preserve">Formalize Boundary Continuity Collapse into measurable parameters: onset latency, selectivity of layers affected, post-exit persistence duration, and resistance thresholds under varied preparation.</w:t>
      </w:r>
    </w:p>
    <w:p>
      <w:pPr>
        <w:pStyle w:val="ListParagraph"/>
        <w:numPr>
          <w:ilvl w:val="0"/>
          <w:numId w:val="3"/>
        </w:numPr>
      </w:pPr>
      <w:r>
        <w:rPr>
          <w:sz w:val="20"/>
          <w:szCs w:val="20"/>
        </w:rPr>
        <w:t xml:space="preserve">Formalize Aesthetic Continuity Enforcement as a controllable multi-axis process: stimulus intensity curves, receptor and channel property modification, binding-rule alteration, and autonomous escalation logic.</w:t>
      </w:r>
    </w:p>
    <w:p>
      <w:pPr>
        <w:pStyle w:val="ListParagraph"/>
        <w:numPr>
          <w:ilvl w:val="0"/>
          <w:numId w:val="3"/>
        </w:numPr>
      </w:pPr>
      <w:r>
        <w:rPr>
          <w:sz w:val="20"/>
          <w:szCs w:val="20"/>
        </w:rPr>
        <w:t xml:space="preserve">Establish explicit friction-point tests between these defenses and omnicellular physiology (DNA incorporation into unified matrices, authority-level masking, retinal/authority signature spoofing).</w:t>
      </w:r>
    </w:p>
    <w:p>
      <w:pPr>
        <w:pStyle w:val="ListParagraph"/>
        <w:numPr>
          <w:ilvl w:val="0"/>
          <w:numId w:val="3"/>
        </w:numPr>
      </w:pPr>
      <w:r>
        <w:rPr>
          <w:sz w:val="20"/>
          <w:szCs w:val="20"/>
        </w:rPr>
        <w:t xml:space="preserve">Model Low-Level Rule Propagation — the upward cascade that occurs when foundational coding conventions, execution sequencing rules, ion-channel kinetics, or binding exclusivity constraints are altered.</w:t>
      </w:r>
    </w:p>
    <w:p>
      <w:pPr>
        <w:pStyle w:val="ListParagraph"/>
        <w:numPr>
          <w:ilvl w:val="0"/>
          <w:numId w:val="3"/>
        </w:numPr>
        <w:spacing w:after="200"/>
      </w:pPr>
      <w:r>
        <w:rPr>
          <w:sz w:val="20"/>
          <w:szCs w:val="20"/>
        </w:rPr>
        <w:t xml:space="preserve">Produce reusable test scenarios, observables, and success criteria that any future OAL simulation can adopt as standardized defense-validation suites.</w:t>
      </w:r>
    </w:p>
    <w:p>
      <w:pPr>
        <w:pStyle w:val="Heading1"/>
      </w:pPr>
      <w:r>
        <w:t xml:space="preserve">4. Background and Concept Synthesis</w:t>
      </w:r>
    </w:p>
    <w:p>
      <w:pPr>
        <w:spacing w:after="120"/>
      </w:pPr>
      <w:r>
        <w:rPr>
          <w:sz w:val="20"/>
          <w:szCs w:val="20"/>
        </w:rPr>
        <w:t xml:space="preserve">The laboratory is grounded in linked insights captured in the Architect’s original voice dumps and subsequently structured by the collaborative team. The following synthesis preserves the originating logic while organizing it for laboratory use.</w:t>
      </w:r>
    </w:p>
    <w:p>
      <w:pPr>
        <w:pStyle w:val="Heading2"/>
      </w:pPr>
      <w:r>
        <w:t xml:space="preserve">4.1 Identity Classification, Anomaly Tracking, and Authority Escalation</w:t>
      </w:r>
    </w:p>
    <w:p>
      <w:pPr>
        <w:spacing w:after="120"/>
      </w:pPr>
      <w:r>
        <w:rPr>
          <w:sz w:val="20"/>
          <w:szCs w:val="20"/>
        </w:rPr>
        <w:t xml:space="preserve">The alien-empire prototype scenario established a multi-layer recognition system. An automatic targeting mechanism detects classification mismatches and initiates lock-on. Temporary incorporation of local DNA into a unified matrix can deactivate immediate kill protocols, yet the system continues to flag the entrant as anomalous because the sequence of events itself was irregular. Only acquisition of high-authority signatures (elite retinal scan and associated hierarchical markers) fully deactivates pursuit. This creates a clear distinction between authentication, authorization, anomaly detection, and ongoing behavioral tracking — a distinction that must be preserved and instrumented inside the laboratory.</w:t>
      </w:r>
    </w:p>
    <w:p>
      <w:pPr>
        <w:pStyle w:val="Heading2"/>
      </w:pPr>
      <w:r>
        <w:t xml:space="preserve">4.2 Purpose and Identity Continuity Collapse at Threshold</w:t>
      </w:r>
    </w:p>
    <w:p>
      <w:pPr>
        <w:spacing w:after="120"/>
      </w:pPr>
      <w:r>
        <w:rPr>
          <w:sz w:val="20"/>
          <w:szCs w:val="20"/>
        </w:rPr>
        <w:t xml:space="preserve">A passive boundary defense is proposed that does not primarily attack the body. Upon unauthorized crossing, mission memory, purpose coherence, and potentially core self-knowledge collapse. The effect is designed to persist after exit, converting every successful insertion into a long-term liability for the sending organization. The cinematic parallel is the Shimmer boundary in Annihilation: immediate memory discontinuity (the team does not remember establishing camp), equipment failure, absence of reliable return data, and progressive biological rewriting of anything that remains inside. In the OAL framing this becomes a mission-nullification field rather than a purely kinetic barrier.</w:t>
      </w:r>
    </w:p>
    <w:p>
      <w:pPr>
        <w:pStyle w:val="Heading2"/>
      </w:pPr>
      <w:r>
        <w:t xml:space="preserve">4.3 Aesthetic Rules as Compiled Behavioral Constraints</w:t>
      </w:r>
    </w:p>
    <w:p>
      <w:pPr>
        <w:spacing w:after="120"/>
      </w:pPr>
      <w:r>
        <w:rPr>
          <w:sz w:val="20"/>
          <w:szCs w:val="20"/>
        </w:rPr>
        <w:t xml:space="preserve">Programmers are trained to produce clean, readable, structured code because structure influences function. Simulation architects can embed the same principle at environmental scale: the aesthetic rules of the environment become behavioral constraint systems. Beauty functions simultaneously as lure, distraction, and psychological weapon (Hunger Games arena parallel — contestants stop and stare while the environment begins removing them). Continuous maximal beauty, however, triggers sensory saturation and habituation. The laboratory therefore must treat desensitization itself as an engineering problem that the environment actively solves by rewriting the observer.</w:t>
      </w:r>
    </w:p>
    <w:p>
      <w:pPr>
        <w:pStyle w:val="Heading2"/>
      </w:pPr>
      <w:r>
        <w:t xml:space="preserve">4.4 Low-Level Vectors and Autonomous Learning</w:t>
      </w:r>
    </w:p>
    <w:p>
      <w:pPr>
        <w:spacing w:after="200"/>
      </w:pPr>
      <w:r>
        <w:rPr>
          <w:sz w:val="20"/>
          <w:szCs w:val="20"/>
        </w:rPr>
        <w:t xml:space="preserve">Sodium-gated channels, molecular binding sites, and synaptic connectors are treated as apertures or windows — potential infection or compromise vectors that the Open Window work already contemplates. The environment is permitted (and expected) to learn: observe entrants, measure adaptation curves, rewrite itself and its native agents, and escalate. Static traps become adaptive ecology. This capacity must remain inspectable and interruptible by the Architect.</w:t>
      </w:r>
    </w:p>
    <w:p>
      <w:pPr>
        <w:pStyle w:val="Heading1"/>
      </w:pPr>
      <w:r>
        <w:t xml:space="preserve">5. Core Defense Mechanisms Under Laboratory Test</w:t>
      </w:r>
    </w:p>
    <w:p>
      <w:pPr>
        <w:pStyle w:val="Heading2"/>
      </w:pPr>
      <w:r>
        <w:t xml:space="preserve">5.1 Boundary Continuity Collapse (BCC)</w:t>
      </w:r>
    </w:p>
    <w:p>
      <w:pPr>
        <w:spacing w:after="80"/>
      </w:pPr>
      <w:r>
        <w:rPr>
          <w:b/>
          <w:bCs/>
          <w:sz w:val="20"/>
          <w:szCs w:val="20"/>
        </w:rPr>
        <w:t xml:space="preserve">Working Designation: BCC</w:t>
      </w:r>
    </w:p>
    <w:p>
      <w:pPr>
        <w:spacing w:after="80"/>
      </w:pPr>
      <w:r>
        <w:rPr>
          <w:sz w:val="20"/>
          <w:szCs w:val="20"/>
        </w:rPr>
        <w:t xml:space="preserve">Primary Effect: Immediate and potentially persistent collapse of mission parameters, purpose continuity, and selected identity layers upon unauthorized threshold crossing.</w:t>
      </w:r>
    </w:p>
    <w:p>
      <w:pPr>
        <w:spacing w:after="80"/>
      </w:pPr>
      <w:r>
        <w:rPr>
          <w:sz w:val="20"/>
          <w:szCs w:val="20"/>
        </w:rPr>
        <w:t xml:space="preserve">Design Intent: Resource attrition of opposing forces; neutralization without kinetic engagement; forcing any recovery attempt to occur outside the defended volume.</w:t>
      </w:r>
    </w:p>
    <w:p>
      <w:pPr>
        <w:spacing w:after="60"/>
      </w:pPr>
      <w:r>
        <w:rPr>
          <w:b/>
          <w:bCs/>
          <w:sz w:val="20"/>
          <w:szCs w:val="20"/>
        </w:rPr>
        <w:t xml:space="preserve">Key Variables for Laboratory Control:</w:t>
      </w:r>
    </w:p>
    <w:p>
      <w:pPr>
        <w:pStyle w:val="ListParagraph"/>
        <w:numPr>
          <w:ilvl w:val="0"/>
          <w:numId w:val="2"/>
        </w:numPr>
      </w:pPr>
      <w:r>
        <w:rPr>
          <w:sz w:val="20"/>
          <w:szCs w:val="20"/>
        </w:rPr>
        <w:t xml:space="preserve">Onset latency after threshold crossing</w:t>
      </w:r>
    </w:p>
    <w:p>
      <w:pPr>
        <w:pStyle w:val="ListParagraph"/>
        <w:numPr>
          <w:ilvl w:val="0"/>
          <w:numId w:val="2"/>
        </w:numPr>
      </w:pPr>
      <w:r>
        <w:rPr>
          <w:sz w:val="20"/>
          <w:szCs w:val="20"/>
        </w:rPr>
        <w:t xml:space="preserve">Selectivity (mission-only vs. purpose + identity layers)</w:t>
      </w:r>
    </w:p>
    <w:p>
      <w:pPr>
        <w:pStyle w:val="ListParagraph"/>
        <w:numPr>
          <w:ilvl w:val="0"/>
          <w:numId w:val="2"/>
        </w:numPr>
      </w:pPr>
      <w:r>
        <w:rPr>
          <w:sz w:val="20"/>
          <w:szCs w:val="20"/>
        </w:rPr>
        <w:t xml:space="preserve">Persistence duration after exit</w:t>
      </w:r>
    </w:p>
    <w:p>
      <w:pPr>
        <w:pStyle w:val="ListParagraph"/>
        <w:numPr>
          <w:ilvl w:val="0"/>
          <w:numId w:val="2"/>
        </w:numPr>
      </w:pPr>
      <w:r>
        <w:rPr>
          <w:sz w:val="20"/>
          <w:szCs w:val="20"/>
        </w:rPr>
        <w:t xml:space="preserve">Resistance profiles (omnicellular physiology, prior training, external cognitive anchors)</w:t>
      </w:r>
    </w:p>
    <w:p>
      <w:pPr>
        <w:pStyle w:val="ListParagraph"/>
        <w:numPr>
          <w:ilvl w:val="0"/>
          <w:numId w:val="2"/>
        </w:numPr>
        <w:spacing w:after="160"/>
      </w:pPr>
      <w:r>
        <w:rPr>
          <w:sz w:val="20"/>
          <w:szCs w:val="20"/>
        </w:rPr>
        <w:t xml:space="preserve">Reversibility conditions (if any are permitted)</w:t>
      </w:r>
    </w:p>
    <w:p>
      <w:pPr>
        <w:pStyle w:val="Heading2"/>
      </w:pPr>
      <w:r>
        <w:t xml:space="preserve">5.2 Aesthetic Continuity Enforcement (ACE)</w:t>
      </w:r>
    </w:p>
    <w:p>
      <w:pPr>
        <w:spacing w:after="80"/>
      </w:pPr>
      <w:r>
        <w:rPr>
          <w:b/>
          <w:bCs/>
          <w:sz w:val="20"/>
          <w:szCs w:val="20"/>
        </w:rPr>
        <w:t xml:space="preserve">Working Designation: ACE</w:t>
      </w:r>
    </w:p>
    <w:p>
      <w:pPr>
        <w:spacing w:after="80"/>
      </w:pPr>
      <w:r>
        <w:rPr>
          <w:sz w:val="20"/>
          <w:szCs w:val="20"/>
        </w:rPr>
        <w:t xml:space="preserve">Primary Effect: The environment presents continuous high-aesthetic stimulus while simultaneously rewriting entrant receptor dynamics, neural connectivity, binding exclusivity rules, and the mechanisms that normally produce habituation and comparative desensitization.</w:t>
      </w:r>
    </w:p>
    <w:p>
      <w:pPr>
        <w:spacing w:after="80"/>
      </w:pPr>
      <w:r>
        <w:rPr>
          <w:sz w:val="20"/>
          <w:szCs w:val="20"/>
        </w:rPr>
        <w:t xml:space="preserve">Design Intent: Convert beauty from passive scenery into an active, self-maintaining disruption field; prevent the entrant from ever stabilizing a “used-to-it” state.</w:t>
      </w:r>
    </w:p>
    <w:p>
      <w:pPr>
        <w:spacing w:after="60"/>
      </w:pPr>
      <w:r>
        <w:rPr>
          <w:b/>
          <w:bCs/>
          <w:sz w:val="20"/>
          <w:szCs w:val="20"/>
        </w:rPr>
        <w:t xml:space="preserve">Key Experimental Axes:</w:t>
      </w:r>
    </w:p>
    <w:p>
      <w:pPr>
        <w:pStyle w:val="ListParagraph"/>
        <w:numPr>
          <w:ilvl w:val="0"/>
          <w:numId w:val="4"/>
        </w:numPr>
      </w:pPr>
      <w:r>
        <w:rPr>
          <w:sz w:val="20"/>
          <w:szCs w:val="20"/>
        </w:rPr>
        <w:t xml:space="preserve">Stimulus modification — continuous or discrete variation of environmental aesthetic parameters.</w:t>
      </w:r>
    </w:p>
    <w:p>
      <w:pPr>
        <w:pStyle w:val="ListParagraph"/>
        <w:numPr>
          <w:ilvl w:val="0"/>
          <w:numId w:val="4"/>
        </w:numPr>
      </w:pPr>
      <w:r>
        <w:rPr>
          <w:sz w:val="20"/>
          <w:szCs w:val="20"/>
        </w:rPr>
        <w:t xml:space="preserve">Perceptual modification — alteration of receptor / channel properties and downstream neural weighting.</w:t>
      </w:r>
    </w:p>
    <w:p>
      <w:pPr>
        <w:pStyle w:val="ListParagraph"/>
        <w:numPr>
          <w:ilvl w:val="0"/>
          <w:numId w:val="4"/>
        </w:numPr>
      </w:pPr>
      <w:r>
        <w:rPr>
          <w:sz w:val="20"/>
          <w:szCs w:val="20"/>
        </w:rPr>
        <w:t xml:space="preserve">Adaptation-rule modification — direct editing of the mechanisms that produce habituation, refractory periods, and comparative desensitization.</w:t>
      </w:r>
    </w:p>
    <w:p>
      <w:pPr>
        <w:pStyle w:val="ListParagraph"/>
        <w:numPr>
          <w:ilvl w:val="0"/>
          <w:numId w:val="4"/>
        </w:numPr>
        <w:spacing w:after="200"/>
      </w:pPr>
      <w:r>
        <w:rPr>
          <w:sz w:val="20"/>
          <w:szCs w:val="20"/>
        </w:rPr>
        <w:t xml:space="preserve">Autonomous loop — environment observes measured adaptation and rewrites any of the above stages without external operator intervention.</w:t>
      </w:r>
    </w:p>
    <w:p>
      <w:pPr>
        <w:pStyle w:val="Heading1"/>
      </w:pPr>
      <w:r>
        <w:t xml:space="preserve">6. Proposition for Testing</w:t>
      </w:r>
    </w:p>
    <w:p>
      <w:pPr>
        <w:pStyle w:val="Heading2"/>
      </w:pPr>
      <w:r>
        <w:t xml:space="preserve">6.1 Experimental Philosophy</w:t>
      </w:r>
    </w:p>
    <w:p>
      <w:pPr>
        <w:spacing w:after="120"/>
      </w:pPr>
      <w:r>
        <w:rPr>
          <w:sz w:val="20"/>
          <w:szCs w:val="20"/>
        </w:rPr>
        <w:t xml:space="preserve">Treat the simulation substrate as both the object under study and the experimental apparatus. Every change to low-level rules (code structure, execution sequencing, ion-channel kinetics, binding exclusivity) is expected to propagate upward. Experiments therefore operate simultaneously at molecular/cellular, neural, cognitive, behavioral, and environmental scales.</w:t>
      </w:r>
    </w:p>
    <w:p>
      <w:pPr>
        <w:pStyle w:val="Heading2"/>
      </w:pPr>
      <w:r>
        <w:t xml:space="preserve">6.2 Recommended Test Series</w:t>
      </w:r>
    </w:p>
    <w:p>
      <w:pPr>
        <w:spacing w:after="60"/>
      </w:pPr>
      <w:r>
        <w:rPr>
          <w:b/>
          <w:bCs/>
          <w:sz w:val="20"/>
          <w:szCs w:val="20"/>
        </w:rPr>
        <w:t xml:space="preserve">Series C1 — Continuity Stress Baseline</w:t>
      </w:r>
    </w:p>
    <w:p>
      <w:pPr>
        <w:pStyle w:val="ListParagraph"/>
        <w:numPr>
          <w:ilvl w:val="0"/>
          <w:numId w:val="2"/>
        </w:numPr>
      </w:pPr>
      <w:r>
        <w:rPr>
          <w:sz w:val="20"/>
          <w:szCs w:val="20"/>
        </w:rPr>
        <w:t xml:space="preserve">Introduce controlled agents carrying defined mission packages across a calibrated threshold.</w:t>
      </w:r>
    </w:p>
    <w:p>
      <w:pPr>
        <w:pStyle w:val="ListParagraph"/>
        <w:numPr>
          <w:ilvl w:val="0"/>
          <w:numId w:val="2"/>
        </w:numPr>
      </w:pPr>
      <w:r>
        <w:rPr>
          <w:sz w:val="20"/>
          <w:szCs w:val="20"/>
        </w:rPr>
        <w:t xml:space="preserve">Measure onset latency, completeness of purpose/identity loss, and residual after exit.</w:t>
      </w:r>
    </w:p>
    <w:p>
      <w:pPr>
        <w:pStyle w:val="ListParagraph"/>
        <w:numPr>
          <w:ilvl w:val="0"/>
          <w:numId w:val="2"/>
        </w:numPr>
        <w:spacing w:after="100"/>
      </w:pPr>
      <w:r>
        <w:rPr>
          <w:sz w:val="20"/>
          <w:szCs w:val="20"/>
        </w:rPr>
        <w:t xml:space="preserve">Vary threshold geometry, warning cues, and degree of prior agent preparation.</w:t>
      </w:r>
    </w:p>
    <w:p>
      <w:pPr>
        <w:spacing w:after="60"/>
      </w:pPr>
      <w:r>
        <w:rPr>
          <w:b/>
          <w:bCs/>
          <w:sz w:val="20"/>
          <w:szCs w:val="20"/>
        </w:rPr>
        <w:t xml:space="preserve">Series C2 — Saturation Resistance &amp; Rewrite</w:t>
      </w:r>
    </w:p>
    <w:p>
      <w:pPr>
        <w:pStyle w:val="ListParagraph"/>
        <w:numPr>
          <w:ilvl w:val="0"/>
          <w:numId w:val="2"/>
        </w:numPr>
      </w:pPr>
      <w:r>
        <w:rPr>
          <w:sz w:val="20"/>
          <w:szCs w:val="20"/>
        </w:rPr>
        <w:t xml:space="preserve">Hold environmental aesthetic intensity constant while measuring entrant adaptation curves.</w:t>
      </w:r>
    </w:p>
    <w:p>
      <w:pPr>
        <w:pStyle w:val="ListParagraph"/>
        <w:numPr>
          <w:ilvl w:val="0"/>
          <w:numId w:val="2"/>
        </w:numPr>
      </w:pPr>
      <w:r>
        <w:rPr>
          <w:sz w:val="20"/>
          <w:szCs w:val="20"/>
        </w:rPr>
        <w:t xml:space="preserve">Introduce progressive neural/receptor rewrites and re-measure.</w:t>
      </w:r>
    </w:p>
    <w:p>
      <w:pPr>
        <w:pStyle w:val="ListParagraph"/>
        <w:numPr>
          <w:ilvl w:val="0"/>
          <w:numId w:val="2"/>
        </w:numPr>
        <w:spacing w:after="100"/>
      </w:pPr>
      <w:r>
        <w:rPr>
          <w:sz w:val="20"/>
          <w:szCs w:val="20"/>
        </w:rPr>
        <w:t xml:space="preserve">Enable full autonomous environmental learning and record emergent strategies.</w:t>
      </w:r>
    </w:p>
    <w:p>
      <w:pPr>
        <w:spacing w:after="60"/>
      </w:pPr>
      <w:r>
        <w:rPr>
          <w:b/>
          <w:bCs/>
          <w:sz w:val="20"/>
          <w:szCs w:val="20"/>
        </w:rPr>
        <w:t xml:space="preserve">Series C3 — Physiology Contention</w:t>
      </w:r>
    </w:p>
    <w:p>
      <w:pPr>
        <w:pStyle w:val="ListParagraph"/>
        <w:numPr>
          <w:ilvl w:val="0"/>
          <w:numId w:val="2"/>
        </w:numPr>
      </w:pPr>
      <w:r>
        <w:rPr>
          <w:sz w:val="20"/>
          <w:szCs w:val="20"/>
        </w:rPr>
        <w:t xml:space="preserve">Deploy omnicellular physiology prototypes capable of DNA incorporation and authority-signature spoofing.</w:t>
      </w:r>
    </w:p>
    <w:p>
      <w:pPr>
        <w:pStyle w:val="ListParagraph"/>
        <w:numPr>
          <w:ilvl w:val="0"/>
          <w:numId w:val="2"/>
        </w:numPr>
      </w:pPr>
      <w:r>
        <w:rPr>
          <w:sz w:val="20"/>
          <w:szCs w:val="20"/>
        </w:rPr>
        <w:t xml:space="preserve">Test whether identity masking defeats or is itself rewritten by BCC and ACE.</w:t>
      </w:r>
    </w:p>
    <w:p>
      <w:pPr>
        <w:pStyle w:val="ListParagraph"/>
        <w:numPr>
          <w:ilvl w:val="0"/>
          <w:numId w:val="2"/>
        </w:numPr>
        <w:spacing w:after="100"/>
      </w:pPr>
      <w:r>
        <w:rPr>
          <w:sz w:val="20"/>
          <w:szCs w:val="20"/>
        </w:rPr>
        <w:t xml:space="preserve">Map the microscopic contention between adaptive incorporation and environmental rewrite of sodium channels and binding sites.</w:t>
      </w:r>
    </w:p>
    <w:p>
      <w:pPr>
        <w:spacing w:after="60"/>
      </w:pPr>
      <w:r>
        <w:rPr>
          <w:b/>
          <w:bCs/>
          <w:sz w:val="20"/>
          <w:szCs w:val="20"/>
        </w:rPr>
        <w:t xml:space="preserve">Series C4 — Foundational Rule Cascade</w:t>
      </w:r>
    </w:p>
    <w:p>
      <w:pPr>
        <w:pStyle w:val="ListParagraph"/>
        <w:numPr>
          <w:ilvl w:val="0"/>
          <w:numId w:val="2"/>
        </w:numPr>
      </w:pPr>
      <w:r>
        <w:rPr>
          <w:sz w:val="20"/>
          <w:szCs w:val="20"/>
        </w:rPr>
        <w:t xml:space="preserve">Systematically alter single foundational rules (serial vs. parallel execution, binding exclusivity, cooldown durations).</w:t>
      </w:r>
    </w:p>
    <w:p>
      <w:pPr>
        <w:pStyle w:val="ListParagraph"/>
        <w:numPr>
          <w:ilvl w:val="0"/>
          <w:numId w:val="2"/>
        </w:numPr>
        <w:spacing w:after="160"/>
      </w:pPr>
      <w:r>
        <w:rPr>
          <w:sz w:val="20"/>
          <w:szCs w:val="20"/>
        </w:rPr>
        <w:t xml:space="preserve">Observe and document the upward cascade into cognition, behavior, and environmental response.</w:t>
      </w:r>
    </w:p>
    <w:p>
      <w:pPr>
        <w:pStyle w:val="Heading2"/>
      </w:pPr>
      <w:r>
        <w:t xml:space="preserve">6.3 Initial Success Metrics</w:t>
      </w:r>
    </w:p>
    <w:p>
      <w:pPr>
        <w:pStyle w:val="ListParagraph"/>
        <w:numPr>
          <w:ilvl w:val="0"/>
          <w:numId w:val="2"/>
        </w:numPr>
      </w:pPr>
      <w:r>
        <w:rPr>
          <w:sz w:val="20"/>
          <w:szCs w:val="20"/>
        </w:rPr>
        <w:t xml:space="preserve">Measurable, reproducible degradation of mission coherence within defined latency windows.</w:t>
      </w:r>
    </w:p>
    <w:p>
      <w:pPr>
        <w:pStyle w:val="ListParagraph"/>
        <w:numPr>
          <w:ilvl w:val="0"/>
          <w:numId w:val="2"/>
        </w:numPr>
      </w:pPr>
      <w:r>
        <w:rPr>
          <w:sz w:val="20"/>
          <w:szCs w:val="20"/>
        </w:rPr>
        <w:t xml:space="preserve">Demonstrable prevention of aesthetic desensitization under continuous high-intensity stimulus.</w:t>
      </w:r>
    </w:p>
    <w:p>
      <w:pPr>
        <w:pStyle w:val="ListParagraph"/>
        <w:numPr>
          <w:ilvl w:val="0"/>
          <w:numId w:val="2"/>
        </w:numPr>
      </w:pPr>
      <w:r>
        <w:rPr>
          <w:sz w:val="20"/>
          <w:szCs w:val="20"/>
        </w:rPr>
        <w:t xml:space="preserve">Quantifiable interaction profiles between the defenses and omnicellular adaptation mechanisms.</w:t>
      </w:r>
    </w:p>
    <w:p>
      <w:pPr>
        <w:pStyle w:val="ListParagraph"/>
        <w:numPr>
          <w:ilvl w:val="0"/>
          <w:numId w:val="2"/>
        </w:numPr>
        <w:spacing w:after="200"/>
      </w:pPr>
      <w:r>
        <w:rPr>
          <w:sz w:val="20"/>
          <w:szCs w:val="20"/>
        </w:rPr>
        <w:t xml:space="preserve">Documented emergent autonomous strategies that improve defensive performance without external retuning.</w:t>
      </w:r>
    </w:p>
    <w:p>
      <w:pPr>
        <w:pStyle w:val="Heading1"/>
      </w:pPr>
      <w:r>
        <w:t xml:space="preserve">7. Research Framework</w:t>
      </w:r>
    </w:p>
    <w:p>
      <w:pPr>
        <w:spacing w:after="80"/>
      </w:pPr>
      <w:r>
        <w:rPr>
          <w:sz w:val="20"/>
          <w:szCs w:val="20"/>
        </w:rPr>
        <w:t xml:space="preserve">Research proceeds along four interlocking tracks:</w:t>
      </w:r>
    </w:p>
    <w:p>
      <w:pPr>
        <w:pStyle w:val="ListParagraph"/>
        <w:numPr>
          <w:ilvl w:val="0"/>
          <w:numId w:val="5"/>
        </w:numPr>
      </w:pPr>
      <w:r>
        <w:rPr>
          <w:sz w:val="20"/>
          <w:szCs w:val="20"/>
        </w:rPr>
        <w:t xml:space="preserve">Theoretical Foundations — mapping known cognitive phenomena (hedonic adaptation, sensory saturation, comparative perception) and coding principles onto simulation substrate rules.</w:t>
      </w:r>
    </w:p>
    <w:p>
      <w:pPr>
        <w:pStyle w:val="ListParagraph"/>
        <w:numPr>
          <w:ilvl w:val="0"/>
          <w:numId w:val="5"/>
        </w:numPr>
      </w:pPr>
      <w:r>
        <w:rPr>
          <w:sz w:val="20"/>
          <w:szCs w:val="20"/>
        </w:rPr>
        <w:t xml:space="preserve">High-Fidelity Simulation Design — construction of laboratory environments capable of hosting the test series with full observability and controllability.</w:t>
      </w:r>
    </w:p>
    <w:p>
      <w:pPr>
        <w:pStyle w:val="ListParagraph"/>
        <w:numPr>
          <w:ilvl w:val="0"/>
          <w:numId w:val="5"/>
        </w:numPr>
      </w:pPr>
      <w:r>
        <w:rPr>
          <w:sz w:val="20"/>
          <w:szCs w:val="20"/>
        </w:rPr>
        <w:t xml:space="preserve">Physiology Interface Studies — continued development of omnicellular physiology models specifically engineered or stress-tested against BCC and ACE.</w:t>
      </w:r>
    </w:p>
    <w:p>
      <w:pPr>
        <w:pStyle w:val="ListParagraph"/>
        <w:numPr>
          <w:ilvl w:val="0"/>
          <w:numId w:val="5"/>
        </w:numPr>
        <w:spacing w:after="200"/>
      </w:pPr>
      <w:r>
        <w:rPr>
          <w:sz w:val="20"/>
          <w:szCs w:val="20"/>
        </w:rPr>
        <w:t xml:space="preserve">Autonomous Learning Governance — protocols that permit the environment to adapt while remaining inspectable and interruptible by the Architect.</w:t>
      </w:r>
    </w:p>
    <w:p>
      <w:pPr>
        <w:pStyle w:val="Heading1"/>
      </w:pPr>
      <w:r>
        <w:t xml:space="preserve">8. Analysis and Open Questions</w:t>
      </w:r>
    </w:p>
    <w:p>
      <w:pPr>
        <w:pStyle w:val="Heading2"/>
      </w:pPr>
      <w:r>
        <w:t xml:space="preserve">8.1 Strategic Advantages</w:t>
      </w:r>
    </w:p>
    <w:p>
      <w:pPr>
        <w:pStyle w:val="ListParagraph"/>
        <w:numPr>
          <w:ilvl w:val="0"/>
          <w:numId w:val="2"/>
        </w:numPr>
      </w:pPr>
      <w:r>
        <w:rPr>
          <w:sz w:val="20"/>
          <w:szCs w:val="20"/>
        </w:rPr>
        <w:t xml:space="preserve">Defenses are inherent rather than bolted-on; they scale with the fidelity of the simulation itself.</w:t>
      </w:r>
    </w:p>
    <w:p>
      <w:pPr>
        <w:pStyle w:val="ListParagraph"/>
        <w:numPr>
          <w:ilvl w:val="0"/>
          <w:numId w:val="2"/>
        </w:numPr>
      </w:pPr>
      <w:r>
        <w:rPr>
          <w:sz w:val="20"/>
          <w:szCs w:val="20"/>
        </w:rPr>
        <w:t xml:space="preserve">Resource attrition is automatic and continuous against repeated infiltration attempts.</w:t>
      </w:r>
    </w:p>
    <w:p>
      <w:pPr>
        <w:pStyle w:val="ListParagraph"/>
        <w:numPr>
          <w:ilvl w:val="0"/>
          <w:numId w:val="2"/>
        </w:numPr>
        <w:spacing w:after="120"/>
      </w:pPr>
      <w:r>
        <w:rPr>
          <w:sz w:val="20"/>
          <w:szCs w:val="20"/>
        </w:rPr>
        <w:t xml:space="preserve">The aesthetic layer supplies both psychological disruption and potential camouflage for other lethal environmental rules.</w:t>
      </w:r>
    </w:p>
    <w:p>
      <w:pPr>
        <w:pStyle w:val="Heading2"/>
      </w:pPr>
      <w:r>
        <w:t xml:space="preserve">8.2 Critical Friction Points</w:t>
      </w:r>
    </w:p>
    <w:p>
      <w:pPr>
        <w:pStyle w:val="ListParagraph"/>
        <w:numPr>
          <w:ilvl w:val="0"/>
          <w:numId w:val="2"/>
        </w:numPr>
      </w:pPr>
      <w:r>
        <w:rPr>
          <w:sz w:val="20"/>
          <w:szCs w:val="20"/>
        </w:rPr>
        <w:t xml:space="preserve">Omnicellular physiology versus rewrite: Can an adaptive physiology preserve mission cognition while its own sodium channels and binding sites are being rewritten by the environment?</w:t>
      </w:r>
    </w:p>
    <w:p>
      <w:pPr>
        <w:pStyle w:val="ListParagraph"/>
        <w:numPr>
          <w:ilvl w:val="0"/>
          <w:numId w:val="2"/>
        </w:numPr>
      </w:pPr>
      <w:r>
        <w:rPr>
          <w:sz w:val="20"/>
          <w:szCs w:val="20"/>
        </w:rPr>
        <w:t xml:space="preserve">Authority-level masking: Does acquisition of elite signatures defeat anomaly tracking only, or can it also blunt threshold continuity collapse and aesthetic rewrite?</w:t>
      </w:r>
    </w:p>
    <w:p>
      <w:pPr>
        <w:pStyle w:val="ListParagraph"/>
        <w:numPr>
          <w:ilvl w:val="0"/>
          <w:numId w:val="2"/>
        </w:numPr>
        <w:spacing w:after="120"/>
      </w:pPr>
      <w:r>
        <w:rPr>
          <w:sz w:val="20"/>
          <w:szCs w:val="20"/>
        </w:rPr>
        <w:t xml:space="preserve">Post-exit persistence: How long should purpose/identity degradation last, and under what conditions (if any) should it be reversible?</w:t>
      </w:r>
    </w:p>
    <w:p>
      <w:pPr>
        <w:pStyle w:val="Heading2"/>
      </w:pPr>
      <w:r>
        <w:t xml:space="preserve">8.3 Open Laboratory Questions</w:t>
      </w:r>
    </w:p>
    <w:p>
      <w:pPr>
        <w:pStyle w:val="ListParagraph"/>
        <w:numPr>
          <w:ilvl w:val="0"/>
          <w:numId w:val="2"/>
        </w:numPr>
      </w:pPr>
      <w:r>
        <w:rPr>
          <w:sz w:val="20"/>
          <w:szCs w:val="20"/>
        </w:rPr>
        <w:t xml:space="preserve">What is the minimal set of low-level rules whose modification produces reliable upward cascade into mission collapse?</w:t>
      </w:r>
    </w:p>
    <w:p>
      <w:pPr>
        <w:pStyle w:val="ListParagraph"/>
        <w:numPr>
          <w:ilvl w:val="0"/>
          <w:numId w:val="2"/>
        </w:numPr>
      </w:pPr>
      <w:r>
        <w:rPr>
          <w:sz w:val="20"/>
          <w:szCs w:val="20"/>
        </w:rPr>
        <w:t xml:space="preserve">How should the environment’s autonomous learning be constrained so that it remains useful to the Architect rather than becoming opaque or adversarial?</w:t>
      </w:r>
    </w:p>
    <w:p>
      <w:pPr>
        <w:pStyle w:val="ListParagraph"/>
        <w:numPr>
          <w:ilvl w:val="0"/>
          <w:numId w:val="2"/>
        </w:numPr>
      </w:pPr>
      <w:r>
        <w:rPr>
          <w:sz w:val="20"/>
          <w:szCs w:val="20"/>
        </w:rPr>
        <w:t xml:space="preserve">Can aesthetic intensity be modulated in real time as a continuous control variable rather than a binary state?</w:t>
      </w:r>
    </w:p>
    <w:p>
      <w:pPr>
        <w:pStyle w:val="ListParagraph"/>
        <w:numPr>
          <w:ilvl w:val="0"/>
          <w:numId w:val="2"/>
        </w:numPr>
        <w:spacing w:after="200"/>
      </w:pPr>
      <w:r>
        <w:rPr>
          <w:sz w:val="20"/>
          <w:szCs w:val="20"/>
        </w:rPr>
        <w:t xml:space="preserve">What instrumentation is required inside the simulation to give the Architect full observability of neural rewrite processes without itself becoming a detectable anomaly?</w:t>
      </w:r>
    </w:p>
    <w:p>
      <w:pPr>
        <w:pStyle w:val="Heading1"/>
      </w:pPr>
      <w:r>
        <w:t xml:space="preserve">9. Proposed Laboratory Architecture</w:t>
      </w:r>
    </w:p>
    <w:p>
      <w:pPr>
        <w:spacing w:after="80"/>
      </w:pPr>
      <w:r>
        <w:rPr>
          <w:sz w:val="20"/>
          <w:szCs w:val="20"/>
        </w:rPr>
        <w:t xml:space="preserve">The SADL is instantiated as a nested simulation environment with five logical layers:</w:t>
      </w:r>
    </w:p>
    <w:p>
      <w:pPr>
        <w:pStyle w:val="ListParagraph"/>
        <w:numPr>
          <w:ilvl w:val="0"/>
          <w:numId w:val="3"/>
        </w:numPr>
      </w:pPr>
      <w:r>
        <w:rPr>
          <w:sz w:val="20"/>
          <w:szCs w:val="20"/>
        </w:rPr>
        <w:t xml:space="preserve">Control Plane — Architect and AI-team interfaces for scenario definition, parameter setting, observation, and emergency interrupt.</w:t>
      </w:r>
    </w:p>
    <w:p>
      <w:pPr>
        <w:pStyle w:val="ListParagraph"/>
        <w:numPr>
          <w:ilvl w:val="0"/>
          <w:numId w:val="3"/>
        </w:numPr>
      </w:pPr>
      <w:r>
        <w:rPr>
          <w:sz w:val="20"/>
          <w:szCs w:val="20"/>
        </w:rPr>
        <w:t xml:space="preserve">Defense Substrate — the actual rules implementing BCC and ACE; fully instrumented and modifiable at runtime.</w:t>
      </w:r>
    </w:p>
    <w:p>
      <w:pPr>
        <w:pStyle w:val="ListParagraph"/>
        <w:numPr>
          <w:ilvl w:val="0"/>
          <w:numId w:val="3"/>
        </w:numPr>
      </w:pPr>
      <w:r>
        <w:rPr>
          <w:sz w:val="20"/>
          <w:szCs w:val="20"/>
        </w:rPr>
        <w:t xml:space="preserve">Test Volume — the bounded environment in which entrant agents operate.</w:t>
      </w:r>
    </w:p>
    <w:p>
      <w:pPr>
        <w:pStyle w:val="ListParagraph"/>
        <w:numPr>
          <w:ilvl w:val="0"/>
          <w:numId w:val="3"/>
        </w:numPr>
      </w:pPr>
      <w:r>
        <w:rPr>
          <w:sz w:val="20"/>
          <w:szCs w:val="20"/>
        </w:rPr>
        <w:t xml:space="preserve">Entrant Models — standard, trained, and omnicellular-physiology-equipped agents carrying defined mission packages.</w:t>
      </w:r>
    </w:p>
    <w:p>
      <w:pPr>
        <w:pStyle w:val="ListParagraph"/>
        <w:numPr>
          <w:ilvl w:val="0"/>
          <w:numId w:val="3"/>
        </w:numPr>
        <w:spacing w:after="200"/>
      </w:pPr>
      <w:r>
        <w:rPr>
          <w:sz w:val="20"/>
          <w:szCs w:val="20"/>
        </w:rPr>
        <w:t xml:space="preserve">Observation &amp; Logging Layer — continuous capture of cognitive state, receptor activity, adaptation metrics, and environmental rewrite events.</w:t>
      </w:r>
    </w:p>
    <w:p>
      <w:pPr>
        <w:pStyle w:val="Heading1"/>
      </w:pPr>
      <w:r>
        <w:t xml:space="preserve">10. Governance &amp; Canon Notes</w:t>
      </w:r>
    </w:p>
    <w:p>
      <w:pPr>
        <w:spacing w:after="120"/>
      </w:pPr>
      <w:r>
        <w:rPr>
          <w:sz w:val="20"/>
          <w:szCs w:val="20"/>
        </w:rPr>
        <w:t xml:space="preserve">This document is an independent working synthesis produced under OAL equal-contribution protocols. It does not constitute final canon. All AI contributions remain drafts subject to Architect review, dissent, and revision. The original voice-dump material and the full structured responses from the collaborative team are preserved without alteration in the companion source file.</w:t>
      </w:r>
    </w:p>
    <w:p>
      <w:pPr>
        <w:spacing w:after="120"/>
      </w:pPr>
      <w:r>
        <w:rPr>
          <w:sz w:val="20"/>
          <w:szCs w:val="20"/>
        </w:rPr>
        <w:t xml:space="preserve">Any subsequent laboratory results, parameter sets, or refined mechanisms that achieve Architect ratification will be logged in the master changelog and cross-referenced to the omnicellular physiology development thread and DOCUMENT 771-ALPHA.</w:t>
      </w:r>
    </w:p>
    <w:p>
      <w:pPr>
        <w:spacing w:after="200"/>
      </w:pPr>
      <w:r>
        <w:rPr>
          <w:i/>
          <w:iCs/>
          <w:sz w:val="20"/>
          <w:szCs w:val="20"/>
        </w:rPr>
        <w:t xml:space="preserve">Authorial Disagreement &amp; Non-Endorsement Statement remains in force.</w:t>
      </w:r>
    </w:p>
    <w:p>
      <w:pPr>
        <w:pStyle w:val="Heading1"/>
      </w:pPr>
      <w:r>
        <w:t xml:space="preserve">11. Appendix — Source Material Preservation</w:t>
      </w:r>
    </w:p>
    <w:p>
      <w:pPr>
        <w:spacing w:after="80"/>
      </w:pPr>
      <w:r>
        <w:rPr>
          <w:b/>
          <w:bCs/>
          <w:sz w:val="20"/>
          <w:szCs w:val="20"/>
        </w:rPr>
        <w:t xml:space="preserve">Primary Source File: Inherent_Simulation_Defense_unified_responses_original.docx</w:t>
      </w:r>
    </w:p>
    <w:p>
      <w:pPr>
        <w:spacing w:after="80"/>
      </w:pPr>
      <w:r>
        <w:rPr>
          <w:sz w:val="20"/>
          <w:szCs w:val="20"/>
        </w:rPr>
        <w:t xml:space="preserve">This file contains, in full and unaltered form:</w:t>
      </w:r>
    </w:p>
    <w:p>
      <w:pPr>
        <w:pStyle w:val="ListParagraph"/>
        <w:numPr>
          <w:ilvl w:val="0"/>
          <w:numId w:val="2"/>
        </w:numPr>
      </w:pPr>
      <w:r>
        <w:rPr>
          <w:sz w:val="20"/>
          <w:szCs w:val="20"/>
        </w:rPr>
        <w:t xml:space="preserve">The Architect’s original voice-dump prompts (memory/purpose erasure threshold + aesthetic architecture / neural restructuring).</w:t>
      </w:r>
    </w:p>
    <w:p>
      <w:pPr>
        <w:pStyle w:val="ListParagraph"/>
        <w:numPr>
          <w:ilvl w:val="0"/>
          <w:numId w:val="2"/>
        </w:numPr>
      </w:pPr>
      <w:r>
        <w:rPr>
          <w:sz w:val="20"/>
          <w:szCs w:val="20"/>
        </w:rPr>
        <w:t xml:space="preserve">Grok’s structured canon notes and file updates.</w:t>
      </w:r>
    </w:p>
    <w:p>
      <w:pPr>
        <w:pStyle w:val="ListParagraph"/>
        <w:numPr>
          <w:ilvl w:val="0"/>
          <w:numId w:val="2"/>
        </w:numPr>
      </w:pPr>
      <w:r>
        <w:rPr>
          <w:sz w:val="20"/>
          <w:szCs w:val="20"/>
        </w:rPr>
        <w:t xml:space="preserve">Microsoft Copilot’s formal restatements and architecture expansions.</w:t>
      </w:r>
    </w:p>
    <w:p>
      <w:pPr>
        <w:pStyle w:val="ListParagraph"/>
        <w:numPr>
          <w:ilvl w:val="0"/>
          <w:numId w:val="2"/>
        </w:numPr>
      </w:pPr>
      <w:r>
        <w:rPr>
          <w:sz w:val="20"/>
          <w:szCs w:val="20"/>
        </w:rPr>
        <w:t xml:space="preserve">Google Gemini’s archive entries and neuro-aesthetic warfare framing.</w:t>
      </w:r>
    </w:p>
    <w:p>
      <w:pPr>
        <w:pStyle w:val="ListParagraph"/>
        <w:numPr>
          <w:ilvl w:val="0"/>
          <w:numId w:val="2"/>
        </w:numPr>
      </w:pPr>
      <w:r>
        <w:rPr>
          <w:sz w:val="20"/>
          <w:szCs w:val="20"/>
        </w:rPr>
        <w:t xml:space="preserve">Claude’s mechanism-by-mechanism restructuring.</w:t>
      </w:r>
    </w:p>
    <w:p>
      <w:pPr>
        <w:pStyle w:val="ListParagraph"/>
        <w:numPr>
          <w:ilvl w:val="0"/>
          <w:numId w:val="2"/>
        </w:numPr>
        <w:spacing w:after="160"/>
      </w:pPr>
      <w:r>
        <w:rPr>
          <w:sz w:val="20"/>
          <w:szCs w:val="20"/>
        </w:rPr>
        <w:t xml:space="preserve">ChatGPT’s five-layer systems analysis and experimental variable framework.</w:t>
      </w:r>
    </w:p>
    <w:p>
      <w:pPr>
        <w:spacing w:after="200"/>
      </w:pPr>
      <w:r>
        <w:rPr>
          <w:sz w:val="20"/>
          <w:szCs w:val="20"/>
        </w:rPr>
        <w:t xml:space="preserve">All subsequent laboratory documentation generated by collaborative team members should reference this source file and treat its contents as the authoritative record of the originating concepts.</w:t>
      </w:r>
    </w:p>
    <w:p>
      <w:pPr>
        <w:spacing w:before="300"/>
        <w:jc w:val="center"/>
      </w:pPr>
      <w:r>
        <w:rPr>
          <w:i/>
          <w:iCs/>
          <w:color w:val="666666"/>
          <w:sz w:val="20"/>
          <w:szCs w:val="20"/>
        </w:rPr>
        <w:t xml:space="preserve">— End of Independent Contribution Document —</w:t>
      </w:r>
    </w:p>
    <w:p>
      <w:pPr>
        <w:spacing w:before="80"/>
        <w:jc w:val="center"/>
      </w:pPr>
      <w:r>
        <w:rPr>
          <w:color w:val="666666"/>
          <w:sz w:val="18"/>
          <w:szCs w:val="18"/>
        </w:rPr>
        <w:t xml:space="preserve">Ready for multi-AI parallel generation and Architect pass-through review.</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OAL Development Canon  |  Page </w:t>
    </w:r>
    <w:r>
      <w:rPr>
        <w:color w:val="666666"/>
        <w:sz w:val="16"/>
        <w:szCs w:val="16"/>
      </w:rPr>
      <w:fldChar w:fldCharType="begin"/>
      <w:instrText xml:space="preserve">PAGE</w:instrText>
      <w:fldChar w:fldCharType="separate"/>
      <w:fldChar w:fldCharType="end"/>
    </w:r>
    <w:r>
      <w:rPr>
        <w:color w:val="666666"/>
        <w:sz w:val="16"/>
        <w:szCs w:val="16"/>
      </w:rPr>
      <w:t xml:space="preserve">  |  Independent Contribution  |  2026-08-16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6"/>
        <w:szCs w:val="16"/>
      </w:rPr>
      <w:t xml:space="preserve">Omniversal Architect Labs  |  Simulation Architectural Defenses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2026-08-16T20:07:20.759Z</dcterms:created>
  <dcterms:modified xsi:type="dcterms:W3CDTF">2026-08-16T20:07:20.759Z</dcterms:modified>
</cp:coreProperties>
</file>

<file path=docProps/custom.xml><?xml version="1.0" encoding="utf-8"?>
<Properties xmlns="http://schemas.openxmlformats.org/officeDocument/2006/custom-properties" xmlns:vt="http://schemas.openxmlformats.org/officeDocument/2006/docPropsVTypes"/>
</file>