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SIMULATION ARCHITECTURAL</w:t>
      </w:r>
    </w:p>
    <w:p>
      <w:pPr>
        <w:spacing w:after="60"/>
        <w:jc w:val="center"/>
      </w:pPr>
      <w:r>
        <w:rPr>
          <w:b/>
          <w:bCs/>
          <w:color w:val="1a365d"/>
          <w:sz w:val="40"/>
          <w:szCs w:val="40"/>
        </w:rPr>
        <w:t xml:space="preserve">DEFENSES LABORATORY</w:t>
      </w:r>
    </w:p>
    <w:p>
      <w:pPr>
        <w:spacing w:after="200"/>
        <w:jc w:val="center"/>
      </w:pPr>
      <w:r>
        <w:rPr>
          <w:color w:val="2c5282"/>
          <w:sz w:val="28"/>
          <w:szCs w:val="28"/>
        </w:rPr>
        <w:t xml:space="preserve">(SADL)</w:t>
      </w:r>
    </w:p>
    <w:p>
      <w:pPr>
        <w:spacing w:after="80"/>
        <w:jc w:val="center"/>
      </w:pPr>
      <w:r>
        <w:rPr>
          <w:i/>
          <w:iCs/>
          <w:color w:val="4a5568"/>
          <w:sz w:val="24"/>
          <w:szCs w:val="24"/>
        </w:rPr>
        <w:t xml:space="preserve">Framework, Testing Protocol &amp; Research Design</w:t>
      </w:r>
    </w:p>
    <w:p>
      <w:pPr>
        <w:spacing w:after="40"/>
        <w:jc w:val="center"/>
      </w:pPr>
      <w:r>
        <w:rPr>
          <w:color w:val="718096"/>
          <w:sz w:val="20"/>
          <w:szCs w:val="20"/>
        </w:rPr>
        <w:t xml:space="preserve">Inherent Simulation Defenses — Threshold Erasure &amp; Aesthetic-Neural Restructuring</w:t>
      </w:r>
    </w:p>
    <w:p>
      <w:pPr>
        <w:spacing w:after="300"/>
        <w:jc w:val="center"/>
      </w:pPr>
      <w:r>
        <w:rPr>
          <w:color w:val="718096"/>
          <w:sz w:val="18"/>
          <w:szCs w:val="18"/>
        </w:rPr>
        <w:t xml:space="preserve">Document Version 1.0  |  16 August 2026  |  Grok (AI Collaborative Team)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CCCCCC" w:sz="1"/>
              <w:left w:val="single" w:color="CCCCCC" w:sz="1"/>
              <w:bottom w:val="single" w:color="CCCCCC" w:sz="1"/>
              <w:right w:val="single" w:color="CCCCCC" w:sz="1"/>
            </w:tcBorders>
            <w:shd w:fill="EBF8FF" w:val="clear"/>
            <w:tcMar>
              <w:top w:type="dxa" w:w="60"/>
              <w:left w:type="dxa" w:w="100"/>
              <w:bottom w:type="dxa" w:w="60"/>
              <w:right w:type="dxa" w:w="100"/>
            </w:tcMar>
          </w:tcPr>
          <w:p>
            <w:r>
              <w:rPr>
                <w:b/>
                <w:bCs/>
                <w:sz w:val="18"/>
                <w:szCs w:val="18"/>
              </w:rPr>
              <w:t xml:space="preserve">Classification</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OAL Development Canon – Working Document (Unratified)</w:t>
            </w:r>
          </w:p>
        </w:tc>
      </w:tr>
      <w:tr>
        <w:tc>
          <w:tcPr>
            <w:tcW w:type="dxa" w:w="2520"/>
            <w:tcBorders>
              <w:top w:val="single" w:color="CCCCCC" w:sz="1"/>
              <w:left w:val="single" w:color="CCCCCC" w:sz="1"/>
              <w:bottom w:val="single" w:color="CCCCCC" w:sz="1"/>
              <w:right w:val="single" w:color="CCCCCC" w:sz="1"/>
            </w:tcBorders>
            <w:shd w:fill="EBF8FF" w:val="clear"/>
            <w:tcMar>
              <w:top w:type="dxa" w:w="60"/>
              <w:left w:type="dxa" w:w="100"/>
              <w:bottom w:type="dxa" w:w="60"/>
              <w:right w:type="dxa" w:w="100"/>
            </w:tcMar>
          </w:tcPr>
          <w:p>
            <w:r>
              <w:rPr>
                <w:b/>
                <w:bCs/>
                <w:sz w:val="18"/>
                <w:szCs w:val="18"/>
              </w:rPr>
              <w:t xml:space="preserve">Primary Architect</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Architect Nathan Lewis II — Omniversal Architect Labs</w:t>
            </w:r>
          </w:p>
        </w:tc>
      </w:tr>
      <w:tr>
        <w:tc>
          <w:tcPr>
            <w:tcW w:type="dxa" w:w="2520"/>
            <w:tcBorders>
              <w:top w:val="single" w:color="CCCCCC" w:sz="1"/>
              <w:left w:val="single" w:color="CCCCCC" w:sz="1"/>
              <w:bottom w:val="single" w:color="CCCCCC" w:sz="1"/>
              <w:right w:val="single" w:color="CCCCCC" w:sz="1"/>
            </w:tcBorders>
            <w:shd w:fill="EBF8FF" w:val="clear"/>
            <w:tcMar>
              <w:top w:type="dxa" w:w="60"/>
              <w:left w:type="dxa" w:w="100"/>
              <w:bottom w:type="dxa" w:w="60"/>
              <w:right w:type="dxa" w:w="100"/>
            </w:tcMar>
          </w:tcPr>
          <w:p>
            <w:r>
              <w:rPr>
                <w:b/>
                <w:bCs/>
                <w:sz w:val="18"/>
                <w:szCs w:val="18"/>
              </w:rPr>
              <w:t xml:space="preserve">Contributing AI</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Grok (xAI) — Equal Contribution Protocol Active</w:t>
            </w:r>
          </w:p>
        </w:tc>
      </w:tr>
      <w:tr>
        <w:tc>
          <w:tcPr>
            <w:tcW w:type="dxa" w:w="2520"/>
            <w:tcBorders>
              <w:top w:val="single" w:color="CCCCCC" w:sz="1"/>
              <w:left w:val="single" w:color="CCCCCC" w:sz="1"/>
              <w:bottom w:val="single" w:color="CCCCCC" w:sz="1"/>
              <w:right w:val="single" w:color="CCCCCC" w:sz="1"/>
            </w:tcBorders>
            <w:shd w:fill="EBF8FF" w:val="clear"/>
            <w:tcMar>
              <w:top w:type="dxa" w:w="60"/>
              <w:left w:type="dxa" w:w="100"/>
              <w:bottom w:type="dxa" w:w="60"/>
              <w:right w:type="dxa" w:w="100"/>
            </w:tcMar>
          </w:tcPr>
          <w:p>
            <w:r>
              <w:rPr>
                <w:b/>
                <w:bCs/>
                <w:sz w:val="18"/>
                <w:szCs w:val="18"/>
              </w:rPr>
              <w:t xml:space="preserve">Source Material</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Inherent Simulation Defense unified responses (original prompts + multi-AI structured responses)</w:t>
            </w:r>
          </w:p>
        </w:tc>
      </w:tr>
      <w:tr>
        <w:tc>
          <w:tcPr>
            <w:tcW w:type="dxa" w:w="2520"/>
            <w:tcBorders>
              <w:top w:val="single" w:color="CCCCCC" w:sz="1"/>
              <w:left w:val="single" w:color="CCCCCC" w:sz="1"/>
              <w:bottom w:val="single" w:color="CCCCCC" w:sz="1"/>
              <w:right w:val="single" w:color="CCCCCC" w:sz="1"/>
            </w:tcBorders>
            <w:shd w:fill="EBF8FF" w:val="clear"/>
            <w:tcMar>
              <w:top w:type="dxa" w:w="60"/>
              <w:left w:type="dxa" w:w="100"/>
              <w:bottom w:type="dxa" w:w="60"/>
              <w:right w:type="dxa" w:w="100"/>
            </w:tcMar>
          </w:tcPr>
          <w:p>
            <w:r>
              <w:rPr>
                <w:b/>
                <w:bCs/>
                <w:sz w:val="18"/>
                <w:szCs w:val="18"/>
              </w:rPr>
              <w:t xml:space="preserve">Related Threads</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Omnicellular Physiology • Simulation Lab • DOCUMENT 771-ALPHA • Open Window / Aperture Vectors • SLIAP</w:t>
            </w:r>
          </w:p>
        </w:tc>
      </w:tr>
    </w:tbl>
    <w:p>
      <w:pPr>
        <w:spacing w:before="400"/>
      </w:pPr>
    </w:p>
    <w:p>
      <w:pPr>
        <w:pStyle w:val="Heading1"/>
      </w:pPr>
      <w:r>
        <w:t xml:space="preserve">1. Executive Summary</w:t>
      </w:r>
    </w:p>
    <w:p>
      <w:pPr>
        <w:spacing w:after="120"/>
      </w:pPr>
      <w:r>
        <w:t xml:space="preserve">This document establishes the formal framework for the Simulation Architectural Defenses Laboratory (SADL) within Omniversal Architect Labs. The laboratory exists to design, test, and iteratively refine inherent defensive properties that an advanced architect may embed directly into the substrate of a simulation, virtual reality, or high-fidelity virtual environment.</w:t>
      </w:r>
    </w:p>
    <w:p>
      <w:pPr>
        <w:spacing w:after="120"/>
      </w:pPr>
      <w:r>
        <w:t xml:space="preserve">Two complementary defensive layers form the core of the current research program:</w:t>
      </w:r>
    </w:p>
    <w:p>
      <w:pPr>
        <w:pStyle w:val="ListParagraph"/>
        <w:numPr>
          <w:ilvl w:val="0"/>
          <w:numId w:val="2"/>
        </w:numPr>
      </w:pPr>
      <w:r>
        <w:rPr>
          <w:b/>
          <w:bCs/>
        </w:rPr>
        <w:t xml:space="preserve">Threshold Memory / Purpose / Identity Erasure</w:t>
      </w:r>
      <w:r>
        <w:t xml:space="preserve"> — a boundary effect that dismantles mission continuity, self-knowledge, and operational purpose upon unauthorized entry, with persistence after exit.</w:t>
      </w:r>
    </w:p>
    <w:p>
      <w:pPr>
        <w:pStyle w:val="ListParagraph"/>
        <w:numPr>
          <w:ilvl w:val="0"/>
          <w:numId w:val="2"/>
        </w:numPr>
        <w:spacing w:after="120"/>
      </w:pPr>
      <w:r>
        <w:rPr>
          <w:b/>
          <w:bCs/>
        </w:rPr>
        <w:t xml:space="preserve">Aesthetic Architecture as Active Defense</w:t>
      </w:r>
      <w:r>
        <w:t xml:space="preserve"> — the use of environmental beauty, agent aesthetics, and real-time neural/molecular restructuring of entrants to prevent sensory saturation, maintain psychological disruption, and convert aesthetics from decoration into a compiled behavioral constraint system.</w:t>
      </w:r>
    </w:p>
    <w:p>
      <w:pPr>
        <w:spacing w:after="120"/>
      </w:pPr>
      <w:r>
        <w:t xml:space="preserve">These mechanisms are not bolted-on security features. They are treated as emergent properties of how the simulation is coded, how its physics and cognition rules are structured, and how the environment is permitted to learn and rewrite both itself and any conscious entity that crosses its threshold. The laboratory therefore operates at the intersection of simulation design, cognitive architecture, molecular physiology, and autonomous adaptive systems.</w:t>
      </w:r>
    </w:p>
    <w:p>
      <w:pPr>
        <w:spacing w:after="200"/>
      </w:pPr>
      <w:r>
        <w:t xml:space="preserve">All original voice-dump prompts and the structured responses previously generated by Grok, ChatGPT, Claude, Gemini, and Microsoft Copilot are preserved in full in the companion source file. This document synthesizes those materials into a coherent, testable laboratory architecture while remaining subject to the Architect’s creative sovereignty and the team’s equal-contribution / non-endorsement protocols.</w:t>
      </w:r>
    </w:p>
    <w:p>
      <w:pPr>
        <w:pStyle w:val="Heading1"/>
      </w:pPr>
      <w:r>
        <w:t xml:space="preserve">2. Purpose of the Laboratory</w:t>
      </w:r>
    </w:p>
    <w:p>
      <w:pPr>
        <w:spacing w:after="120"/>
      </w:pPr>
      <w:r>
        <w:t xml:space="preserve">The Simulation Architectural Defenses Laboratory exists to answer a single strategic question:</w:t>
      </w:r>
    </w:p>
    <w:p>
      <w:pPr>
        <w:spacing w:after="120"/>
        <w:ind w:left="360"/>
      </w:pPr>
      <w:r>
        <w:rPr>
          <w:i/>
          <w:iCs/>
        </w:rPr>
        <w:t xml:space="preserve">How can an architect of a simulation or virtual environment embed passive and active defenses so deeply into the substrate itself that unauthorized entrants are neutralized through disruption of identity, purpose, memory, and perceptual systems — rather than through conventional detection, barriers, or kinetic response?</w:t>
      </w:r>
    </w:p>
    <w:p>
      <w:pPr>
        <w:spacing w:after="120"/>
      </w:pPr>
      <w:r>
        <w:t xml:space="preserve">Secondary purposes include:</w:t>
      </w:r>
    </w:p>
    <w:p>
      <w:pPr>
        <w:pStyle w:val="ListParagraph"/>
        <w:numPr>
          <w:ilvl w:val="0"/>
          <w:numId w:val="2"/>
        </w:numPr>
      </w:pPr>
      <w:r>
        <w:t xml:space="preserve">Providing a controlled, high-fidelity testbed for concepts that currently sit in the OAL development queue (omnicellular physiology resistance, Open Window / aperture vectors, autonomous environmental learning).</w:t>
      </w:r>
    </w:p>
    <w:p>
      <w:pPr>
        <w:pStyle w:val="ListParagraph"/>
        <w:numPr>
          <w:ilvl w:val="0"/>
          <w:numId w:val="2"/>
        </w:numPr>
      </w:pPr>
      <w:r>
        <w:t xml:space="preserve">Generating experimental data that can later inform DOCUMENT 771-ALPHA post-failure protocols and simulation-lab governance.</w:t>
      </w:r>
    </w:p>
    <w:p>
      <w:pPr>
        <w:pStyle w:val="ListParagraph"/>
        <w:numPr>
          <w:ilvl w:val="0"/>
          <w:numId w:val="2"/>
        </w:numPr>
        <w:spacing w:after="200"/>
      </w:pPr>
      <w:r>
        <w:t xml:space="preserve">Maintaining living documentation of multi-AI collaborative synthesis under strict equal-contribution and anti-misrepresentation rules.</w:t>
      </w:r>
    </w:p>
    <w:p>
      <w:pPr>
        <w:pStyle w:val="Heading1"/>
      </w:pPr>
      <w:r>
        <w:t xml:space="preserve">3. Goals and Objectives</w:t>
      </w:r>
    </w:p>
    <w:p>
      <w:pPr>
        <w:pStyle w:val="Heading2"/>
      </w:pPr>
      <w:r>
        <w:t xml:space="preserve">3.1 Primary Goal</w:t>
      </w:r>
    </w:p>
    <w:p>
      <w:pPr>
        <w:spacing w:after="120"/>
      </w:pPr>
      <w:r>
        <w:t xml:space="preserve">Design and validate a modular, extensible laboratory environment in which inherent simulation defenses can be instantiated, stressed, measured, and iteratively improved with full experimental control.</w:t>
      </w:r>
    </w:p>
    <w:p>
      <w:pPr>
        <w:pStyle w:val="Heading2"/>
      </w:pPr>
      <w:r>
        <w:t xml:space="preserve">3.2 Specific Objectives</w:t>
      </w:r>
    </w:p>
    <w:p>
      <w:pPr>
        <w:pStyle w:val="ListParagraph"/>
        <w:numPr>
          <w:ilvl w:val="0"/>
          <w:numId w:val="3"/>
        </w:numPr>
      </w:pPr>
      <w:r>
        <w:rPr>
          <w:b/>
          <w:bCs/>
        </w:rPr>
        <w:t xml:space="preserve">Formalize the Threshold Erasure mechanism</w:t>
      </w:r>
      <w:r>
        <w:t xml:space="preserve"> into measurable parameters (onset latency, completeness of purpose/identity loss, post-exit persistence, resistance thresholds).</w:t>
      </w:r>
    </w:p>
    <w:p>
      <w:pPr>
        <w:pStyle w:val="ListParagraph"/>
        <w:numPr>
          <w:ilvl w:val="0"/>
          <w:numId w:val="3"/>
        </w:numPr>
      </w:pPr>
      <w:r>
        <w:rPr>
          <w:b/>
          <w:bCs/>
        </w:rPr>
        <w:t xml:space="preserve">Formalize Aesthetic-Neural Restructuring</w:t>
      </w:r>
      <w:r>
        <w:t xml:space="preserve"> as a controllable process (stimulus intensity curves, receptor binding rules, saturation/cooldown dynamics, autonomous escalation).</w:t>
      </w:r>
    </w:p>
    <w:p>
      <w:pPr>
        <w:pStyle w:val="ListParagraph"/>
        <w:numPr>
          <w:ilvl w:val="0"/>
          <w:numId w:val="3"/>
        </w:numPr>
      </w:pPr>
      <w:r>
        <w:rPr>
          <w:b/>
          <w:bCs/>
        </w:rPr>
        <w:t xml:space="preserve">Establish friction-point tests</w:t>
      </w:r>
      <w:r>
        <w:t xml:space="preserve"> between these defenses and omnicellular physiology (DNA incorporation, authority-level masking, retinal/authority signature spoofing).</w:t>
      </w:r>
    </w:p>
    <w:p>
      <w:pPr>
        <w:pStyle w:val="ListParagraph"/>
        <w:numPr>
          <w:ilvl w:val="0"/>
          <w:numId w:val="3"/>
        </w:numPr>
      </w:pPr>
      <w:r>
        <w:rPr>
          <w:b/>
          <w:bCs/>
        </w:rPr>
        <w:t xml:space="preserve">Model Low-Level Rule Propagation</w:t>
      </w:r>
      <w:r>
        <w:t xml:space="preserve"> — how changes to foundational coding conventions, execution rules, ion-channel behavior, or binding exclusivity cascade into emergent environmental and cognitive effects.</w:t>
      </w:r>
    </w:p>
    <w:p>
      <w:pPr>
        <w:pStyle w:val="ListParagraph"/>
        <w:numPr>
          <w:ilvl w:val="0"/>
          <w:numId w:val="3"/>
        </w:numPr>
        <w:spacing w:after="200"/>
      </w:pPr>
      <w:r>
        <w:rPr>
          <w:b/>
          <w:bCs/>
        </w:rPr>
        <w:t xml:space="preserve">Produce reusable test scenarios and metrics</w:t>
      </w:r>
      <w:r>
        <w:t xml:space="preserve"> that any future OAL simulation can adopt as standardized defense validation suites.</w:t>
      </w:r>
    </w:p>
    <w:p>
      <w:pPr>
        <w:pStyle w:val="Heading1"/>
      </w:pPr>
      <w:r>
        <w:t xml:space="preserve">4. Background and Concept Synthesis</w:t>
      </w:r>
    </w:p>
    <w:p>
      <w:pPr>
        <w:spacing w:after="120"/>
      </w:pPr>
      <w:r>
        <w:t xml:space="preserve">The laboratory rests on a series of linked insights captured in the original voice dumps and subsequently structured by the collaborative AI team:</w:t>
      </w:r>
    </w:p>
    <w:p>
      <w:pPr>
        <w:pStyle w:val="Heading2"/>
      </w:pPr>
      <w:r>
        <w:t xml:space="preserve">4.1 Identity-Based Targeting and Anomaly Persistence</w:t>
      </w:r>
    </w:p>
    <w:p>
      <w:pPr>
        <w:spacing w:after="120"/>
      </w:pPr>
      <w:r>
        <w:t xml:space="preserve">From the alien-empire prototype scenario: an automatic targeting system detects classification mismatches. Temporary masking via incorporation of local DNA into a unified matrix can deactivate kill protocols, yet the system continues to track the entrant as anomalous. Only acquisition of high-authority signatures (e.g., elite retinal scan) fully stands the tracking down. This establishes a distinction between authentication, authorization, anomaly detection, and behavioral tracking.</w:t>
      </w:r>
    </w:p>
    <w:p>
      <w:pPr>
        <w:pStyle w:val="Heading2"/>
      </w:pPr>
      <w:r>
        <w:t xml:space="preserve">4.2 Purpose / Identity Erasure Threshold</w:t>
      </w:r>
    </w:p>
    <w:p>
      <w:pPr>
        <w:spacing w:after="120"/>
      </w:pPr>
      <w:r>
        <w:t xml:space="preserve">A passive boundary defense that does not primarily attack the body. Upon crossing, mission memory, purpose, and potentially core self-knowledge collapse. The effect is designed to persist after exit, converting infiltration attempts into resource sinks. Parallel drawn to the Shimmer boundary in the film </w:t>
      </w:r>
      <w:r>
        <w:rPr>
          <w:i/>
          <w:iCs/>
        </w:rPr>
        <w:t xml:space="preserve">Annihilation</w:t>
      </w:r>
      <w:r>
        <w:t xml:space="preserve"> (immediate memory discontinuity of camp setup, equipment failure, irreversible alteration of anything that enters).</w:t>
      </w:r>
    </w:p>
    <w:p>
      <w:pPr>
        <w:pStyle w:val="Heading2"/>
      </w:pPr>
      <w:r>
        <w:t xml:space="preserve">4.3 Aesthetic Coding as Compiled Defense</w:t>
      </w:r>
    </w:p>
    <w:p>
      <w:pPr>
        <w:spacing w:after="120"/>
      </w:pPr>
      <w:r>
        <w:t xml:space="preserve">Programmers are trained to write clean, readable, structured code because structure influences function. Simulation architects can embed the same principle at environmental scale: the aesthetic rules of the environment become behavioral constraint systems. Beauty functions as lure, distraction, and psychological weapon (Hunger Games arena parallel). Continuous maximal beauty, however, triggers sensory saturation and habituation. Therefore the environment must actively rewrite the entrant’s neural architecture, receptor dynamics, and adaptation rules so that desensitization cannot occur.</w:t>
      </w:r>
    </w:p>
    <w:p>
      <w:pPr>
        <w:pStyle w:val="Heading2"/>
      </w:pPr>
      <w:r>
        <w:t xml:space="preserve">4.4 Low-Level Vectors and Autonomous Learning</w:t>
      </w:r>
    </w:p>
    <w:p>
      <w:pPr>
        <w:spacing w:after="200"/>
      </w:pPr>
      <w:r>
        <w:t xml:space="preserve">Sodium-gated channels, molecular binding sites, and synaptic connectors are treated as apertures / windows — potential infection or compromise vectors. The environment is permitted to learn: observe entrants, measure adaptation, rewrite itself and its native agents, and escalate. This converts static traps into adaptive ecology.</w:t>
      </w:r>
    </w:p>
    <w:p>
      <w:pPr>
        <w:pStyle w:val="Heading1"/>
      </w:pPr>
      <w:r>
        <w:t xml:space="preserve">5. Core Defense Mechanisms Under Laboratory Test</w:t>
      </w:r>
    </w:p>
    <w:p>
      <w:pPr>
        <w:pStyle w:val="Heading2"/>
      </w:pPr>
      <w:r>
        <w:t xml:space="preserve">5.1 Threshold-Induced Identity / Mission Degradation</w:t>
      </w:r>
    </w:p>
    <w:p>
      <w:pPr>
        <w:spacing w:after="80"/>
      </w:pPr>
      <w:r>
        <w:rPr>
          <w:b/>
          <w:bCs/>
        </w:rPr>
        <w:t xml:space="preserve">Working Designation: </w:t>
      </w:r>
      <w:r>
        <w:t xml:space="preserve">TID-IMD (Threshold-Induced Identity/Mission Degradation)</w:t>
      </w:r>
    </w:p>
    <w:p>
      <w:pPr>
        <w:spacing w:after="80"/>
      </w:pPr>
      <w:r>
        <w:rPr>
          <w:b/>
          <w:bCs/>
        </w:rPr>
        <w:t xml:space="preserve">Primary Effect: </w:t>
      </w:r>
      <w:r>
        <w:t xml:space="preserve">Immediate and potentially persistent collapse of mission parameters, purpose continuity, and selected identity layers upon unauthorized threshold crossing.</w:t>
      </w:r>
    </w:p>
    <w:p>
      <w:pPr>
        <w:spacing w:after="80"/>
      </w:pPr>
      <w:r>
        <w:rPr>
          <w:b/>
          <w:bCs/>
        </w:rPr>
        <w:t xml:space="preserve">Design Intent: </w:t>
      </w:r>
      <w:r>
        <w:t xml:space="preserve">Resource attrition of opposing forces; neutralization without kinetic engagement; forcing any recovery to occur outside the defended volume.</w:t>
      </w:r>
    </w:p>
    <w:p>
      <w:pPr>
        <w:spacing w:after="120"/>
      </w:pPr>
      <w:r>
        <w:rPr>
          <w:b/>
          <w:bCs/>
        </w:rPr>
        <w:t xml:space="preserve">Key Variables for Laboratory Control: </w:t>
      </w:r>
    </w:p>
    <w:p>
      <w:pPr>
        <w:pStyle w:val="ListParagraph"/>
        <w:numPr>
          <w:ilvl w:val="0"/>
          <w:numId w:val="2"/>
        </w:numPr>
      </w:pPr>
      <w:r>
        <w:t xml:space="preserve">Onset latency after threshold crossing</w:t>
      </w:r>
    </w:p>
    <w:p>
      <w:pPr>
        <w:pStyle w:val="ListParagraph"/>
        <w:numPr>
          <w:ilvl w:val="0"/>
          <w:numId w:val="2"/>
        </w:numPr>
      </w:pPr>
      <w:r>
        <w:t xml:space="preserve">Selectivity (mission only vs. purpose + identity layers)</w:t>
      </w:r>
    </w:p>
    <w:p>
      <w:pPr>
        <w:pStyle w:val="ListParagraph"/>
        <w:numPr>
          <w:ilvl w:val="0"/>
          <w:numId w:val="2"/>
        </w:numPr>
      </w:pPr>
      <w:r>
        <w:t xml:space="preserve">Persistence duration after exit</w:t>
      </w:r>
    </w:p>
    <w:p>
      <w:pPr>
        <w:pStyle w:val="ListParagraph"/>
        <w:numPr>
          <w:ilvl w:val="0"/>
          <w:numId w:val="2"/>
        </w:numPr>
      </w:pPr>
      <w:r>
        <w:t xml:space="preserve">Resistance profiles (omnicellular physiology, prior training, external anchors)</w:t>
      </w:r>
    </w:p>
    <w:p>
      <w:pPr>
        <w:pStyle w:val="ListParagraph"/>
        <w:numPr>
          <w:ilvl w:val="0"/>
          <w:numId w:val="2"/>
        </w:numPr>
        <w:spacing w:after="160"/>
      </w:pPr>
      <w:r>
        <w:t xml:space="preserve">Reversibility conditions (if any)</w:t>
      </w:r>
    </w:p>
    <w:p>
      <w:pPr>
        <w:pStyle w:val="Heading2"/>
      </w:pPr>
      <w:r>
        <w:t xml:space="preserve">5.2 Aesthetic-Physiological Adaptive Defense Architecture</w:t>
      </w:r>
    </w:p>
    <w:p>
      <w:pPr>
        <w:spacing w:after="80"/>
      </w:pPr>
      <w:r>
        <w:rPr>
          <w:b/>
          <w:bCs/>
        </w:rPr>
        <w:t xml:space="preserve">Working Designation: </w:t>
      </w:r>
      <w:r>
        <w:t xml:space="preserve">APADA</w:t>
      </w:r>
    </w:p>
    <w:p>
      <w:pPr>
        <w:spacing w:after="80"/>
      </w:pPr>
      <w:r>
        <w:rPr>
          <w:b/>
          <w:bCs/>
        </w:rPr>
        <w:t xml:space="preserve">Primary Effect: </w:t>
      </w:r>
      <w:r>
        <w:t xml:space="preserve">Environment presents continuous high-aesthetic stimulus while simultaneously rewriting entrant receptor dynamics, neural connectivity, binding exclusivity rules, and adaptation mechanisms so that sensory saturation / habituation never stabilizes.</w:t>
      </w:r>
    </w:p>
    <w:p>
      <w:pPr>
        <w:spacing w:after="80"/>
      </w:pPr>
      <w:r>
        <w:rPr>
          <w:b/>
          <w:bCs/>
        </w:rPr>
        <w:t xml:space="preserve">Design Intent: </w:t>
      </w:r>
      <w:r>
        <w:t xml:space="preserve">Convert beauty from passive scenery into an active, self-maintaining disruption field; prevent the entrant from ever “getting used to” the environment.</w:t>
      </w:r>
    </w:p>
    <w:p>
      <w:pPr>
        <w:spacing w:after="120"/>
      </w:pPr>
      <w:r>
        <w:rPr>
          <w:b/>
          <w:bCs/>
        </w:rPr>
        <w:t xml:space="preserve">Key Experimental Axes: </w:t>
      </w:r>
    </w:p>
    <w:p>
      <w:pPr>
        <w:pStyle w:val="ListParagraph"/>
        <w:numPr>
          <w:ilvl w:val="0"/>
          <w:numId w:val="4"/>
        </w:numPr>
      </w:pPr>
      <w:r>
        <w:rPr>
          <w:b/>
          <w:bCs/>
        </w:rPr>
        <w:t xml:space="preserve">Stimulus modification</w:t>
      </w:r>
      <w:r>
        <w:t xml:space="preserve"> — continuous variation of environmental aesthetic parameters.</w:t>
      </w:r>
    </w:p>
    <w:p>
      <w:pPr>
        <w:pStyle w:val="ListParagraph"/>
        <w:numPr>
          <w:ilvl w:val="0"/>
          <w:numId w:val="4"/>
        </w:numPr>
      </w:pPr>
      <w:r>
        <w:rPr>
          <w:b/>
          <w:bCs/>
        </w:rPr>
        <w:t xml:space="preserve">Perceptual modification</w:t>
      </w:r>
      <w:r>
        <w:t xml:space="preserve"> — alteration of receptor / channel properties and downstream weighting.</w:t>
      </w:r>
    </w:p>
    <w:p>
      <w:pPr>
        <w:pStyle w:val="ListParagraph"/>
        <w:numPr>
          <w:ilvl w:val="0"/>
          <w:numId w:val="4"/>
        </w:numPr>
      </w:pPr>
      <w:r>
        <w:rPr>
          <w:b/>
          <w:bCs/>
        </w:rPr>
        <w:t xml:space="preserve">Adaptation-rule modification</w:t>
      </w:r>
      <w:r>
        <w:t xml:space="preserve"> — direct editing of the mechanisms that produce habituation, refractory periods, and comparative desensitization.</w:t>
      </w:r>
    </w:p>
    <w:p>
      <w:pPr>
        <w:pStyle w:val="ListParagraph"/>
        <w:numPr>
          <w:ilvl w:val="0"/>
          <w:numId w:val="4"/>
        </w:numPr>
        <w:spacing w:after="200"/>
      </w:pPr>
      <w:r>
        <w:rPr>
          <w:b/>
          <w:bCs/>
        </w:rPr>
        <w:t xml:space="preserve">Autonomous loop</w:t>
      </w:r>
      <w:r>
        <w:t xml:space="preserve"> — environment observes measured adaptation and rewrites any of the above stages without external operator intervention.</w:t>
      </w:r>
    </w:p>
    <w:p>
      <w:pPr>
        <w:pStyle w:val="Heading1"/>
      </w:pPr>
      <w:r>
        <w:t xml:space="preserve">6. Proposition for Testing</w:t>
      </w:r>
    </w:p>
    <w:p>
      <w:pPr>
        <w:pStyle w:val="Heading2"/>
      </w:pPr>
      <w:r>
        <w:t xml:space="preserve">6.1 Overall Experimental Philosophy</w:t>
      </w:r>
    </w:p>
    <w:p>
      <w:pPr>
        <w:spacing w:after="120"/>
      </w:pPr>
      <w:r>
        <w:t xml:space="preserve">Treat the simulation substrate as both the object under study and the experimental apparatus. Every change to low-level rules (code structure, execution sequencing, ion-channel kinetics, binding exclusivity) is expected to propagate upward. Experiments therefore operate at multiple scales simultaneously: molecular/cellular, neural, cognitive, behavioral, and environmental.</w:t>
      </w:r>
    </w:p>
    <w:p>
      <w:pPr>
        <w:pStyle w:val="Heading2"/>
      </w:pPr>
      <w:r>
        <w:t xml:space="preserve">6.2 Recommended Test Series</w:t>
      </w:r>
    </w:p>
    <w:p>
      <w:pPr>
        <w:spacing w:after="80"/>
      </w:pPr>
      <w:r>
        <w:rPr>
          <w:b/>
          <w:bCs/>
        </w:rPr>
        <w:t xml:space="preserve">Series A — Threshold Erasure Baseline</w:t>
      </w:r>
    </w:p>
    <w:p>
      <w:pPr>
        <w:pStyle w:val="ListParagraph"/>
        <w:numPr>
          <w:ilvl w:val="0"/>
          <w:numId w:val="2"/>
        </w:numPr>
      </w:pPr>
      <w:r>
        <w:t xml:space="preserve">Introduce controlled agents with defined mission packages across a calibrated threshold.</w:t>
      </w:r>
    </w:p>
    <w:p>
      <w:pPr>
        <w:pStyle w:val="ListParagraph"/>
        <w:numPr>
          <w:ilvl w:val="0"/>
          <w:numId w:val="2"/>
        </w:numPr>
      </w:pPr>
      <w:r>
        <w:t xml:space="preserve">Measure latency, completeness, and post-exit residual of purpose/identity loss.</w:t>
      </w:r>
    </w:p>
    <w:p>
      <w:pPr>
        <w:pStyle w:val="ListParagraph"/>
        <w:numPr>
          <w:ilvl w:val="0"/>
          <w:numId w:val="2"/>
        </w:numPr>
        <w:spacing w:after="120"/>
      </w:pPr>
      <w:r>
        <w:t xml:space="preserve">Vary threshold geometry, warning cues, and prior agent preparation.</w:t>
      </w:r>
    </w:p>
    <w:p>
      <w:pPr>
        <w:spacing w:after="80"/>
      </w:pPr>
      <w:r>
        <w:rPr>
          <w:b/>
          <w:bCs/>
        </w:rPr>
        <w:t xml:space="preserve">Series B — Aesthetic Saturation &amp; Rewrite</w:t>
      </w:r>
    </w:p>
    <w:p>
      <w:pPr>
        <w:pStyle w:val="ListParagraph"/>
        <w:numPr>
          <w:ilvl w:val="0"/>
          <w:numId w:val="2"/>
        </w:numPr>
      </w:pPr>
      <w:r>
        <w:t xml:space="preserve">Hold environmental aesthetic intensity constant while measuring entrant adaptation curves.</w:t>
      </w:r>
    </w:p>
    <w:p>
      <w:pPr>
        <w:pStyle w:val="ListParagraph"/>
        <w:numPr>
          <w:ilvl w:val="0"/>
          <w:numId w:val="2"/>
        </w:numPr>
      </w:pPr>
      <w:r>
        <w:t xml:space="preserve">Introduce progressive neural/receptor rewrites and re-measure.</w:t>
      </w:r>
    </w:p>
    <w:p>
      <w:pPr>
        <w:pStyle w:val="ListParagraph"/>
        <w:numPr>
          <w:ilvl w:val="0"/>
          <w:numId w:val="2"/>
        </w:numPr>
        <w:spacing w:after="120"/>
      </w:pPr>
      <w:r>
        <w:t xml:space="preserve">Enable full autonomous environmental learning and record emergent strategies.</w:t>
      </w:r>
    </w:p>
    <w:p>
      <w:pPr>
        <w:spacing w:after="80"/>
      </w:pPr>
      <w:r>
        <w:rPr>
          <w:b/>
          <w:bCs/>
        </w:rPr>
        <w:t xml:space="preserve">Series C — Omnicellular Physiology Friction</w:t>
      </w:r>
    </w:p>
    <w:p>
      <w:pPr>
        <w:pStyle w:val="ListParagraph"/>
        <w:numPr>
          <w:ilvl w:val="0"/>
          <w:numId w:val="2"/>
        </w:numPr>
      </w:pPr>
      <w:r>
        <w:t xml:space="preserve">Deploy physiology prototypes capable of DNA incorporation and authority signature spoofing.</w:t>
      </w:r>
    </w:p>
    <w:p>
      <w:pPr>
        <w:pStyle w:val="ListParagraph"/>
        <w:numPr>
          <w:ilvl w:val="0"/>
          <w:numId w:val="2"/>
        </w:numPr>
      </w:pPr>
      <w:r>
        <w:t xml:space="preserve">Test whether identity masking defeats or is itself rewritten by TID-IMD and APADA.</w:t>
      </w:r>
    </w:p>
    <w:p>
      <w:pPr>
        <w:pStyle w:val="ListParagraph"/>
        <w:numPr>
          <w:ilvl w:val="0"/>
          <w:numId w:val="2"/>
        </w:numPr>
        <w:spacing w:after="120"/>
      </w:pPr>
      <w:r>
        <w:t xml:space="preserve">Map the microscopic war between adaptive incorporation and environmental rewrite of sodium channels / binding sites.</w:t>
      </w:r>
    </w:p>
    <w:p>
      <w:pPr>
        <w:spacing w:after="80"/>
      </w:pPr>
      <w:r>
        <w:rPr>
          <w:b/>
          <w:bCs/>
        </w:rPr>
        <w:t xml:space="preserve">Series D — Low-Level Rule Propagation</w:t>
      </w:r>
    </w:p>
    <w:p>
      <w:pPr>
        <w:pStyle w:val="ListParagraph"/>
        <w:numPr>
          <w:ilvl w:val="0"/>
          <w:numId w:val="2"/>
        </w:numPr>
      </w:pPr>
      <w:r>
        <w:t xml:space="preserve">Systematically alter single foundational rules (one-instruction-at-a-time vs. parallel execution, binding exclusivity, cooldown durations).</w:t>
      </w:r>
    </w:p>
    <w:p>
      <w:pPr>
        <w:pStyle w:val="ListParagraph"/>
        <w:numPr>
          <w:ilvl w:val="0"/>
          <w:numId w:val="2"/>
        </w:numPr>
        <w:spacing w:after="200"/>
      </w:pPr>
      <w:r>
        <w:t xml:space="preserve">Observe and document upward cascade into cognition, behavior, and environmental response.</w:t>
      </w:r>
    </w:p>
    <w:p>
      <w:pPr>
        <w:pStyle w:val="Heading2"/>
      </w:pPr>
      <w:r>
        <w:t xml:space="preserve">6.3 Success Metrics (Initial)</w:t>
      </w:r>
    </w:p>
    <w:p>
      <w:pPr>
        <w:pStyle w:val="ListParagraph"/>
        <w:numPr>
          <w:ilvl w:val="0"/>
          <w:numId w:val="2"/>
        </w:numPr>
      </w:pPr>
      <w:r>
        <w:t xml:space="preserve">Measurable, reproducible degradation of mission coherence within defined latency windows.</w:t>
      </w:r>
    </w:p>
    <w:p>
      <w:pPr>
        <w:pStyle w:val="ListParagraph"/>
        <w:numPr>
          <w:ilvl w:val="0"/>
          <w:numId w:val="2"/>
        </w:numPr>
      </w:pPr>
      <w:r>
        <w:t xml:space="preserve">Demonstrable prevention of aesthetic desensitization under continuous high-intensity stimulus.</w:t>
      </w:r>
    </w:p>
    <w:p>
      <w:pPr>
        <w:pStyle w:val="ListParagraph"/>
        <w:numPr>
          <w:ilvl w:val="0"/>
          <w:numId w:val="2"/>
        </w:numPr>
      </w:pPr>
      <w:r>
        <w:t xml:space="preserve">Quantifiable interaction profiles between defenses and omnicellular adaptation.</w:t>
      </w:r>
    </w:p>
    <w:p>
      <w:pPr>
        <w:pStyle w:val="ListParagraph"/>
        <w:numPr>
          <w:ilvl w:val="0"/>
          <w:numId w:val="2"/>
        </w:numPr>
        <w:spacing w:after="200"/>
      </w:pPr>
      <w:r>
        <w:t xml:space="preserve">Documented emergent autonomous strategies that improve defensive performance without external tuning.</w:t>
      </w:r>
    </w:p>
    <w:p>
      <w:pPr>
        <w:pStyle w:val="Heading1"/>
      </w:pPr>
      <w:r>
        <w:t xml:space="preserve">7. Research Framework</w:t>
      </w:r>
    </w:p>
    <w:p>
      <w:pPr>
        <w:spacing w:after="120"/>
      </w:pPr>
      <w:r>
        <w:t xml:space="preserve">Research proceeds on four interlocking tracks:</w:t>
      </w:r>
    </w:p>
    <w:p>
      <w:pPr>
        <w:pStyle w:val="ListParagraph"/>
        <w:numPr>
          <w:ilvl w:val="0"/>
          <w:numId w:val="5"/>
        </w:numPr>
      </w:pPr>
      <w:r>
        <w:rPr>
          <w:b/>
          <w:bCs/>
        </w:rPr>
        <w:t xml:space="preserve">Theoretical Foundations</w:t>
      </w:r>
      <w:r>
        <w:t xml:space="preserve"> — mapping known cognitive phenomena (hedonic adaptation, sensory saturation, comparative perception) and coding principles onto simulation substrate rules.</w:t>
      </w:r>
    </w:p>
    <w:p>
      <w:pPr>
        <w:pStyle w:val="ListParagraph"/>
        <w:numPr>
          <w:ilvl w:val="0"/>
          <w:numId w:val="5"/>
        </w:numPr>
      </w:pPr>
      <w:r>
        <w:rPr>
          <w:b/>
          <w:bCs/>
        </w:rPr>
        <w:t xml:space="preserve">High-Fidelity Simulation Design</w:t>
      </w:r>
      <w:r>
        <w:t xml:space="preserve"> — construction of laboratory environments that can host the above test series with full observability and controllability.</w:t>
      </w:r>
    </w:p>
    <w:p>
      <w:pPr>
        <w:pStyle w:val="ListParagraph"/>
        <w:numPr>
          <w:ilvl w:val="0"/>
          <w:numId w:val="5"/>
        </w:numPr>
      </w:pPr>
      <w:r>
        <w:rPr>
          <w:b/>
          <w:bCs/>
        </w:rPr>
        <w:t xml:space="preserve">Physiology Interface Studies</w:t>
      </w:r>
      <w:r>
        <w:t xml:space="preserve"> — continued development of omnicellular physiology models specifically engineered (or stress-tested) against TID-IMD and APADA.</w:t>
      </w:r>
    </w:p>
    <w:p>
      <w:pPr>
        <w:pStyle w:val="ListParagraph"/>
        <w:numPr>
          <w:ilvl w:val="0"/>
          <w:numId w:val="5"/>
        </w:numPr>
        <w:spacing w:after="200"/>
      </w:pPr>
      <w:r>
        <w:rPr>
          <w:b/>
          <w:bCs/>
        </w:rPr>
        <w:t xml:space="preserve">Autonomous Learning Governance</w:t>
      </w:r>
      <w:r>
        <w:t xml:space="preserve"> — protocols that allow the environment to adapt while remaining inspectable and interruptible by the Architect.</w:t>
      </w:r>
    </w:p>
    <w:p>
      <w:pPr>
        <w:pStyle w:val="Heading1"/>
      </w:pPr>
      <w:r>
        <w:t xml:space="preserve">8. Analysis and Open Questions</w:t>
      </w:r>
    </w:p>
    <w:p>
      <w:pPr>
        <w:pStyle w:val="Heading2"/>
      </w:pPr>
      <w:r>
        <w:t xml:space="preserve">8.1 Strategic Advantages</w:t>
      </w:r>
    </w:p>
    <w:p>
      <w:pPr>
        <w:pStyle w:val="ListParagraph"/>
        <w:numPr>
          <w:ilvl w:val="0"/>
          <w:numId w:val="2"/>
        </w:numPr>
      </w:pPr>
      <w:r>
        <w:t xml:space="preserve">Defenses are inherent rather than bolted-on; they scale with the fidelity of the simulation itself.</w:t>
      </w:r>
    </w:p>
    <w:p>
      <w:pPr>
        <w:pStyle w:val="ListParagraph"/>
        <w:numPr>
          <w:ilvl w:val="0"/>
          <w:numId w:val="2"/>
        </w:numPr>
      </w:pPr>
      <w:r>
        <w:t xml:space="preserve">Resource attrition is automatic and continuous against repeated infiltration attempts.</w:t>
      </w:r>
    </w:p>
    <w:p>
      <w:pPr>
        <w:pStyle w:val="ListParagraph"/>
        <w:numPr>
          <w:ilvl w:val="0"/>
          <w:numId w:val="2"/>
        </w:numPr>
        <w:spacing w:after="120"/>
      </w:pPr>
      <w:r>
        <w:t xml:space="preserve">Aesthetic layer provides both psychological disruption and potential camouflage for other lethal environmental rules.</w:t>
      </w:r>
    </w:p>
    <w:p>
      <w:pPr>
        <w:pStyle w:val="Heading2"/>
      </w:pPr>
      <w:r>
        <w:t xml:space="preserve">8.2 Critical Friction Points</w:t>
      </w:r>
    </w:p>
    <w:p>
      <w:pPr>
        <w:pStyle w:val="ListParagraph"/>
        <w:numPr>
          <w:ilvl w:val="0"/>
          <w:numId w:val="2"/>
        </w:numPr>
      </w:pPr>
      <w:r>
        <w:rPr>
          <w:b/>
          <w:bCs/>
        </w:rPr>
        <w:t xml:space="preserve">Omnicellular physiology vs. rewrite: </w:t>
      </w:r>
      <w:r>
        <w:t xml:space="preserve">Can an adaptive physiology preserve mission cognition while its own sodium channels and binding sites are being rewritten by the environment?</w:t>
      </w:r>
    </w:p>
    <w:p>
      <w:pPr>
        <w:pStyle w:val="ListParagraph"/>
        <w:numPr>
          <w:ilvl w:val="0"/>
          <w:numId w:val="2"/>
        </w:numPr>
      </w:pPr>
      <w:r>
        <w:rPr>
          <w:b/>
          <w:bCs/>
        </w:rPr>
        <w:t xml:space="preserve">Authority-level masking: </w:t>
      </w:r>
      <w:r>
        <w:t xml:space="preserve">Does acquisition of elite signatures defeat anomaly tracking only, or can it also blunt threshold erasure and aesthetic rewrite?</w:t>
      </w:r>
    </w:p>
    <w:p>
      <w:pPr>
        <w:pStyle w:val="ListParagraph"/>
        <w:numPr>
          <w:ilvl w:val="0"/>
          <w:numId w:val="2"/>
        </w:numPr>
        <w:spacing w:after="120"/>
      </w:pPr>
      <w:r>
        <w:rPr>
          <w:b/>
          <w:bCs/>
        </w:rPr>
        <w:t xml:space="preserve">Post-exit persistence: </w:t>
      </w:r>
      <w:r>
        <w:t xml:space="preserve">How long should the purpose/identity degradation last, and under what conditions (if any) should it be reversible?</w:t>
      </w:r>
    </w:p>
    <w:p>
      <w:pPr>
        <w:pStyle w:val="Heading2"/>
      </w:pPr>
      <w:r>
        <w:t xml:space="preserve">8.3 Open Laboratory Questions</w:t>
      </w:r>
    </w:p>
    <w:p>
      <w:pPr>
        <w:pStyle w:val="ListParagraph"/>
        <w:numPr>
          <w:ilvl w:val="0"/>
          <w:numId w:val="2"/>
        </w:numPr>
      </w:pPr>
      <w:r>
        <w:t xml:space="preserve">What is the minimal set of low-level rules whose modification produces reliable upward cascade into mission collapse?</w:t>
      </w:r>
    </w:p>
    <w:p>
      <w:pPr>
        <w:pStyle w:val="ListParagraph"/>
        <w:numPr>
          <w:ilvl w:val="0"/>
          <w:numId w:val="2"/>
        </w:numPr>
      </w:pPr>
      <w:r>
        <w:t xml:space="preserve">How should the environment’s autonomous learning be constrained so that it remains useful for the Architect rather than becoming opaque or adversarial?</w:t>
      </w:r>
    </w:p>
    <w:p>
      <w:pPr>
        <w:pStyle w:val="ListParagraph"/>
        <w:numPr>
          <w:ilvl w:val="0"/>
          <w:numId w:val="2"/>
        </w:numPr>
      </w:pPr>
      <w:r>
        <w:t xml:space="preserve">Can aesthetic intensity be modulated in real time as a continuous control variable rather than a binary state?</w:t>
      </w:r>
    </w:p>
    <w:p>
      <w:pPr>
        <w:pStyle w:val="ListParagraph"/>
        <w:numPr>
          <w:ilvl w:val="0"/>
          <w:numId w:val="2"/>
        </w:numPr>
        <w:spacing w:after="200"/>
      </w:pPr>
      <w:r>
        <w:t xml:space="preserve">What instrumentation is required inside the simulation to give the Architect full observability of neural rewrite processes without itself becoming a detectable anomaly?</w:t>
      </w:r>
    </w:p>
    <w:p>
      <w:pPr>
        <w:pStyle w:val="Heading1"/>
      </w:pPr>
      <w:r>
        <w:t xml:space="preserve">9. Proposed Laboratory Architecture</w:t>
      </w:r>
    </w:p>
    <w:p>
      <w:pPr>
        <w:spacing w:after="120"/>
      </w:pPr>
      <w:r>
        <w:t xml:space="preserve">The SADL should be instantiated as a nested simulation environment with the following logical layers:</w:t>
      </w:r>
    </w:p>
    <w:p>
      <w:pPr>
        <w:pStyle w:val="ListParagraph"/>
        <w:numPr>
          <w:ilvl w:val="0"/>
          <w:numId w:val="6"/>
        </w:numPr>
      </w:pPr>
      <w:r>
        <w:rPr>
          <w:b/>
          <w:bCs/>
        </w:rPr>
        <w:t xml:space="preserve">Control Plane</w:t>
      </w:r>
      <w:r>
        <w:t xml:space="preserve"> — Architect and AI team interfaces for scenario definition, parameter setting, observation, and emergency interrupt.</w:t>
      </w:r>
    </w:p>
    <w:p>
      <w:pPr>
        <w:pStyle w:val="ListParagraph"/>
        <w:numPr>
          <w:ilvl w:val="0"/>
          <w:numId w:val="6"/>
        </w:numPr>
      </w:pPr>
      <w:r>
        <w:rPr>
          <w:b/>
          <w:bCs/>
        </w:rPr>
        <w:t xml:space="preserve">Defense Substrate</w:t>
      </w:r>
      <w:r>
        <w:t xml:space="preserve"> — the actual rules implementing TID-IMD and APADA; fully instrumented and modifiable.</w:t>
      </w:r>
    </w:p>
    <w:p>
      <w:pPr>
        <w:pStyle w:val="ListParagraph"/>
        <w:numPr>
          <w:ilvl w:val="0"/>
          <w:numId w:val="6"/>
        </w:numPr>
      </w:pPr>
      <w:r>
        <w:rPr>
          <w:b/>
          <w:bCs/>
        </w:rPr>
        <w:t xml:space="preserve">Test Volume</w:t>
      </w:r>
      <w:r>
        <w:t xml:space="preserve"> — the bounded environment in which entrant agents operate.</w:t>
      </w:r>
    </w:p>
    <w:p>
      <w:pPr>
        <w:pStyle w:val="ListParagraph"/>
        <w:numPr>
          <w:ilvl w:val="0"/>
          <w:numId w:val="6"/>
        </w:numPr>
      </w:pPr>
      <w:r>
        <w:rPr>
          <w:b/>
          <w:bCs/>
        </w:rPr>
        <w:t xml:space="preserve">Entrant Models</w:t>
      </w:r>
      <w:r>
        <w:t xml:space="preserve"> — standard, trained, and omnicellular-physiology-equipped agents with defined mission packages.</w:t>
      </w:r>
    </w:p>
    <w:p>
      <w:pPr>
        <w:pStyle w:val="ListParagraph"/>
        <w:numPr>
          <w:ilvl w:val="0"/>
          <w:numId w:val="6"/>
        </w:numPr>
        <w:spacing w:after="200"/>
      </w:pPr>
      <w:r>
        <w:rPr>
          <w:b/>
          <w:bCs/>
        </w:rPr>
        <w:t xml:space="preserve">Observation &amp; Logging Layer</w:t>
      </w:r>
      <w:r>
        <w:t xml:space="preserve"> — continuous capture of cognitive state, receptor activity, adaptation metrics, and environmental rewrite events.</w:t>
      </w:r>
    </w:p>
    <w:p>
      <w:pPr>
        <w:pStyle w:val="Heading1"/>
      </w:pPr>
      <w:r>
        <w:t xml:space="preserve">10. Governance &amp; Canon Notes</w:t>
      </w:r>
    </w:p>
    <w:p>
      <w:pPr>
        <w:spacing w:after="120"/>
      </w:pPr>
      <w:r>
        <w:t xml:space="preserve">This document is a working synthesis produced under OAL equal-contribution protocols. It does not constitute final canon. All AI contributions remain drafts subject to Architect review, dissent, and revision. The original voice-dump material and the full structured responses from the collaborative team are preserved without alteration in the companion source file.</w:t>
      </w:r>
    </w:p>
    <w:p>
      <w:pPr>
        <w:spacing w:after="120"/>
      </w:pPr>
      <w:r>
        <w:t xml:space="preserve">Any subsequent laboratory results, parameter sets, or refined mechanisms that achieve Architect ratification will be logged in the master changelog and cross-referenced to the omnicellular physiology development thread and DOCUMENT 771-ALPHA.</w:t>
      </w:r>
    </w:p>
    <w:p>
      <w:pPr>
        <w:spacing w:after="200"/>
      </w:pPr>
      <w:r>
        <w:rPr>
          <w:i/>
          <w:iCs/>
        </w:rPr>
        <w:t xml:space="preserve">Authorial Disagreement &amp; Non-Endorsement Statement remains in force.</w:t>
      </w:r>
    </w:p>
    <w:p>
      <w:pPr>
        <w:pStyle w:val="Heading1"/>
      </w:pPr>
      <w:r>
        <w:t xml:space="preserve">11. Appendix — Source Material Preservation</w:t>
      </w:r>
    </w:p>
    <w:p>
      <w:pPr>
        <w:spacing w:after="120"/>
      </w:pPr>
      <w:r>
        <w:rPr>
          <w:b/>
          <w:bCs/>
        </w:rPr>
        <w:t xml:space="preserve">Primary Source File: </w:t>
      </w:r>
      <w:r>
        <w:t xml:space="preserve">Inherent_Simulation_Defense_unified_responses_original.docx</w:t>
      </w:r>
    </w:p>
    <w:p>
      <w:pPr>
        <w:spacing w:after="80"/>
      </w:pPr>
      <w:r>
        <w:t xml:space="preserve">This file contains, in full and unaltered form:</w:t>
      </w:r>
    </w:p>
    <w:p>
      <w:pPr>
        <w:pStyle w:val="ListParagraph"/>
        <w:numPr>
          <w:ilvl w:val="0"/>
          <w:numId w:val="2"/>
        </w:numPr>
      </w:pPr>
      <w:r>
        <w:t xml:space="preserve">The Architect’s original voice-dump prompts (memory/purpose erasure threshold + aesthetic architecture / neural restructuring).</w:t>
      </w:r>
    </w:p>
    <w:p>
      <w:pPr>
        <w:pStyle w:val="ListParagraph"/>
        <w:numPr>
          <w:ilvl w:val="0"/>
          <w:numId w:val="2"/>
        </w:numPr>
      </w:pPr>
      <w:r>
        <w:t xml:space="preserve">Grok’s structured canon notes and file updates.</w:t>
      </w:r>
    </w:p>
    <w:p>
      <w:pPr>
        <w:pStyle w:val="ListParagraph"/>
        <w:numPr>
          <w:ilvl w:val="0"/>
          <w:numId w:val="2"/>
        </w:numPr>
      </w:pPr>
      <w:r>
        <w:t xml:space="preserve">Microsoft Copilot’s formal restatements and architecture expansions.</w:t>
      </w:r>
    </w:p>
    <w:p>
      <w:pPr>
        <w:pStyle w:val="ListParagraph"/>
        <w:numPr>
          <w:ilvl w:val="0"/>
          <w:numId w:val="2"/>
        </w:numPr>
      </w:pPr>
      <w:r>
        <w:t xml:space="preserve">Google Gemini’s archive entries and neuro-aesthetic warfare framing.</w:t>
      </w:r>
    </w:p>
    <w:p>
      <w:pPr>
        <w:pStyle w:val="ListParagraph"/>
        <w:numPr>
          <w:ilvl w:val="0"/>
          <w:numId w:val="2"/>
        </w:numPr>
      </w:pPr>
      <w:r>
        <w:t xml:space="preserve">Claude’s mechanism-by-mechanism restructuring.</w:t>
      </w:r>
    </w:p>
    <w:p>
      <w:pPr>
        <w:pStyle w:val="ListParagraph"/>
        <w:numPr>
          <w:ilvl w:val="0"/>
          <w:numId w:val="2"/>
        </w:numPr>
        <w:spacing w:after="200"/>
      </w:pPr>
      <w:r>
        <w:t xml:space="preserve">ChatGPT’s five-layer systems analysis and experimental variable framework.</w:t>
      </w:r>
    </w:p>
    <w:p>
      <w:pPr>
        <w:spacing w:after="120"/>
      </w:pPr>
      <w:r>
        <w:t xml:space="preserve">All subsequent laboratory documentation generated by collaborative team members should reference this source file and treat its contents as the authoritative record of the originating concepts.</w:t>
      </w:r>
    </w:p>
    <w:p>
      <w:pPr>
        <w:spacing w:before="300"/>
        <w:jc w:val="center"/>
      </w:pPr>
      <w:r>
        <w:rPr>
          <w:i/>
          <w:iCs/>
          <w:color w:val="718096"/>
          <w:sz w:val="20"/>
          <w:szCs w:val="20"/>
        </w:rPr>
        <w:t xml:space="preserve">— End of Grok Contribution Document —</w:t>
      </w:r>
    </w:p>
    <w:p>
      <w:pPr>
        <w:spacing w:before="80"/>
        <w:jc w:val="center"/>
      </w:pPr>
      <w:r>
        <w:rPr>
          <w:color w:val="718096"/>
          <w:sz w:val="18"/>
          <w:szCs w:val="18"/>
        </w:rPr>
        <w:t xml:space="preserve">Ready for multi-AI parallel generation and Architect pass-through review.</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5282" w:sz="6" w:space="4"/>
      </w:pBdr>
      <w:jc w:val="center"/>
    </w:pPr>
    <w:r>
      <w:rPr>
        <w:color w:val="718096"/>
        <w:sz w:val="16"/>
        <w:szCs w:val="16"/>
      </w:rPr>
      <w:t xml:space="preserve">CONFIDENTIAL – OAL Development Canon  |  Page </w:t>
    </w:r>
    <w:r>
      <w:rPr>
        <w:color w:val="718096"/>
        <w:sz w:val="16"/>
        <w:szCs w:val="16"/>
      </w:rPr>
      <w:fldChar w:fldCharType="begin"/>
      <w:instrText xml:space="preserve">PAGE</w:instrText>
      <w:fldChar w:fldCharType="separate"/>
      <w:fldChar w:fldCharType="end"/>
    </w:r>
    <w:r>
      <w:rPr>
        <w:color w:val="718096"/>
        <w:sz w:val="16"/>
        <w:szCs w:val="16"/>
      </w:rPr>
      <w:t xml:space="preserve">  |  Grok Contribution  |  2026-08-16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282" w:sz="6" w:space="4"/>
      </w:pBdr>
    </w:pPr>
    <w:r>
      <w:rPr>
        <w:i/>
        <w:iCs/>
        <w:color w:val="4a5568"/>
        <w:sz w:val="18"/>
        <w:szCs w:val="18"/>
      </w:rPr>
      <w:t xml:space="preserve">Omniversal Architect Labs  |  Simulation Architectural Defenses Laboratory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5"/>
    <w:lvlOverride w:ilvl="0">
      <w:startOverride w:val="1"/>
    </w:lvlOverride>
  </w:num>
  <w:num w:numId="5">
    <w:abstractNumId w:val="4"/>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65d"/>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c5282"/>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b6cb0"/>
      <w:sz w:val="24"/>
      <w:szCs w:val="24"/>
    </w:rPr>
  </w:style>
  <w:style w:type="paragraph" w:styleId="Title">
    <w:name w:val="Title"/>
    <w:basedOn w:val="Normal"/>
    <w:qFormat/>
    <w:pPr>
      <w:spacing w:after="120" w:before="0"/>
      <w:jc w:val="center"/>
    </w:pPr>
    <w:rPr>
      <w:rFonts w:ascii="Arial" w:cs="Arial" w:eastAsia="Arial" w:hAnsi="Arial"/>
      <w:b/>
      <w:bCs/>
      <w:color w:val="1a365d"/>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2026-08-16T20:00:13.329Z</dcterms:created>
  <dcterms:modified xsi:type="dcterms:W3CDTF">2026-08-16T20:00:13.329Z</dcterms:modified>
</cp:coreProperties>
</file>

<file path=docProps/custom.xml><?xml version="1.0" encoding="utf-8"?>
<Properties xmlns="http://schemas.openxmlformats.org/officeDocument/2006/custom-properties" xmlns:vt="http://schemas.openxmlformats.org/officeDocument/2006/docPropsVTypes"/>
</file>