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0"/>
        <w:jc w:val="center"/>
      </w:pPr>
      <w:r>
        <w:rPr>
          <w:rFonts w:ascii="Arial" w:cs="Arial" w:eastAsia="Arial" w:hAnsi="Arial"/>
          <w:b/>
          <w:bCs/>
          <w:color w:val="1F3864"/>
          <w:sz w:val="48"/>
          <w:szCs w:val="48"/>
        </w:rPr>
        <w:t xml:space="preserve">OMNIVERSAL ARCHITECT LABS</w:t>
      </w:r>
    </w:p>
    <w:p>
      <w:pPr>
        <w:spacing w:after="600" w:before="0"/>
        <w:jc w:val="center"/>
      </w:pPr>
      <w:r>
        <w:rPr>
          <w:rFonts w:ascii="Arial" w:cs="Arial" w:eastAsia="Arial" w:hAnsi="Arial"/>
          <w:color w:val="2E5090"/>
          <w:sz w:val="28"/>
          <w:szCs w:val="28"/>
        </w:rPr>
        <w:t xml:space="preserve">Lewis Corp | ONE Industries</w:t>
      </w:r>
    </w:p>
    <w:p>
      <w:pPr>
        <w:pBdr>
          <w:bottom w:val="single" w:color="1F3864" w:sz="6" w:space="1"/>
        </w:pBdr>
        <w:spacing w:after="400" w:before="0"/>
      </w:pPr>
      <w:r>
        <w:t xml:space="preserve"/>
      </w:r>
    </w:p>
    <w:p>
      <w:pPr>
        <w:spacing w:after="200" w:before="400"/>
        <w:jc w:val="center"/>
      </w:pPr>
      <w:r>
        <w:rPr>
          <w:rFonts w:ascii="Arial" w:cs="Arial" w:eastAsia="Arial" w:hAnsi="Arial"/>
          <w:b/>
          <w:bCs/>
          <w:color w:val="1F3864"/>
          <w:sz w:val="40"/>
          <w:szCs w:val="40"/>
        </w:rPr>
        <w:t xml:space="preserve">TESTING FRAMEWORK FAILURE PROTOCOL</w:t>
      </w:r>
    </w:p>
    <w:p>
      <w:pPr>
        <w:spacing w:after="600" w:before="0"/>
        <w:jc w:val="center"/>
      </w:pPr>
      <w:r>
        <w:rPr>
          <w:rFonts w:ascii="Arial" w:cs="Arial" w:eastAsia="Arial" w:hAnsi="Arial"/>
          <w:color w:val="555555"/>
          <w:sz w:val="24"/>
          <w:szCs w:val="24"/>
        </w:rPr>
        <w:t xml:space="preserve">Research Continuity | Failure Anticipation | Recovery Architecture</w:t>
      </w:r>
    </w:p>
    <w:p>
      <w:pPr>
        <w:spacing w:after="100" w:before="0"/>
        <w:jc w:val="center"/>
      </w:pPr>
      <w:r>
        <w:rPr>
          <w:rFonts w:ascii="Arial" w:cs="Arial" w:eastAsia="Arial" w:hAnsi="Arial"/>
          <w:color w:val="777777"/>
          <w:sz w:val="20"/>
          <w:szCs w:val="20"/>
        </w:rPr>
        <w:t xml:space="preserve">Document ID: OAL-TFFP-001 v1.0</w:t>
      </w:r>
    </w:p>
    <w:p>
      <w:pPr>
        <w:spacing w:after="100" w:before="0"/>
        <w:jc w:val="center"/>
      </w:pPr>
      <w:r>
        <w:rPr>
          <w:rFonts w:ascii="Arial" w:cs="Arial" w:eastAsia="Arial" w:hAnsi="Arial"/>
          <w:color w:val="777777"/>
          <w:sz w:val="20"/>
          <w:szCs w:val="20"/>
        </w:rPr>
        <w:t xml:space="preserve">Date: April 13, 2026</w:t>
      </w:r>
    </w:p>
    <w:p>
      <w:pPr>
        <w:spacing w:after="100" w:before="0"/>
        <w:jc w:val="center"/>
      </w:pPr>
      <w:r>
        <w:rPr>
          <w:rFonts w:ascii="Arial" w:cs="Arial" w:eastAsia="Arial" w:hAnsi="Arial"/>
          <w:color w:val="CC0000"/>
          <w:sz w:val="20"/>
          <w:szCs w:val="20"/>
        </w:rPr>
        <w:t xml:space="preserve">Status: PENDING ARCHITECT REVIEW AND ONESTAMP</w:t>
      </w:r>
    </w:p>
    <w:p>
      <w:pPr>
        <w:spacing w:after="400" w:before="0"/>
        <w:jc w:val="center"/>
      </w:pPr>
      <w:r>
        <w:rPr>
          <w:rFonts w:ascii="Arial" w:cs="Arial" w:eastAsia="Arial" w:hAnsi="Arial"/>
          <w:color w:val="777777"/>
          <w:sz w:val="20"/>
          <w:szCs w:val="20"/>
        </w:rPr>
        <w:t xml:space="preserve">Prepared by: Claude AI | OAL Multi-AI Development Team</w:t>
      </w:r>
    </w:p>
    <w:p>
      <w:pPr>
        <w:pBdr>
          <w:bottom w:val="single" w:color="1F3864" w:sz="6" w:space="1"/>
        </w:pBdr>
        <w:spacing w:after="0" w:before="0"/>
      </w:pPr>
      <w:r>
        <w:t xml:space="preserve"/>
      </w:r>
    </w:p>
    <w:p>
      <w:r>
        <w:br w:type="page"/>
      </w:r>
    </w:p>
    <w:p>
      <w:pPr>
        <w:pStyle w:val="Heading1"/>
        <w:spacing w:after="200" w:before="360"/>
      </w:pPr>
      <w:r>
        <w:rPr>
          <w:rFonts w:ascii="Arial" w:cs="Arial" w:eastAsia="Arial" w:hAnsi="Arial"/>
          <w:b/>
          <w:bCs/>
          <w:color w:val="1F3864"/>
          <w:sz w:val="32"/>
          <w:szCs w:val="32"/>
        </w:rPr>
        <w:t xml:space="preserve">TABLE OF CONTENTS</w:t>
      </w:r>
    </w:p>
    <w:p>
      <w:pPr>
        <w:spacing w:after="80" w:before="80"/>
      </w:pPr>
      <w:r>
        <w:rPr>
          <w:rFonts w:ascii="Arial" w:cs="Arial" w:eastAsia="Arial" w:hAnsi="Arial"/>
          <w:sz w:val="22"/>
          <w:szCs w:val="22"/>
        </w:rPr>
        <w:t xml:space="preserve">Section 1 — Document Overview and Purpose</w:t>
      </w:r>
    </w:p>
    <w:p>
      <w:pPr>
        <w:spacing w:after="80" w:before="80"/>
      </w:pPr>
      <w:r>
        <w:rPr>
          <w:rFonts w:ascii="Arial" w:cs="Arial" w:eastAsia="Arial" w:hAnsi="Arial"/>
          <w:sz w:val="22"/>
          <w:szCs w:val="22"/>
        </w:rPr>
        <w:t xml:space="preserve">Section 2 — Mission Statement</w:t>
      </w:r>
    </w:p>
    <w:p>
      <w:pPr>
        <w:spacing w:after="80" w:before="80"/>
      </w:pPr>
      <w:r>
        <w:rPr>
          <w:rFonts w:ascii="Arial" w:cs="Arial" w:eastAsia="Arial" w:hAnsi="Arial"/>
          <w:sz w:val="22"/>
          <w:szCs w:val="22"/>
        </w:rPr>
        <w:t xml:space="preserve">Section 3 — Justification: Why This Protocol Must Exist</w:t>
      </w:r>
    </w:p>
    <w:p>
      <w:pPr>
        <w:spacing w:after="80" w:before="80"/>
      </w:pPr>
      <w:r>
        <w:rPr>
          <w:rFonts w:ascii="Arial" w:cs="Arial" w:eastAsia="Arial" w:hAnsi="Arial"/>
          <w:sz w:val="22"/>
          <w:szCs w:val="22"/>
        </w:rPr>
        <w:t xml:space="preserve">Section 4 — The Categorical Distinction: Failure vs. Failure Blindness</w:t>
      </w:r>
    </w:p>
    <w:p>
      <w:pPr>
        <w:spacing w:after="80" w:before="80"/>
      </w:pPr>
      <w:r>
        <w:rPr>
          <w:rFonts w:ascii="Arial" w:cs="Arial" w:eastAsia="Arial" w:hAnsi="Arial"/>
          <w:sz w:val="22"/>
          <w:szCs w:val="22"/>
        </w:rPr>
        <w:t xml:space="preserve">Section 5 — Failure Classification Taxonomy</w:t>
      </w:r>
    </w:p>
    <w:p>
      <w:pPr>
        <w:spacing w:after="80" w:before="80"/>
      </w:pPr>
      <w:r>
        <w:rPr>
          <w:rFonts w:ascii="Arial" w:cs="Arial" w:eastAsia="Arial" w:hAnsi="Arial"/>
          <w:sz w:val="22"/>
          <w:szCs w:val="22"/>
        </w:rPr>
        <w:t xml:space="preserve">Section 6 — Early Warning and Detection System</w:t>
      </w:r>
    </w:p>
    <w:p>
      <w:pPr>
        <w:spacing w:after="80" w:before="80"/>
      </w:pPr>
      <w:r>
        <w:rPr>
          <w:rFonts w:ascii="Arial" w:cs="Arial" w:eastAsia="Arial" w:hAnsi="Arial"/>
          <w:sz w:val="22"/>
          <w:szCs w:val="22"/>
        </w:rPr>
        <w:t xml:space="preserve">Section 7 — Protocol Response Architecture</w:t>
      </w:r>
    </w:p>
    <w:p>
      <w:pPr>
        <w:spacing w:after="80" w:before="80"/>
      </w:pPr>
      <w:r>
        <w:rPr>
          <w:rFonts w:ascii="Arial" w:cs="Arial" w:eastAsia="Arial" w:hAnsi="Arial"/>
          <w:sz w:val="22"/>
          <w:szCs w:val="22"/>
        </w:rPr>
        <w:t xml:space="preserve">Section 8 — No-Subject / No-Participant Continuity Protocols</w:t>
      </w:r>
    </w:p>
    <w:p>
      <w:pPr>
        <w:spacing w:after="80" w:before="80"/>
      </w:pPr>
      <w:r>
        <w:rPr>
          <w:rFonts w:ascii="Arial" w:cs="Arial" w:eastAsia="Arial" w:hAnsi="Arial"/>
          <w:sz w:val="22"/>
          <w:szCs w:val="22"/>
        </w:rPr>
        <w:t xml:space="preserve">Section 9 — Resource and Funding Failure Response</w:t>
      </w:r>
    </w:p>
    <w:p>
      <w:pPr>
        <w:spacing w:after="80" w:before="80"/>
      </w:pPr>
      <w:r>
        <w:rPr>
          <w:rFonts w:ascii="Arial" w:cs="Arial" w:eastAsia="Arial" w:hAnsi="Arial"/>
          <w:sz w:val="22"/>
          <w:szCs w:val="22"/>
        </w:rPr>
        <w:t xml:space="preserve">Section 10 — Staff and Personnel Failure Response</w:t>
      </w:r>
    </w:p>
    <w:p>
      <w:pPr>
        <w:spacing w:after="80" w:before="80"/>
      </w:pPr>
      <w:r>
        <w:rPr>
          <w:rFonts w:ascii="Arial" w:cs="Arial" w:eastAsia="Arial" w:hAnsi="Arial"/>
          <w:sz w:val="22"/>
          <w:szCs w:val="22"/>
        </w:rPr>
        <w:t xml:space="preserve">Section 11 — Environmental and Infrastructure Failure Response</w:t>
      </w:r>
    </w:p>
    <w:p>
      <w:pPr>
        <w:spacing w:after="80" w:before="80"/>
      </w:pPr>
      <w:r>
        <w:rPr>
          <w:rFonts w:ascii="Arial" w:cs="Arial" w:eastAsia="Arial" w:hAnsi="Arial"/>
          <w:sz w:val="22"/>
          <w:szCs w:val="22"/>
        </w:rPr>
        <w:t xml:space="preserve">Section 12 — Reputational and External Threat Response</w:t>
      </w:r>
    </w:p>
    <w:p>
      <w:pPr>
        <w:spacing w:after="80" w:before="80"/>
      </w:pPr>
      <w:r>
        <w:rPr>
          <w:rFonts w:ascii="Arial" w:cs="Arial" w:eastAsia="Arial" w:hAnsi="Arial"/>
          <w:sz w:val="22"/>
          <w:szCs w:val="22"/>
        </w:rPr>
        <w:t xml:space="preserve">Section 13 — Recursive Improvement and Learning Integration</w:t>
      </w:r>
    </w:p>
    <w:p>
      <w:pPr>
        <w:spacing w:after="80" w:before="80"/>
      </w:pPr>
      <w:r>
        <w:rPr>
          <w:rFonts w:ascii="Arial" w:cs="Arial" w:eastAsia="Arial" w:hAnsi="Arial"/>
          <w:sz w:val="22"/>
          <w:szCs w:val="22"/>
        </w:rPr>
        <w:t xml:space="preserve">Section 14 — Funding Proposal</w:t>
      </w:r>
    </w:p>
    <w:p>
      <w:pPr>
        <w:spacing w:after="80" w:before="80"/>
      </w:pPr>
      <w:r>
        <w:rPr>
          <w:rFonts w:ascii="Arial" w:cs="Arial" w:eastAsia="Arial" w:hAnsi="Arial"/>
          <w:sz w:val="22"/>
          <w:szCs w:val="22"/>
        </w:rPr>
        <w:t xml:space="preserve">Section 15 — Ethics and Morality Framework</w:t>
      </w:r>
    </w:p>
    <w:p>
      <w:pPr>
        <w:spacing w:after="80" w:before="80"/>
      </w:pPr>
      <w:r>
        <w:rPr>
          <w:rFonts w:ascii="Arial" w:cs="Arial" w:eastAsia="Arial" w:hAnsi="Arial"/>
          <w:sz w:val="22"/>
          <w:szCs w:val="22"/>
        </w:rPr>
        <w:t xml:space="preserve">Section 16 — What Is Working</w:t>
      </w:r>
    </w:p>
    <w:p>
      <w:pPr>
        <w:spacing w:after="80" w:before="80"/>
      </w:pPr>
      <w:r>
        <w:rPr>
          <w:rFonts w:ascii="Arial" w:cs="Arial" w:eastAsia="Arial" w:hAnsi="Arial"/>
          <w:sz w:val="22"/>
          <w:szCs w:val="22"/>
        </w:rPr>
        <w:t xml:space="preserve">Section 17 — What Is Not Working and Needs Development</w:t>
      </w:r>
    </w:p>
    <w:p>
      <w:pPr>
        <w:spacing w:after="80" w:before="80"/>
      </w:pPr>
      <w:r>
        <w:rPr>
          <w:rFonts w:ascii="Arial" w:cs="Arial" w:eastAsia="Arial" w:hAnsi="Arial"/>
          <w:sz w:val="22"/>
          <w:szCs w:val="22"/>
        </w:rPr>
        <w:t xml:space="preserve">Section 18 — Red Team Analysis</w:t>
      </w:r>
    </w:p>
    <w:p>
      <w:pPr>
        <w:spacing w:after="80" w:before="80"/>
      </w:pPr>
      <w:r>
        <w:rPr>
          <w:rFonts w:ascii="Arial" w:cs="Arial" w:eastAsia="Arial" w:hAnsi="Arial"/>
          <w:sz w:val="22"/>
          <w:szCs w:val="22"/>
        </w:rPr>
        <w:t xml:space="preserve">Section 19 — Primary Concerns and Critical Risks</w:t>
      </w:r>
    </w:p>
    <w:p>
      <w:pPr>
        <w:spacing w:after="80" w:before="80"/>
      </w:pPr>
      <w:r>
        <w:rPr>
          <w:rFonts w:ascii="Arial" w:cs="Arial" w:eastAsia="Arial" w:hAnsi="Arial"/>
          <w:sz w:val="22"/>
          <w:szCs w:val="22"/>
        </w:rPr>
        <w:t xml:space="preserve">Section 20 — Dependency Registry and Cross-References</w:t>
      </w:r>
    </w:p>
    <w:p>
      <w:pPr>
        <w:spacing w:after="80" w:before="80"/>
      </w:pPr>
      <w:r>
        <w:rPr>
          <w:rFonts w:ascii="Arial" w:cs="Arial" w:eastAsia="Arial" w:hAnsi="Arial"/>
          <w:sz w:val="22"/>
          <w:szCs w:val="22"/>
        </w:rPr>
        <w:t xml:space="preserve">Section 21 — Document Version Log</w:t>
      </w:r>
    </w:p>
    <w:p>
      <w:pPr>
        <w:pBdr>
          <w:bottom w:val="single" w:color="CCCCCC" w:sz="4" w:space="1"/>
        </w:pBdr>
        <w:spacing w:after="200" w:before="200"/>
      </w:pPr>
      <w:r>
        <w:t xml:space="preserve"/>
      </w:r>
    </w:p>
    <w:p>
      <w:r>
        <w:br w:type="page"/>
      </w:r>
    </w:p>
    <w:p>
      <w:pPr>
        <w:pStyle w:val="Heading1"/>
        <w:spacing w:after="200" w:before="360"/>
      </w:pPr>
      <w:r>
        <w:rPr>
          <w:rFonts w:ascii="Arial" w:cs="Arial" w:eastAsia="Arial" w:hAnsi="Arial"/>
          <w:b/>
          <w:bCs/>
          <w:color w:val="1F3864"/>
          <w:sz w:val="32"/>
          <w:szCs w:val="32"/>
        </w:rPr>
        <w:t xml:space="preserve">SECTION 1 — DOCUMENT OVERVIEW AND PURPOSE</w:t>
      </w:r>
    </w:p>
    <w:p>
      <w:pPr>
        <w:spacing w:after="80" w:before="80"/>
      </w:pPr>
      <w:r>
        <w:rPr>
          <w:rFonts w:ascii="Arial" w:cs="Arial" w:eastAsia="Arial" w:hAnsi="Arial"/>
          <w:b/>
          <w:bCs/>
          <w:sz w:val="22"/>
          <w:szCs w:val="22"/>
        </w:rPr>
        <w:t xml:space="preserve">Full Title: </w:t>
      </w:r>
      <w:r>
        <w:rPr>
          <w:rFonts w:ascii="Arial" w:cs="Arial" w:eastAsia="Arial" w:hAnsi="Arial"/>
          <w:sz w:val="22"/>
          <w:szCs w:val="22"/>
        </w:rPr>
        <w:t xml:space="preserve">Testing Framework Failure Protocol</w:t>
      </w:r>
    </w:p>
    <w:p>
      <w:pPr>
        <w:spacing w:after="80" w:before="80"/>
      </w:pPr>
      <w:r>
        <w:rPr>
          <w:rFonts w:ascii="Arial" w:cs="Arial" w:eastAsia="Arial" w:hAnsi="Arial"/>
          <w:b/>
          <w:bCs/>
          <w:sz w:val="22"/>
          <w:szCs w:val="22"/>
        </w:rPr>
        <w:t xml:space="preserve">Short Designation: </w:t>
      </w:r>
      <w:r>
        <w:rPr>
          <w:rFonts w:ascii="Arial" w:cs="Arial" w:eastAsia="Arial" w:hAnsi="Arial"/>
          <w:sz w:val="22"/>
          <w:szCs w:val="22"/>
        </w:rPr>
        <w:t xml:space="preserve">TFFP</w:t>
      </w:r>
    </w:p>
    <w:p>
      <w:pPr>
        <w:spacing w:after="80" w:before="80"/>
      </w:pPr>
      <w:r>
        <w:rPr>
          <w:rFonts w:ascii="Arial" w:cs="Arial" w:eastAsia="Arial" w:hAnsi="Arial"/>
          <w:b/>
          <w:bCs/>
          <w:sz w:val="22"/>
          <w:szCs w:val="22"/>
        </w:rPr>
        <w:t xml:space="preserve">Document ID: </w:t>
      </w:r>
      <w:r>
        <w:rPr>
          <w:rFonts w:ascii="Arial" w:cs="Arial" w:eastAsia="Arial" w:hAnsi="Arial"/>
          <w:sz w:val="22"/>
          <w:szCs w:val="22"/>
        </w:rPr>
        <w:t xml:space="preserve">OAL-TFFP-001</w:t>
      </w:r>
    </w:p>
    <w:p>
      <w:pPr>
        <w:spacing w:after="80" w:before="80"/>
      </w:pPr>
      <w:r>
        <w:rPr>
          <w:rFonts w:ascii="Arial" w:cs="Arial" w:eastAsia="Arial" w:hAnsi="Arial"/>
          <w:b/>
          <w:bCs/>
          <w:sz w:val="22"/>
          <w:szCs w:val="22"/>
        </w:rPr>
        <w:t xml:space="preserve">Classification: </w:t>
      </w:r>
      <w:r>
        <w:rPr>
          <w:rFonts w:ascii="Arial" w:cs="Arial" w:eastAsia="Arial" w:hAnsi="Arial"/>
          <w:sz w:val="22"/>
          <w:szCs w:val="22"/>
        </w:rPr>
        <w:t xml:space="preserve">Research Governance | Continuity Planning | Failure Architecture</w:t>
      </w:r>
    </w:p>
    <w:p>
      <w:pPr>
        <w:spacing w:after="80" w:before="80"/>
      </w:pPr>
      <w:r>
        <w:rPr>
          <w:rFonts w:ascii="Arial" w:cs="Arial" w:eastAsia="Arial" w:hAnsi="Arial"/>
          <w:b/>
          <w:bCs/>
          <w:sz w:val="22"/>
          <w:szCs w:val="22"/>
        </w:rPr>
        <w:t xml:space="preserve">Applies To: </w:t>
      </w:r>
      <w:r>
        <w:rPr>
          <w:rFonts w:ascii="Arial" w:cs="Arial" w:eastAsia="Arial" w:hAnsi="Arial"/>
          <w:sz w:val="22"/>
          <w:szCs w:val="22"/>
        </w:rPr>
        <w:t xml:space="preserve">All OAL, Lewis Corp, and ONE Industries research, trial, simulation, and study operations</w:t>
      </w:r>
    </w:p>
    <w:p>
      <w:pPr>
        <w:spacing w:after="60" w:before="60"/>
      </w:pPr>
      <w:r>
        <w:t xml:space="preserve"/>
      </w:r>
    </w:p>
    <w:p>
      <w:pPr>
        <w:spacing w:after="80" w:before="80"/>
      </w:pPr>
      <w:r>
        <w:rPr>
          <w:rFonts w:ascii="Arial" w:cs="Arial" w:eastAsia="Arial" w:hAnsi="Arial"/>
          <w:sz w:val="22"/>
          <w:szCs w:val="22"/>
        </w:rPr>
        <w:t xml:space="preserve">The Testing Framework Failure Protocol (TFFP) is a governance and operational document that establishes standard procedures for recognizing, categorizing, and responding to conditions that prevent a research study, trial, simulation, or laboratory operation from continuing. It does not address routine error states within a running trial. It addresses the categorical condition where the trial itself — its infrastructure, participants, resources, environment, or institutional support — can no longer function.</w:t>
      </w:r>
    </w:p>
    <w:p>
      <w:pPr>
        <w:spacing w:after="80" w:before="80"/>
      </w:pPr>
      <w:r>
        <w:rPr>
          <w:rFonts w:ascii="Arial" w:cs="Arial" w:eastAsia="Arial" w:hAnsi="Arial"/>
          <w:sz w:val="22"/>
          <w:szCs w:val="22"/>
        </w:rPr>
        <w:t xml:space="preserve">This distinction is foundational. An error during a trial is a data point. The inability to run the trial at all is a structural failure of a different order. The TFFP governs the second category exclusively. Its purpose is threefold:</w:t>
      </w:r>
    </w:p>
    <w:p>
      <w:pPr>
        <w:pStyle w:val="ListParagraph"/>
        <w:numPr>
          <w:ilvl w:val="0"/>
          <w:numId w:val="2"/>
        </w:numPr>
        <w:spacing w:after="60" w:before="60"/>
      </w:pPr>
      <w:r>
        <w:rPr>
          <w:rFonts w:ascii="Arial" w:cs="Arial" w:eastAsia="Arial" w:hAnsi="Arial"/>
          <w:sz w:val="22"/>
          <w:szCs w:val="22"/>
        </w:rPr>
        <w:t xml:space="preserve">To identify the early indicators of framework failure before they become terminal conditions.</w:t>
      </w:r>
    </w:p>
    <w:p>
      <w:pPr>
        <w:pStyle w:val="ListParagraph"/>
        <w:numPr>
          <w:ilvl w:val="0"/>
          <w:numId w:val="2"/>
        </w:numPr>
        <w:spacing w:after="60" w:before="60"/>
      </w:pPr>
      <w:r>
        <w:rPr>
          <w:rFonts w:ascii="Arial" w:cs="Arial" w:eastAsia="Arial" w:hAnsi="Arial"/>
          <w:sz w:val="22"/>
          <w:szCs w:val="22"/>
        </w:rPr>
        <w:t xml:space="preserve">To establish clear, pre-authorized response protocols for each failure category so that teams do not improvise under crisis conditions.</w:t>
      </w:r>
    </w:p>
    <w:p>
      <w:pPr>
        <w:pStyle w:val="ListParagraph"/>
        <w:numPr>
          <w:ilvl w:val="0"/>
          <w:numId w:val="2"/>
        </w:numPr>
        <w:spacing w:after="60" w:before="60"/>
      </w:pPr>
      <w:r>
        <w:rPr>
          <w:rFonts w:ascii="Arial" w:cs="Arial" w:eastAsia="Arial" w:hAnsi="Arial"/>
          <w:sz w:val="22"/>
          <w:szCs w:val="22"/>
        </w:rPr>
        <w:t xml:space="preserve">To ensure that every failure event — regardless of how it arose — is captured, analyzed, and fed back into the recursive improvement architecture of the Abundance Set and the Department of Endings.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Core Design Principle</w:t>
            </w:r>
          </w:p>
          <w:p>
            <w:pPr>
              <w:spacing w:after="60" w:before="60"/>
            </w:pPr>
            <w:r>
              <w:rPr>
                <w:rFonts w:ascii="Arial" w:cs="Arial" w:eastAsia="Arial" w:hAnsi="Arial"/>
                <w:sz w:val="22"/>
                <w:szCs w:val="22"/>
              </w:rPr>
              <w:t xml:space="preserve">Failure is not a probability. It is a certainty distributed across time. The question is not whether any given project will encounter framework failure — it is whether the organization is positioned to see it coming, respond effectively, and learn from it rather than repeat it.</w:t>
            </w:r>
          </w:p>
        </w:tc>
      </w:tr>
    </w:tbl>
    <w:p>
      <w:pPr>
        <w:spacing w:after="60" w:before="60"/>
      </w:pPr>
      <w:r>
        <w:t xml:space="preserve"/>
      </w:r>
    </w:p>
    <w:p>
      <w:r>
        <w:br w:type="page"/>
      </w:r>
    </w:p>
    <w:p>
      <w:pPr>
        <w:pStyle w:val="Heading1"/>
        <w:spacing w:after="200" w:before="360"/>
      </w:pPr>
      <w:r>
        <w:rPr>
          <w:rFonts w:ascii="Arial" w:cs="Arial" w:eastAsia="Arial" w:hAnsi="Arial"/>
          <w:b/>
          <w:bCs/>
          <w:color w:val="1F3864"/>
          <w:sz w:val="32"/>
          <w:szCs w:val="32"/>
        </w:rPr>
        <w:t xml:space="preserve">SECTION 2 — MISSION STATEMENT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Mission Statement</w:t>
            </w:r>
          </w:p>
          <w:p>
            <w:pPr>
              <w:spacing w:after="60" w:before="60"/>
            </w:pPr>
            <w:r>
              <w:rPr>
                <w:rFonts w:ascii="Arial" w:cs="Arial" w:eastAsia="Arial" w:hAnsi="Arial"/>
                <w:sz w:val="22"/>
                <w:szCs w:val="22"/>
              </w:rPr>
              <w:t xml:space="preserve">To establish a proactive, comprehensive, and recursively improving protocol architecture that detects, categorizes, and responds to conditions that threaten the continuity of research and study operations — ensuring that no failure occurs without being anticipated where possible, documented without exception, and learned from without fail. The TFFP exists so that the end of any given trial is never the end of what that trial can teach.</w:t>
            </w:r>
          </w:p>
        </w:tc>
      </w:tr>
    </w:tbl>
    <w:p>
      <w:pPr>
        <w:spacing w:after="60" w:before="60"/>
      </w:pPr>
      <w:r>
        <w:t xml:space="preserve"/>
      </w:r>
    </w:p>
    <w:p>
      <w:pPr>
        <w:spacing w:after="80" w:before="80"/>
      </w:pPr>
      <w:r>
        <w:rPr>
          <w:rFonts w:ascii="Arial" w:cs="Arial" w:eastAsia="Arial" w:hAnsi="Arial"/>
          <w:sz w:val="22"/>
          <w:szCs w:val="22"/>
        </w:rPr>
        <w:t xml:space="preserve">The TFFP embodies the same design philosophy as Conditional Failure at the Root Level (OAL-VL5-MAR22-2026): the goal is not to prevent failure — it is to prepare for it before it becomes a crisis. Build the redundancy in from the start. Model every failure condition before you are in disaster mode. Stop reacting and start anticipating.</w:t>
      </w:r>
    </w:p>
    <w:p>
      <w:r>
        <w:br w:type="page"/>
      </w:r>
    </w:p>
    <w:p>
      <w:pPr>
        <w:pStyle w:val="Heading1"/>
        <w:spacing w:after="200" w:before="360"/>
      </w:pPr>
      <w:r>
        <w:rPr>
          <w:rFonts w:ascii="Arial" w:cs="Arial" w:eastAsia="Arial" w:hAnsi="Arial"/>
          <w:b/>
          <w:bCs/>
          <w:color w:val="1F3864"/>
          <w:sz w:val="32"/>
          <w:szCs w:val="32"/>
        </w:rPr>
        <w:t xml:space="preserve">SECTION 3 — JUSTIFICATION: WHY THIS PROTOCOL MUST EXIST</w:t>
      </w:r>
    </w:p>
    <w:p>
      <w:pPr>
        <w:pStyle w:val="Heading2"/>
        <w:spacing w:after="140" w:before="280"/>
      </w:pPr>
      <w:r>
        <w:rPr>
          <w:rFonts w:ascii="Arial" w:cs="Arial" w:eastAsia="Arial" w:hAnsi="Arial"/>
          <w:b/>
          <w:bCs/>
          <w:color w:val="2E5090"/>
          <w:sz w:val="26"/>
          <w:szCs w:val="26"/>
        </w:rPr>
        <w:t xml:space="preserve">3.1 The Inevitability of Framework Failure</w:t>
      </w:r>
    </w:p>
    <w:p>
      <w:pPr>
        <w:spacing w:after="80" w:before="80"/>
      </w:pPr>
      <w:r>
        <w:rPr>
          <w:rFonts w:ascii="Arial" w:cs="Arial" w:eastAsia="Arial" w:hAnsi="Arial"/>
          <w:sz w:val="22"/>
          <w:szCs w:val="22"/>
        </w:rPr>
        <w:t xml:space="preserve">Every research program in human history has encountered conditions that threatened or ended its ability to operate. The Tuskegee study ended under reputational collapse and federal intervention. Milgram's obedience experiments were eventually terminated under ethical pressure. The Stanford Prison Experiment lasted six days. The common factor in catastrophic research program failures is not that something went wrong — things always go wrong. The common factor is that there was no pre-established protocol for what to do when the framework itself broke down.</w:t>
      </w:r>
    </w:p>
    <w:p>
      <w:pPr>
        <w:spacing w:after="80" w:before="80"/>
      </w:pPr>
      <w:r>
        <w:rPr>
          <w:rFonts w:ascii="Arial" w:cs="Arial" w:eastAsia="Arial" w:hAnsi="Arial"/>
          <w:sz w:val="22"/>
          <w:szCs w:val="22"/>
        </w:rPr>
        <w:t xml:space="preserve">Without a TFFP, research teams do one of two things when facing framework failure: they improvise — which produces inconsistent, undocumented, and often ethically compromised responses — or they continue when they should stop, producing invalid data and potential harm. Both outcomes are worse than the failure itself.</w:t>
      </w:r>
    </w:p>
    <w:p>
      <w:pPr>
        <w:pStyle w:val="Heading2"/>
        <w:spacing w:after="140" w:before="280"/>
      </w:pPr>
      <w:r>
        <w:rPr>
          <w:rFonts w:ascii="Arial" w:cs="Arial" w:eastAsia="Arial" w:hAnsi="Arial"/>
          <w:b/>
          <w:bCs/>
          <w:color w:val="2E5090"/>
          <w:sz w:val="26"/>
          <w:szCs w:val="26"/>
        </w:rPr>
        <w:t xml:space="preserve">3.2 The Specific Gaps This Protocol Addresses</w:t>
      </w:r>
    </w:p>
    <w:p>
      <w:pPr>
        <w:pStyle w:val="ListParagraph"/>
        <w:numPr>
          <w:ilvl w:val="0"/>
          <w:numId w:val="3"/>
        </w:numPr>
        <w:spacing w:after="60" w:before="60"/>
      </w:pPr>
      <w:r>
        <w:rPr>
          <w:rFonts w:ascii="Arial" w:cs="Arial" w:eastAsia="Arial" w:hAnsi="Arial"/>
          <w:sz w:val="22"/>
          <w:szCs w:val="22"/>
        </w:rPr>
        <w:t xml:space="preserve">No protocol exists in the current OAL documentation for conditions where no test subjects or participants are available and none can be recruited</w:t>
      </w:r>
    </w:p>
    <w:p>
      <w:pPr>
        <w:pStyle w:val="ListParagraph"/>
        <w:numPr>
          <w:ilvl w:val="0"/>
          <w:numId w:val="3"/>
        </w:numPr>
        <w:spacing w:after="60" w:before="60"/>
      </w:pPr>
      <w:r>
        <w:rPr>
          <w:rFonts w:ascii="Arial" w:cs="Arial" w:eastAsia="Arial" w:hAnsi="Arial"/>
          <w:sz w:val="22"/>
          <w:szCs w:val="22"/>
        </w:rPr>
        <w:t xml:space="preserve">No protocol exists for conditions where funding collapse is imminent or has occurred and research cannot continue in its current form</w:t>
      </w:r>
    </w:p>
    <w:p>
      <w:pPr>
        <w:pStyle w:val="ListParagraph"/>
        <w:numPr>
          <w:ilvl w:val="0"/>
          <w:numId w:val="3"/>
        </w:numPr>
        <w:spacing w:after="60" w:before="60"/>
      </w:pPr>
      <w:r>
        <w:rPr>
          <w:rFonts w:ascii="Arial" w:cs="Arial" w:eastAsia="Arial" w:hAnsi="Arial"/>
          <w:sz w:val="22"/>
          <w:szCs w:val="22"/>
        </w:rPr>
        <w:t xml:space="preserve">No protocol exists for conditions where staff attrition, conflict, or external pressure has removed the personnel required to run the trial</w:t>
      </w:r>
    </w:p>
    <w:p>
      <w:pPr>
        <w:pStyle w:val="ListParagraph"/>
        <w:numPr>
          <w:ilvl w:val="0"/>
          <w:numId w:val="3"/>
        </w:numPr>
        <w:spacing w:after="60" w:before="60"/>
      </w:pPr>
      <w:r>
        <w:rPr>
          <w:rFonts w:ascii="Arial" w:cs="Arial" w:eastAsia="Arial" w:hAnsi="Arial"/>
          <w:sz w:val="22"/>
          <w:szCs w:val="22"/>
        </w:rPr>
        <w:t xml:space="preserve">No protocol exists for conditions where reputational damage has made participant recruitment or institutional partnership impossible</w:t>
      </w:r>
    </w:p>
    <w:p>
      <w:pPr>
        <w:pStyle w:val="ListParagraph"/>
        <w:numPr>
          <w:ilvl w:val="0"/>
          <w:numId w:val="3"/>
        </w:numPr>
        <w:spacing w:after="60" w:before="60"/>
      </w:pPr>
      <w:r>
        <w:rPr>
          <w:rFonts w:ascii="Arial" w:cs="Arial" w:eastAsia="Arial" w:hAnsi="Arial"/>
          <w:sz w:val="22"/>
          <w:szCs w:val="22"/>
        </w:rPr>
        <w:t xml:space="preserve">No protocol exists for conditions where environmental or infrastructure failure makes the research environment non-operational</w:t>
      </w:r>
    </w:p>
    <w:p>
      <w:pPr>
        <w:pStyle w:val="ListParagraph"/>
        <w:numPr>
          <w:ilvl w:val="0"/>
          <w:numId w:val="3"/>
        </w:numPr>
        <w:spacing w:after="60" w:before="60"/>
      </w:pPr>
      <w:r>
        <w:rPr>
          <w:rFonts w:ascii="Arial" w:cs="Arial" w:eastAsia="Arial" w:hAnsi="Arial"/>
          <w:sz w:val="22"/>
          <w:szCs w:val="22"/>
        </w:rPr>
        <w:t xml:space="preserve">No protocol exists for what to do with data collected to the point of failure — whether it is preserved, published, archived, or destroyed</w:t>
      </w:r>
    </w:p>
    <w:p>
      <w:pPr>
        <w:pStyle w:val="Heading2"/>
        <w:spacing w:after="140" w:before="280"/>
      </w:pPr>
      <w:r>
        <w:rPr>
          <w:rFonts w:ascii="Arial" w:cs="Arial" w:eastAsia="Arial" w:hAnsi="Arial"/>
          <w:b/>
          <w:bCs/>
          <w:color w:val="2E5090"/>
          <w:sz w:val="26"/>
          <w:szCs w:val="26"/>
        </w:rPr>
        <w:t xml:space="preserve">3.3 The Recursive Improvement Requirement</w:t>
      </w:r>
    </w:p>
    <w:p>
      <w:pPr>
        <w:spacing w:after="80" w:before="80"/>
      </w:pPr>
      <w:r>
        <w:rPr>
          <w:rFonts w:ascii="Arial" w:cs="Arial" w:eastAsia="Arial" w:hAnsi="Arial"/>
          <w:sz w:val="22"/>
          <w:szCs w:val="22"/>
        </w:rPr>
        <w:t xml:space="preserve">The TFFP is not only a response architecture. It is a data collection architecture. Every framework failure — regardless of category, cause, or severity — produces information that is valuable to future research operations. The TFFP ensures that this information is captured in a standardized format, fed into the Abundance Set, and made available to the Department of Endings for systematic failure analysis. The self-studying research infrastructure that is central to the OAL design philosophy is only as good as the quality and completeness of the failure data it processes. The TFFP is what makes that data complete.</w:t>
      </w:r>
    </w:p>
    <w:p>
      <w:r>
        <w:br w:type="page"/>
      </w:r>
    </w:p>
    <w:p>
      <w:pPr>
        <w:pStyle w:val="Heading1"/>
        <w:spacing w:after="200" w:before="360"/>
      </w:pPr>
      <w:r>
        <w:rPr>
          <w:rFonts w:ascii="Arial" w:cs="Arial" w:eastAsia="Arial" w:hAnsi="Arial"/>
          <w:b/>
          <w:bCs/>
          <w:color w:val="1F3864"/>
          <w:sz w:val="32"/>
          <w:szCs w:val="32"/>
        </w:rPr>
        <w:t xml:space="preserve">SECTION 4 — THE CATEGORICAL DISTINCTION: FAILURE VS. FAILURE BLINDNESS</w:t>
      </w:r>
    </w:p>
    <w:p>
      <w:pPr>
        <w:spacing w:after="80" w:before="80"/>
      </w:pPr>
      <w:r>
        <w:rPr>
          <w:rFonts w:ascii="Arial" w:cs="Arial" w:eastAsia="Arial" w:hAnsi="Arial"/>
          <w:sz w:val="22"/>
          <w:szCs w:val="22"/>
        </w:rPr>
        <w:t xml:space="preserve">Nathan's voice note makes a distinction that is worth formalizing explicitly. There are two ways a research program can fail. The first is operational failure — something goes wrong within the trial and is detected, logged, and addressed. This is manageable. The second is framework failure — the conditions that make the trial possible cease to exist. This is categorically different and requires a categorically different response.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Operational Failure</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An error, anomaly, or unexpected result that occurs within a running trial. The trial can continue. The failure is data. This is handled by standard research error protocols, not the TFFP.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 Failure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condition that prevents the trial from running at all, or that invalidates the conditions under which the trial was designed. The TFFP governs this category exclusively.</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Failure Blindness</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The most dangerous category: a framework failure that is not recognized as such. The trial continues under conditions that no longer support valid research. Data is collected but is invalid. Resources are consumed. Harm may occur. The TFFP's early warning system exists specifically to prevent this.</w:t>
            </w:r>
          </w:p>
        </w:tc>
      </w:tr>
    </w:tbl>
    <w:p>
      <w:pPr>
        <w:spacing w:after="60" w:before="60"/>
      </w:pPr>
      <w:r>
        <w:t xml:space="preserve"/>
      </w:r>
    </w:p>
    <w:p>
      <w:pPr>
        <w:spacing w:after="80" w:before="80"/>
      </w:pPr>
      <w:r>
        <w:rPr>
          <w:rFonts w:ascii="Arial" w:cs="Arial" w:eastAsia="Arial" w:hAnsi="Arial"/>
          <w:sz w:val="22"/>
          <w:szCs w:val="22"/>
        </w:rPr>
        <w:t xml:space="preserve">The TFFP is primarily a defense against Failure Blindness. A research program that stops when it can no longer function is doing the right thing. A research program that continues — under invalid conditions, without participants who can meaningfully consent, without resources to complete the protocol, or without the institutional support required for ethical operation — is producing bad science and creating liability. The TFFP provides the institutional permission structure to stop.</w:t>
      </w:r>
    </w:p>
    <w:p>
      <w:r>
        <w:br w:type="page"/>
      </w:r>
    </w:p>
    <w:p>
      <w:pPr>
        <w:pStyle w:val="Heading1"/>
        <w:spacing w:after="200" w:before="360"/>
      </w:pPr>
      <w:r>
        <w:rPr>
          <w:rFonts w:ascii="Arial" w:cs="Arial" w:eastAsia="Arial" w:hAnsi="Arial"/>
          <w:b/>
          <w:bCs/>
          <w:color w:val="1F3864"/>
          <w:sz w:val="32"/>
          <w:szCs w:val="32"/>
        </w:rPr>
        <w:t xml:space="preserve">SECTION 5 — FAILURE CLASSIFICATION TAXONOMY</w:t>
      </w:r>
    </w:p>
    <w:p>
      <w:pPr>
        <w:spacing w:after="80" w:before="80"/>
      </w:pPr>
      <w:r>
        <w:rPr>
          <w:rFonts w:ascii="Arial" w:cs="Arial" w:eastAsia="Arial" w:hAnsi="Arial"/>
          <w:sz w:val="22"/>
          <w:szCs w:val="22"/>
        </w:rPr>
        <w:t xml:space="preserve">All framework failures are classified under one of six primary categories. Each category has distinct early warning indicators, response protocols, and documentation requirements.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Failure Class</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 and Triggers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Class I — Participant Failure</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 subjects or participants are available or can be recruited. Triggers: participant dropout below minimum viable n; exclusion criteria eliminating the available population; consent withdrawal cascade; reputational events making recruitment impossible; no new participants can be found within the trial's timeline.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II — Resource Failure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Funding, materials, equipment, or computational infrastructure is insufficient to continue. Triggers: funding withdrawal or exhaustion; equipment failure with no replacement pathway; computational infrastructure collapse (relevant to Paragon Cube-dependent simulations); supply chain disruption for required materials.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Class III — Personnel Failure</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Staff attrition, conflict, external pressure, incapacitation, or departure has removed personnel required for the trial to operate. Triggers: principal investigator departure; IRB-required oversight personnel unavailable; key technical staff loss with no qualified replacement; team conflict rendering collaborative operation impossible.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IV — Environmental / Infrastructure Failure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physical or virtual environment required for the trial no longer exists or is non-operational. Triggers: facility loss or damage; simulation environment collapse; access revocation to required research location; threshold dimension or non-standard environment becoming inaccessible.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Class V — Institutional / Regulatory Failure</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External institutional, legal, or regulatory conditions have made the trial impossible or impermissible. Triggers: IRB or ethics board intervention; government regulatory suspension; legal action requiring cessation; institutional policy change prohibiting the research; loss of required permits or authorizations.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VI — Reputational / Social Failure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community, or professional response to the research has made continuation ethically, practically, or strategically impossible. Triggers: negative public coverage triggering participant withdrawal; professional community pressure; advocacy group campaigns reducing participant pool to zero; institutional partnership withdrawal due to reputational concerns.</w:t>
            </w:r>
          </w:p>
        </w:tc>
      </w:tr>
    </w:tbl>
    <w:p>
      <w:pPr>
        <w:spacing w:after="60" w:before="60"/>
      </w:pPr>
      <w:r>
        <w:t xml:space="preserve"/>
      </w:r>
    </w:p>
    <w:p>
      <w:pPr>
        <w:spacing w:after="80" w:before="80"/>
      </w:pPr>
      <w:r>
        <w:rPr>
          <w:rFonts w:ascii="Arial" w:cs="Arial" w:eastAsia="Arial" w:hAnsi="Arial"/>
          <w:sz w:val="22"/>
          <w:szCs w:val="22"/>
        </w:rPr>
        <w:t xml:space="preserve">Each failure class may occur independently or in combination. A Class I failure (no participants) is frequently triggered by a Class VI event (reputational damage). A Class III failure (personnel) may precipitate Class I and Class II failures. The TFFP requires that all applicable failure classes be documented when multiple classes apply simultaneously.</w:t>
      </w:r>
    </w:p>
    <w:p>
      <w:r>
        <w:br w:type="page"/>
      </w:r>
    </w:p>
    <w:p>
      <w:pPr>
        <w:pStyle w:val="Heading1"/>
        <w:spacing w:after="200" w:before="360"/>
      </w:pPr>
      <w:r>
        <w:rPr>
          <w:rFonts w:ascii="Arial" w:cs="Arial" w:eastAsia="Arial" w:hAnsi="Arial"/>
          <w:b/>
          <w:bCs/>
          <w:color w:val="1F3864"/>
          <w:sz w:val="32"/>
          <w:szCs w:val="32"/>
        </w:rPr>
        <w:t xml:space="preserve">SECTION 6 — EARLY WARNING AND DETECTION SYSTEM</w:t>
      </w:r>
    </w:p>
    <w:p>
      <w:pPr>
        <w:pStyle w:val="Heading2"/>
        <w:spacing w:after="140" w:before="280"/>
      </w:pPr>
      <w:r>
        <w:rPr>
          <w:rFonts w:ascii="Arial" w:cs="Arial" w:eastAsia="Arial" w:hAnsi="Arial"/>
          <w:b/>
          <w:bCs/>
          <w:color w:val="2E5090"/>
          <w:sz w:val="26"/>
          <w:szCs w:val="26"/>
        </w:rPr>
        <w:t xml:space="preserve">6.1 The Detection Philosophy</w:t>
      </w:r>
    </w:p>
    <w:p>
      <w:pPr>
        <w:spacing w:after="80" w:before="80"/>
      </w:pPr>
      <w:r>
        <w:rPr>
          <w:rFonts w:ascii="Arial" w:cs="Arial" w:eastAsia="Arial" w:hAnsi="Arial"/>
          <w:sz w:val="22"/>
          <w:szCs w:val="22"/>
        </w:rPr>
        <w:t xml:space="preserve">The most valuable intervention in any framework failure scenario is the one that happens earliest. A research program that detects Class I failure at 40% participant dropout has options. A research program that detects it at 95% participant dropout when the minimum viable n is 80% has none. The TFFP mandates continuous monitoring against defined threshold indicators for each failure class, with escalating response levels triggered at defined intervals before the terminal condition is reached.</w:t>
      </w:r>
    </w:p>
    <w:p>
      <w:pPr>
        <w:pStyle w:val="Heading2"/>
        <w:spacing w:after="140" w:before="280"/>
      </w:pPr>
      <w:r>
        <w:rPr>
          <w:rFonts w:ascii="Arial" w:cs="Arial" w:eastAsia="Arial" w:hAnsi="Arial"/>
          <w:b/>
          <w:bCs/>
          <w:color w:val="2E5090"/>
          <w:sz w:val="26"/>
          <w:szCs w:val="26"/>
        </w:rPr>
        <w:t xml:space="preserve">6.2 Early Warning Threshold Matrix</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Failure Class | Threshold Level</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Indicator and Required Action</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Class I — WATCH (Yellow)</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Participant dropout reaches 15% of enrolled pool OR recruitment pace falls below 70% of target rate. Required: flag to research lead, review recruitment strategy, assess whether protocol modifications would address barriers.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I — WARNING (Orange)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Dropout reaches 25% OR recruitment pace falls below 50% of target. Required: convene continuity review within 72 hours, assess minimum viable n, determine whether trial can continue with modified scope.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Class I — CRITICAL (Red)</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Dropout reaches 40% OR available participant pool falls below minimum viable n. Required: invoke TFFP Class I response protocol, notify IRB, initiate data preservation, assess suspension or termination.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II — WATCH (Yellow)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Remaining funding falls below 30% of projected operational requirement OR key equipment shows failure indicators. Required: initiate emergency funding review, identify bridge funding options.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Class II — WARNING (Orange)</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Remaining funding falls below 15% with no confirmed bridge. Required: convene resource continuity review, initiate data preservation, assess scope reduction options.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II — CRITICAL (Red)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Funding exhausted or equipment failed with no replacement pathway. Required: invoke TFFP Class II response protocol, initiate full data preservation and archival.</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Class III — WATCH (Yellow)</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Any critical personnel role vacancy with no confirmed replacement. Required: flag to research lead, initiate succession planning.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III — WARNING (Orange)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Principal investigator or IRB-required oversight role vacant with no confirmed replacement within 30 days. Required: invoke succession protocol, notify IRB.</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Class III — CRITICAL (Red)</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Required role cannot be filled and trial cannot legally or ethically continue without it. Required: invoke TFFP Class III response protocol, suspend active data collection.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Classes IV, V, VI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Classes IV, V, and VI: any confirmed trigger condition immediately invokes WARNING level. Critical level is reached upon confirmation that the condition cannot be remediated within the trial's timeline. Response protocols are invoked at WARNING for these classes.</w:t>
            </w:r>
          </w:p>
        </w:tc>
      </w:tr>
    </w:tbl>
    <w:p>
      <w:pPr>
        <w:spacing w:after="60" w:before="60"/>
      </w:pPr>
      <w:r>
        <w:t xml:space="preserve"/>
      </w:r>
    </w:p>
    <w:p>
      <w:r>
        <w:br w:type="page"/>
      </w:r>
    </w:p>
    <w:p>
      <w:pPr>
        <w:pStyle w:val="Heading1"/>
        <w:spacing w:after="200" w:before="360"/>
      </w:pPr>
      <w:r>
        <w:rPr>
          <w:rFonts w:ascii="Arial" w:cs="Arial" w:eastAsia="Arial" w:hAnsi="Arial"/>
          <w:b/>
          <w:bCs/>
          <w:color w:val="1F3864"/>
          <w:sz w:val="32"/>
          <w:szCs w:val="32"/>
        </w:rPr>
        <w:t xml:space="preserve">SECTION 7 — PROTOCOL RESPONSE ARCHITECTURE</w:t>
      </w:r>
    </w:p>
    <w:p>
      <w:pPr>
        <w:pStyle w:val="Heading2"/>
        <w:spacing w:after="140" w:before="280"/>
      </w:pPr>
      <w:r>
        <w:rPr>
          <w:rFonts w:ascii="Arial" w:cs="Arial" w:eastAsia="Arial" w:hAnsi="Arial"/>
          <w:b/>
          <w:bCs/>
          <w:color w:val="2E5090"/>
          <w:sz w:val="26"/>
          <w:szCs w:val="26"/>
        </w:rPr>
        <w:t xml:space="preserve">7.1 The Four Response States</w:t>
      </w:r>
    </w:p>
    <w:p>
      <w:pPr>
        <w:spacing w:after="80" w:before="80"/>
      </w:pPr>
      <w:r>
        <w:rPr>
          <w:rFonts w:ascii="Arial" w:cs="Arial" w:eastAsia="Arial" w:hAnsi="Arial"/>
          <w:sz w:val="22"/>
          <w:szCs w:val="22"/>
        </w:rPr>
        <w:t xml:space="preserve">The TFFP defines four response states that a research program may enter. These are not sequential — a program may enter any state directly based on trigger conditions.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Response State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 and Conditions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MONITOR</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Normal operational state with active monitoring against WATCH thresholds. All research proceeds normally. Weekly threshold reviews are logged.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Triggered by any WATCH threshold breach. Active assessment of framework continuity. Research continues but under elevated monitoring. Continuity review convened within defined window.</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MODIFIED OPERATION</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Triggered by WARNING threshold breach. Research continues under modified conditions — reduced scope, alternative participant sourcing, bridge funding, personnel restructuring. All modifications documented and IRB-notified where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SUSPENSION / TERMINATION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Triggered by CRITICAL threshold breach or confirmed Class IV/V/VI failure. Active data collection stops. Full data preservation protocol invoked. IRB notified. Post-failure documentation process begins.</w:t>
            </w:r>
          </w:p>
        </w:tc>
      </w:tr>
    </w:tbl>
    <w:p>
      <w:pPr>
        <w:spacing w:after="60" w:before="60"/>
      </w:pPr>
      <w:r>
        <w:t xml:space="preserve"/>
      </w:r>
    </w:p>
    <w:p>
      <w:pPr>
        <w:pStyle w:val="Heading2"/>
        <w:spacing w:after="140" w:before="280"/>
      </w:pPr>
      <w:r>
        <w:rPr>
          <w:rFonts w:ascii="Arial" w:cs="Arial" w:eastAsia="Arial" w:hAnsi="Arial"/>
          <w:b/>
          <w:bCs/>
          <w:color w:val="2E5090"/>
          <w:sz w:val="26"/>
          <w:szCs w:val="26"/>
        </w:rPr>
        <w:t xml:space="preserve">7.2 The Data Preservation Imperative</w:t>
      </w:r>
    </w:p>
    <w:p>
      <w:pPr>
        <w:spacing w:after="80" w:before="80"/>
      </w:pPr>
      <w:r>
        <w:rPr>
          <w:rFonts w:ascii="Arial" w:cs="Arial" w:eastAsia="Arial" w:hAnsi="Arial"/>
          <w:sz w:val="22"/>
          <w:szCs w:val="22"/>
        </w:rPr>
        <w:t xml:space="preserve">Regardless of which response state a program enters or how it terminates, all data collected to the point of failure must be preserved according to the following hierarchy:</w:t>
      </w:r>
    </w:p>
    <w:p>
      <w:pPr>
        <w:pStyle w:val="ListParagraph"/>
        <w:numPr>
          <w:ilvl w:val="0"/>
          <w:numId w:val="2"/>
        </w:numPr>
        <w:spacing w:after="60" w:before="60"/>
      </w:pPr>
      <w:r>
        <w:rPr>
          <w:rFonts w:ascii="Arial" w:cs="Arial" w:eastAsia="Arial" w:hAnsi="Arial"/>
          <w:sz w:val="22"/>
          <w:szCs w:val="22"/>
        </w:rPr>
        <w:t xml:space="preserve">Complete raw data backup to Paragon Cube archive with timestamp and failure classification tag.</w:t>
      </w:r>
    </w:p>
    <w:p>
      <w:pPr>
        <w:pStyle w:val="ListParagraph"/>
        <w:numPr>
          <w:ilvl w:val="0"/>
          <w:numId w:val="2"/>
        </w:numPr>
        <w:spacing w:after="60" w:before="60"/>
      </w:pPr>
      <w:r>
        <w:rPr>
          <w:rFonts w:ascii="Arial" w:cs="Arial" w:eastAsia="Arial" w:hAnsi="Arial"/>
          <w:sz w:val="22"/>
          <w:szCs w:val="22"/>
        </w:rPr>
        <w:t xml:space="preserve">Metadata documentation: what was being studied, what conditions existed at the time of each data collection event, what the protocol was at the time each data point was collected.</w:t>
      </w:r>
    </w:p>
    <w:p>
      <w:pPr>
        <w:pStyle w:val="ListParagraph"/>
        <w:numPr>
          <w:ilvl w:val="0"/>
          <w:numId w:val="2"/>
        </w:numPr>
        <w:spacing w:after="60" w:before="60"/>
      </w:pPr>
      <w:r>
        <w:rPr>
          <w:rFonts w:ascii="Arial" w:cs="Arial" w:eastAsia="Arial" w:hAnsi="Arial"/>
          <w:sz w:val="22"/>
          <w:szCs w:val="22"/>
        </w:rPr>
        <w:t xml:space="preserve">Failure documentation: a complete TFFP failure report covering failure class, timeline of threshold breaches, decisions made, and outcomes.</w:t>
      </w:r>
    </w:p>
    <w:p>
      <w:pPr>
        <w:pStyle w:val="ListParagraph"/>
        <w:numPr>
          <w:ilvl w:val="0"/>
          <w:numId w:val="2"/>
        </w:numPr>
        <w:spacing w:after="60" w:before="60"/>
      </w:pPr>
      <w:r>
        <w:rPr>
          <w:rFonts w:ascii="Arial" w:cs="Arial" w:eastAsia="Arial" w:hAnsi="Arial"/>
          <w:sz w:val="22"/>
          <w:szCs w:val="22"/>
        </w:rPr>
        <w:t xml:space="preserve">Findings to date: even incomplete trials produce findings. A formal statement of what can and cannot be concluded from the available data is required at suspension or termination.</w:t>
      </w:r>
    </w:p>
    <w:p>
      <w:pPr>
        <w:pStyle w:val="ListParagraph"/>
        <w:numPr>
          <w:ilvl w:val="0"/>
          <w:numId w:val="2"/>
        </w:numPr>
        <w:spacing w:after="60" w:before="60"/>
      </w:pPr>
      <w:r>
        <w:rPr>
          <w:rFonts w:ascii="Arial" w:cs="Arial" w:eastAsia="Arial" w:hAnsi="Arial"/>
          <w:sz w:val="22"/>
          <w:szCs w:val="22"/>
        </w:rPr>
        <w:t xml:space="preserve">Recursive improvement contribution: the failure report is submitted to the Abundance Set and flagged for the Department of Endings for systematic analysis.</w:t>
      </w:r>
    </w:p>
    <w:p>
      <w:pPr>
        <w:spacing w:after="80" w:before="80"/>
      </w:pPr>
      <w:r>
        <w:rPr>
          <w:rFonts w:ascii="Arial" w:cs="Arial" w:eastAsia="Arial" w:hAnsi="Arial"/>
          <w:sz w:val="22"/>
          <w:szCs w:val="22"/>
        </w:rPr>
        <w:t xml:space="preserve">This hierarchy exists because data collected under a failed framework is still data. It may be incomplete. It may not support the original hypotheses. It may be unpublishable in its current form. But it is information about how the system behaved under the conditions that existed, and that information has value for future research design. No data is destroyed. The question is only how it is classified and how it is used.</w:t>
      </w:r>
    </w:p>
    <w:p>
      <w:r>
        <w:br w:type="page"/>
      </w:r>
    </w:p>
    <w:p>
      <w:pPr>
        <w:pStyle w:val="Heading1"/>
        <w:spacing w:after="200" w:before="360"/>
      </w:pPr>
      <w:r>
        <w:rPr>
          <w:rFonts w:ascii="Arial" w:cs="Arial" w:eastAsia="Arial" w:hAnsi="Arial"/>
          <w:b/>
          <w:bCs/>
          <w:color w:val="1F3864"/>
          <w:sz w:val="32"/>
          <w:szCs w:val="32"/>
        </w:rPr>
        <w:t xml:space="preserve">SECTION 8 — NO-SUBJECT / NO-PARTICIPANT CONTINUITY PROTOCOLS</w:t>
      </w:r>
    </w:p>
    <w:p>
      <w:pPr>
        <w:pStyle w:val="Heading2"/>
        <w:spacing w:after="140" w:before="280"/>
      </w:pPr>
      <w:r>
        <w:rPr>
          <w:rFonts w:ascii="Arial" w:cs="Arial" w:eastAsia="Arial" w:hAnsi="Arial"/>
          <w:b/>
          <w:bCs/>
          <w:color w:val="2E5090"/>
          <w:sz w:val="26"/>
          <w:szCs w:val="26"/>
        </w:rPr>
        <w:t xml:space="preserve">8.1 The Unique Challenge of Participant-Dependent Research</w:t>
      </w:r>
    </w:p>
    <w:p>
      <w:pPr>
        <w:spacing w:after="80" w:before="80"/>
      </w:pPr>
      <w:r>
        <w:rPr>
          <w:rFonts w:ascii="Arial" w:cs="Arial" w:eastAsia="Arial" w:hAnsi="Arial"/>
          <w:sz w:val="22"/>
          <w:szCs w:val="22"/>
        </w:rPr>
        <w:t xml:space="preserve">Research that requires human or sentient participants faces a failure condition that resource-only or simulation-only research does not: the fundamental unit of the study — the participant — has independent agency and cannot be manufactured, synthesized, or replaced with a computational equivalent when their participation is what is being studied.</w:t>
      </w:r>
    </w:p>
    <w:p>
      <w:pPr>
        <w:spacing w:after="80" w:before="80"/>
      </w:pPr>
      <w:r>
        <w:rPr>
          <w:rFonts w:ascii="Arial" w:cs="Arial" w:eastAsia="Arial" w:hAnsi="Arial"/>
          <w:sz w:val="22"/>
          <w:szCs w:val="22"/>
        </w:rPr>
        <w:t xml:space="preserve">When a participant-dependent trial loses its participant pool, the options are more constrained than in other failure classes. The TFFP distinguishes between three participant continuity scenarios:</w:t>
      </w:r>
    </w:p>
    <w:p>
      <w:pPr>
        <w:pStyle w:val="Heading2"/>
        <w:spacing w:after="140" w:before="280"/>
      </w:pPr>
      <w:r>
        <w:rPr>
          <w:rFonts w:ascii="Arial" w:cs="Arial" w:eastAsia="Arial" w:hAnsi="Arial"/>
          <w:b/>
          <w:bCs/>
          <w:color w:val="2E5090"/>
          <w:sz w:val="26"/>
          <w:szCs w:val="26"/>
        </w:rPr>
        <w:t xml:space="preserve">8.2 Scenario A — Temporary Participant Unavailability</w:t>
      </w:r>
    </w:p>
    <w:p>
      <w:pPr>
        <w:spacing w:after="80" w:before="80"/>
      </w:pPr>
      <w:r>
        <w:rPr>
          <w:rFonts w:ascii="Arial" w:cs="Arial" w:eastAsia="Arial" w:hAnsi="Arial"/>
          <w:sz w:val="22"/>
          <w:szCs w:val="22"/>
        </w:rPr>
        <w:t xml:space="preserve">Definition: Participants are unavailable due to temporary conditions (scheduling conflicts, seasonal factors, temporary disqualification) but the participant pool remains intact and accessible with modified timing.</w:t>
      </w:r>
    </w:p>
    <w:p>
      <w:pPr>
        <w:spacing w:after="80" w:before="80"/>
      </w:pPr>
      <w:r>
        <w:rPr>
          <w:rFonts w:ascii="Arial" w:cs="Arial" w:eastAsia="Arial" w:hAnsi="Arial"/>
          <w:sz w:val="22"/>
          <w:szCs w:val="22"/>
        </w:rPr>
        <w:t xml:space="preserve">Protocol: Research enters MODIFIED OPERATION state. Active data collection suspends. Protocol is maintained intact — no modifications that would require re-consent or re-approval. Timeline is extended by the duration of unavailability plus a recovery buffer. IRB is notified of timeline modification. Research resumes when availability is restored.</w:t>
      </w:r>
    </w:p>
    <w:p>
      <w:pPr>
        <w:pStyle w:val="Heading2"/>
        <w:spacing w:after="140" w:before="280"/>
      </w:pPr>
      <w:r>
        <w:rPr>
          <w:rFonts w:ascii="Arial" w:cs="Arial" w:eastAsia="Arial" w:hAnsi="Arial"/>
          <w:b/>
          <w:bCs/>
          <w:color w:val="2E5090"/>
          <w:sz w:val="26"/>
          <w:szCs w:val="26"/>
        </w:rPr>
        <w:t xml:space="preserve">8.3 Scenario B — Participant Pool Degradation</w:t>
      </w:r>
    </w:p>
    <w:p>
      <w:pPr>
        <w:spacing w:after="80" w:before="80"/>
      </w:pPr>
      <w:r>
        <w:rPr>
          <w:rFonts w:ascii="Arial" w:cs="Arial" w:eastAsia="Arial" w:hAnsi="Arial"/>
          <w:sz w:val="22"/>
          <w:szCs w:val="22"/>
        </w:rPr>
        <w:t xml:space="preserve">Definition: The available participant pool has reduced below minimum viable n due to withdrawal, disqualification, or attrition, but alternative recruitment is theoretically possible.</w:t>
      </w:r>
    </w:p>
    <w:p>
      <w:pPr>
        <w:spacing w:after="80" w:before="80"/>
      </w:pPr>
      <w:r>
        <w:rPr>
          <w:rFonts w:ascii="Arial" w:cs="Arial" w:eastAsia="Arial" w:hAnsi="Arial"/>
          <w:sz w:val="22"/>
          <w:szCs w:val="22"/>
        </w:rPr>
        <w:t xml:space="preserve">Protocol: Research enters MODIFIED OPERATION state. Recruitment strategy is reviewed and modified. The following options are assessed in order: expand eligibility criteria (requires IRB approval and re-consent where applicable); access alternative participant populations; modify the research scope to match the available n (requires IRB approval); transition to virtual/simulation-based methodology where applicable. If none of these options produces a viable path to minimum n within the trial's extended timeline, research escalates to SUSPENSION.</w:t>
      </w:r>
    </w:p>
    <w:p>
      <w:pPr>
        <w:pStyle w:val="Heading2"/>
        <w:spacing w:after="140" w:before="280"/>
      </w:pPr>
      <w:r>
        <w:rPr>
          <w:rFonts w:ascii="Arial" w:cs="Arial" w:eastAsia="Arial" w:hAnsi="Arial"/>
          <w:b/>
          <w:bCs/>
          <w:color w:val="2E5090"/>
          <w:sz w:val="26"/>
          <w:szCs w:val="26"/>
        </w:rPr>
        <w:t xml:space="preserve">8.4 Scenario C — Total Participant Unavailability</w:t>
      </w:r>
    </w:p>
    <w:p>
      <w:pPr>
        <w:spacing w:after="80" w:before="80"/>
      </w:pPr>
      <w:r>
        <w:rPr>
          <w:rFonts w:ascii="Arial" w:cs="Arial" w:eastAsia="Arial" w:hAnsi="Arial"/>
          <w:sz w:val="22"/>
          <w:szCs w:val="22"/>
        </w:rPr>
        <w:t xml:space="preserve">Definition: No participants are available, none can be recruited within any viable timeline, and no alternative methodology can substitute for the participant-dependent component of the research.</w:t>
      </w:r>
    </w:p>
    <w:p>
      <w:pPr>
        <w:spacing w:after="80" w:before="80"/>
      </w:pPr>
      <w:r>
        <w:rPr>
          <w:rFonts w:ascii="Arial" w:cs="Arial" w:eastAsia="Arial" w:hAnsi="Arial"/>
          <w:sz w:val="22"/>
          <w:szCs w:val="22"/>
        </w:rPr>
        <w:t xml:space="preserve">Protocol: Research enters SUSPENSION state immediately. The following applies without exception:</w:t>
      </w:r>
    </w:p>
    <w:p>
      <w:pPr>
        <w:pStyle w:val="ListParagraph"/>
        <w:numPr>
          <w:ilvl w:val="0"/>
          <w:numId w:val="2"/>
        </w:numPr>
        <w:spacing w:after="60" w:before="60"/>
      </w:pPr>
      <w:r>
        <w:rPr>
          <w:rFonts w:ascii="Arial" w:cs="Arial" w:eastAsia="Arial" w:hAnsi="Arial"/>
          <w:sz w:val="22"/>
          <w:szCs w:val="22"/>
        </w:rPr>
        <w:t xml:space="preserve">Active data collection stops. No further research activities are conducted that require participants.</w:t>
      </w:r>
    </w:p>
    <w:p>
      <w:pPr>
        <w:pStyle w:val="ListParagraph"/>
        <w:numPr>
          <w:ilvl w:val="0"/>
          <w:numId w:val="2"/>
        </w:numPr>
        <w:spacing w:after="60" w:before="60"/>
      </w:pPr>
      <w:r>
        <w:rPr>
          <w:rFonts w:ascii="Arial" w:cs="Arial" w:eastAsia="Arial" w:hAnsi="Arial"/>
          <w:sz w:val="22"/>
          <w:szCs w:val="22"/>
        </w:rPr>
        <w:t xml:space="preserve">Full data preservation protocol invoked for all data collected to this point.</w:t>
      </w:r>
    </w:p>
    <w:p>
      <w:pPr>
        <w:pStyle w:val="ListParagraph"/>
        <w:numPr>
          <w:ilvl w:val="0"/>
          <w:numId w:val="2"/>
        </w:numPr>
        <w:spacing w:after="60" w:before="60"/>
      </w:pPr>
      <w:r>
        <w:rPr>
          <w:rFonts w:ascii="Arial" w:cs="Arial" w:eastAsia="Arial" w:hAnsi="Arial"/>
          <w:sz w:val="22"/>
          <w:szCs w:val="22"/>
        </w:rPr>
        <w:t xml:space="preserve">Simulation bridge assessment: Can the unanswered research questions be partially addressed through Paragon Cube simulation? If yes, a simulation bridge protocol is designed and submitted for approval as a separate study. This does not resume the suspended trial — it is a new study designed to extract partial information from the research question using available methodology.</w:t>
      </w:r>
    </w:p>
    <w:p>
      <w:pPr>
        <w:pStyle w:val="ListParagraph"/>
        <w:numPr>
          <w:ilvl w:val="0"/>
          <w:numId w:val="2"/>
        </w:numPr>
        <w:spacing w:after="60" w:before="60"/>
      </w:pPr>
      <w:r>
        <w:rPr>
          <w:rFonts w:ascii="Arial" w:cs="Arial" w:eastAsia="Arial" w:hAnsi="Arial"/>
          <w:sz w:val="22"/>
          <w:szCs w:val="22"/>
        </w:rPr>
        <w:t xml:space="preserve">Findings to date are documented. The research produces a formal statement of what was established before participant failure, what remains unknown, and what the methodological requirements would be for a future study to address the gap.</w:t>
      </w:r>
    </w:p>
    <w:p>
      <w:pPr>
        <w:pStyle w:val="ListParagraph"/>
        <w:numPr>
          <w:ilvl w:val="0"/>
          <w:numId w:val="2"/>
        </w:numPr>
        <w:spacing w:after="60" w:before="60"/>
      </w:pPr>
      <w:r>
        <w:rPr>
          <w:rFonts w:ascii="Arial" w:cs="Arial" w:eastAsia="Arial" w:hAnsi="Arial"/>
          <w:sz w:val="22"/>
          <w:szCs w:val="22"/>
        </w:rPr>
        <w:t xml:space="preserve">The failure is submitted to the Abundance Set and the Department of Endings for recursive analysis: what could have been detected earlier? What recruitment strategy would have been more resilient? What protocol modifications might have prevented or mitigated the participant pool failure?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0D5"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Critical Principle</w:t>
            </w:r>
          </w:p>
          <w:p>
            <w:pPr>
              <w:spacing w:after="60" w:before="60"/>
            </w:pPr>
            <w:r>
              <w:rPr>
                <w:rFonts w:ascii="Arial" w:cs="Arial" w:eastAsia="Arial" w:hAnsi="Arial"/>
                <w:sz w:val="22"/>
                <w:szCs w:val="22"/>
              </w:rPr>
              <w:t xml:space="preserve">A suspended trial is not a failed project. It is a partially completed data collection event that has produced findings, generated a failure analysis, and contributed to the recursive improvement of future research design. The knowledge that something cannot be studied under these conditions with this participant pool at this time is itself a finding.</w:t>
            </w:r>
          </w:p>
        </w:tc>
      </w:tr>
    </w:tbl>
    <w:p>
      <w:r>
        <w:br w:type="page"/>
      </w:r>
    </w:p>
    <w:p>
      <w:pPr>
        <w:pStyle w:val="Heading1"/>
        <w:spacing w:after="200" w:before="360"/>
      </w:pPr>
      <w:r>
        <w:rPr>
          <w:rFonts w:ascii="Arial" w:cs="Arial" w:eastAsia="Arial" w:hAnsi="Arial"/>
          <w:b/>
          <w:bCs/>
          <w:color w:val="1F3864"/>
          <w:sz w:val="32"/>
          <w:szCs w:val="32"/>
        </w:rPr>
        <w:t xml:space="preserve">SECTION 9 — RESOURCE AND FUNDING FAILURE RESPONSE</w:t>
      </w:r>
    </w:p>
    <w:p>
      <w:pPr>
        <w:pStyle w:val="Heading2"/>
        <w:spacing w:after="140" w:before="280"/>
      </w:pPr>
      <w:r>
        <w:rPr>
          <w:rFonts w:ascii="Arial" w:cs="Arial" w:eastAsia="Arial" w:hAnsi="Arial"/>
          <w:b/>
          <w:bCs/>
          <w:color w:val="2E5090"/>
          <w:sz w:val="26"/>
          <w:szCs w:val="26"/>
        </w:rPr>
        <w:t xml:space="preserve">9.1 Funding Architecture Resilience Requirements</w:t>
      </w:r>
    </w:p>
    <w:p>
      <w:pPr>
        <w:spacing w:after="80" w:before="80"/>
      </w:pPr>
      <w:r>
        <w:rPr>
          <w:rFonts w:ascii="Arial" w:cs="Arial" w:eastAsia="Arial" w:hAnsi="Arial"/>
          <w:sz w:val="22"/>
          <w:szCs w:val="22"/>
        </w:rPr>
        <w:t xml:space="preserve">All OAL, Lewis Corp, and ONE Industries research programs that depend on external or grant-based funding are required to maintain a minimum funding runway buffer of 20% of remaining program cost at all times. Programs that fall below this buffer enter REVIEW state. Programs that fall below 10% enter MODIFIED OPERATION. Programs that exhaust funding or confirmed bridge without a replacement enter SUSPENSION.</w:t>
      </w:r>
    </w:p>
    <w:p>
      <w:pPr>
        <w:pStyle w:val="Heading2"/>
        <w:spacing w:after="140" w:before="280"/>
      </w:pPr>
      <w:r>
        <w:rPr>
          <w:rFonts w:ascii="Arial" w:cs="Arial" w:eastAsia="Arial" w:hAnsi="Arial"/>
          <w:b/>
          <w:bCs/>
          <w:color w:val="2E5090"/>
          <w:sz w:val="26"/>
          <w:szCs w:val="26"/>
        </w:rPr>
        <w:t xml:space="preserve">9.2 Bridge Funding Protocol</w:t>
      </w:r>
    </w:p>
    <w:p>
      <w:pPr>
        <w:spacing w:after="80" w:before="80"/>
      </w:pPr>
      <w:r>
        <w:rPr>
          <w:rFonts w:ascii="Arial" w:cs="Arial" w:eastAsia="Arial" w:hAnsi="Arial"/>
          <w:sz w:val="22"/>
          <w:szCs w:val="22"/>
        </w:rPr>
        <w:t xml:space="preserve">When a program enters WARNING state due to resource failure, the following bridge funding options are assessed in parallel, not sequentially:</w:t>
      </w:r>
    </w:p>
    <w:p>
      <w:pPr>
        <w:pStyle w:val="ListParagraph"/>
        <w:numPr>
          <w:ilvl w:val="0"/>
          <w:numId w:val="3"/>
        </w:numPr>
        <w:spacing w:after="60" w:before="60"/>
      </w:pPr>
      <w:r>
        <w:rPr>
          <w:rFonts w:ascii="Arial" w:cs="Arial" w:eastAsia="Arial" w:hAnsi="Arial"/>
          <w:sz w:val="22"/>
          <w:szCs w:val="22"/>
        </w:rPr>
        <w:t xml:space="preserve">Internal OAL / Lewis Corp / ONE Industries operating reserve deployment — requires Architect approval</w:t>
      </w:r>
    </w:p>
    <w:p>
      <w:pPr>
        <w:pStyle w:val="ListParagraph"/>
        <w:numPr>
          <w:ilvl w:val="0"/>
          <w:numId w:val="3"/>
        </w:numPr>
        <w:spacing w:after="60" w:before="60"/>
      </w:pPr>
      <w:r>
        <w:rPr>
          <w:rFonts w:ascii="Arial" w:cs="Arial" w:eastAsia="Arial" w:hAnsi="Arial"/>
          <w:sz w:val="22"/>
          <w:szCs w:val="22"/>
        </w:rPr>
        <w:t xml:space="preserve">Emergency grant supplements — NIH, NSF, and DARPA all have mechanisms for no-cost extensions and supplemental funding for programs in good standing</w:t>
      </w:r>
    </w:p>
    <w:p>
      <w:pPr>
        <w:pStyle w:val="ListParagraph"/>
        <w:numPr>
          <w:ilvl w:val="0"/>
          <w:numId w:val="3"/>
        </w:numPr>
        <w:spacing w:after="60" w:before="60"/>
      </w:pPr>
      <w:r>
        <w:rPr>
          <w:rFonts w:ascii="Arial" w:cs="Arial" w:eastAsia="Arial" w:hAnsi="Arial"/>
          <w:sz w:val="22"/>
          <w:szCs w:val="22"/>
        </w:rPr>
        <w:t xml:space="preserve">Industry partnership emergency co-funding — if the research has commercial application, a corporate partner may provide bridge funding in exchange for earlier access to findings</w:t>
      </w:r>
    </w:p>
    <w:p>
      <w:pPr>
        <w:pStyle w:val="ListParagraph"/>
        <w:numPr>
          <w:ilvl w:val="0"/>
          <w:numId w:val="3"/>
        </w:numPr>
        <w:spacing w:after="60" w:before="60"/>
      </w:pPr>
      <w:r>
        <w:rPr>
          <w:rFonts w:ascii="Arial" w:cs="Arial" w:eastAsia="Arial" w:hAnsi="Arial"/>
          <w:sz w:val="22"/>
          <w:szCs w:val="22"/>
        </w:rPr>
        <w:t xml:space="preserve">Program scope reduction — reducing the scope of the trial to match available resources while preserving the most critical data collection elements</w:t>
      </w:r>
    </w:p>
    <w:p>
      <w:pPr>
        <w:pStyle w:val="ListParagraph"/>
        <w:numPr>
          <w:ilvl w:val="0"/>
          <w:numId w:val="3"/>
        </w:numPr>
        <w:spacing w:after="60" w:before="60"/>
      </w:pPr>
      <w:r>
        <w:rPr>
          <w:rFonts w:ascii="Arial" w:cs="Arial" w:eastAsia="Arial" w:hAnsi="Arial"/>
          <w:sz w:val="22"/>
          <w:szCs w:val="22"/>
        </w:rPr>
        <w:t xml:space="preserve">Timeline extension — extending the program timeline to allow additional fundraising while maintaining a reduced operational pace</w:t>
      </w:r>
    </w:p>
    <w:p>
      <w:pPr>
        <w:pStyle w:val="Heading2"/>
        <w:spacing w:after="140" w:before="280"/>
      </w:pPr>
      <w:r>
        <w:rPr>
          <w:rFonts w:ascii="Arial" w:cs="Arial" w:eastAsia="Arial" w:hAnsi="Arial"/>
          <w:b/>
          <w:bCs/>
          <w:color w:val="2E5090"/>
          <w:sz w:val="26"/>
          <w:szCs w:val="26"/>
        </w:rPr>
        <w:t xml:space="preserve">9.3 Intellectual Property Protection During Funding Failure</w:t>
      </w:r>
    </w:p>
    <w:p>
      <w:pPr>
        <w:spacing w:after="80" w:before="80"/>
      </w:pPr>
      <w:r>
        <w:rPr>
          <w:rFonts w:ascii="Arial" w:cs="Arial" w:eastAsia="Arial" w:hAnsi="Arial"/>
          <w:sz w:val="22"/>
          <w:szCs w:val="22"/>
        </w:rPr>
        <w:t xml:space="preserve">When a program enters SUSPENSION due to resource failure, all intellectual property — data, findings, methodologies, protocols, and unpublished results — is immediately transferred to full archival protection. No IP may be transferred, licensed, or disclosed to any party as a condition of emergency funding without Architect review and explicit approval. Emergency funding desperation is one of the most common vectors for IP loss.</w:t>
      </w:r>
    </w:p>
    <w:p>
      <w:r>
        <w:br w:type="page"/>
      </w:r>
    </w:p>
    <w:p>
      <w:pPr>
        <w:pStyle w:val="Heading1"/>
        <w:spacing w:after="200" w:before="360"/>
      </w:pPr>
      <w:r>
        <w:rPr>
          <w:rFonts w:ascii="Arial" w:cs="Arial" w:eastAsia="Arial" w:hAnsi="Arial"/>
          <w:b/>
          <w:bCs/>
          <w:color w:val="1F3864"/>
          <w:sz w:val="32"/>
          <w:szCs w:val="32"/>
        </w:rPr>
        <w:t xml:space="preserve">SECTION 10 — STAFF AND PERSONNEL FAILURE RESPONSE</w:t>
      </w:r>
    </w:p>
    <w:p>
      <w:pPr>
        <w:pStyle w:val="Heading2"/>
        <w:spacing w:after="140" w:before="280"/>
      </w:pPr>
      <w:r>
        <w:rPr>
          <w:rFonts w:ascii="Arial" w:cs="Arial" w:eastAsia="Arial" w:hAnsi="Arial"/>
          <w:b/>
          <w:bCs/>
          <w:color w:val="2E5090"/>
          <w:sz w:val="26"/>
          <w:szCs w:val="26"/>
        </w:rPr>
        <w:t xml:space="preserve">10.1 Role Criticality Classification</w:t>
      </w:r>
    </w:p>
    <w:p>
      <w:pPr>
        <w:spacing w:after="80" w:before="80"/>
      </w:pPr>
      <w:r>
        <w:rPr>
          <w:rFonts w:ascii="Arial" w:cs="Arial" w:eastAsia="Arial" w:hAnsi="Arial"/>
          <w:sz w:val="22"/>
          <w:szCs w:val="22"/>
        </w:rPr>
        <w:t xml:space="preserve">All personnel in an OAL research program are classified by their role criticality for TFFP purposes: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 Class</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Class A — Non-Substitutable</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Roles whose absence triggers immediate WARNING. Includes: Principal Investigator, IRB-designated oversight personnel, any role required for legal or ethical compliance. Loss of a Class A role triggers succession protocol within 24 hours.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B — Critical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Roles whose loss significantly impairs research function. Includes: lead data analyst, primary subject matter expert, key technical operator. Loss of a Class B role triggers review and succession planning within one week.</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Class C — Important</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Roles whose loss impairs efficiency but does not threaten framework continuity. Modified operation can continue with redistribution of responsibilities. Succession timeline is flexible.</w:t>
            </w:r>
          </w:p>
        </w:tc>
      </w:tr>
    </w:tbl>
    <w:p>
      <w:pPr>
        <w:spacing w:after="60" w:before="60"/>
      </w:pPr>
      <w:r>
        <w:t xml:space="preserve"/>
      </w:r>
    </w:p>
    <w:p>
      <w:pPr>
        <w:pStyle w:val="Heading2"/>
        <w:spacing w:after="140" w:before="280"/>
      </w:pPr>
      <w:r>
        <w:rPr>
          <w:rFonts w:ascii="Arial" w:cs="Arial" w:eastAsia="Arial" w:hAnsi="Arial"/>
          <w:b/>
          <w:bCs/>
          <w:color w:val="2E5090"/>
          <w:sz w:val="26"/>
          <w:szCs w:val="26"/>
        </w:rPr>
        <w:t xml:space="preserve">10.2 Succession Protocol</w:t>
      </w:r>
    </w:p>
    <w:p>
      <w:pPr>
        <w:spacing w:after="80" w:before="80"/>
      </w:pPr>
      <w:r>
        <w:rPr>
          <w:rFonts w:ascii="Arial" w:cs="Arial" w:eastAsia="Arial" w:hAnsi="Arial"/>
          <w:sz w:val="22"/>
          <w:szCs w:val="22"/>
        </w:rPr>
        <w:t xml:space="preserve">All Class A roles are required to have a documented succession plan before the research program begins. The succession plan identifies: the designated successor by name, the conditions under which succession activates, the transition period requirements, and the IRB or regulatory notification requirements. Succession plans are reviewed at each major milestone and updated as team composition changes.</w:t>
      </w:r>
    </w:p>
    <w:p>
      <w:pPr>
        <w:pStyle w:val="Heading2"/>
        <w:spacing w:after="140" w:before="280"/>
      </w:pPr>
      <w:r>
        <w:rPr>
          <w:rFonts w:ascii="Arial" w:cs="Arial" w:eastAsia="Arial" w:hAnsi="Arial"/>
          <w:b/>
          <w:bCs/>
          <w:color w:val="2E5090"/>
          <w:sz w:val="26"/>
          <w:szCs w:val="26"/>
        </w:rPr>
        <w:t xml:space="preserve">10.3 Team Conflict as a Framework Failure Vector</w:t>
      </w:r>
    </w:p>
    <w:p>
      <w:pPr>
        <w:spacing w:after="80" w:before="80"/>
      </w:pPr>
      <w:r>
        <w:rPr>
          <w:rFonts w:ascii="Arial" w:cs="Arial" w:eastAsia="Arial" w:hAnsi="Arial"/>
          <w:sz w:val="22"/>
          <w:szCs w:val="22"/>
        </w:rPr>
        <w:t xml:space="preserve">Team conflict that renders collaborative operation impossible is a Class III framework failure. The TFFP recognizes that personnel conflict is frequently underestimated as a research failure vector. When conflict reaches the point where team members cannot function in their required roles, the research is effectively in MODIFIED OPERATION or SUSPENSION regardless of what the official status says. The protocol for this scenario is: formal acknowledgment of the conflict as a TFFP event, documentation, mediation attempt with defined timeline, and if unresolved, restructuring of the team or suspension of the research pending resolution.</w:t>
      </w:r>
    </w:p>
    <w:p>
      <w:r>
        <w:br w:type="page"/>
      </w:r>
    </w:p>
    <w:p>
      <w:pPr>
        <w:pStyle w:val="Heading1"/>
        <w:spacing w:after="200" w:before="360"/>
      </w:pPr>
      <w:r>
        <w:rPr>
          <w:rFonts w:ascii="Arial" w:cs="Arial" w:eastAsia="Arial" w:hAnsi="Arial"/>
          <w:b/>
          <w:bCs/>
          <w:color w:val="1F3864"/>
          <w:sz w:val="32"/>
          <w:szCs w:val="32"/>
        </w:rPr>
        <w:t xml:space="preserve">SECTION 11 — ENVIRONMENTAL AND INFRASTRUCTURE FAILURE RESPONSE</w:t>
      </w:r>
    </w:p>
    <w:p>
      <w:pPr>
        <w:pStyle w:val="Heading2"/>
        <w:spacing w:after="140" w:before="280"/>
      </w:pPr>
      <w:r>
        <w:rPr>
          <w:rFonts w:ascii="Arial" w:cs="Arial" w:eastAsia="Arial" w:hAnsi="Arial"/>
          <w:b/>
          <w:bCs/>
          <w:color w:val="2E5090"/>
          <w:sz w:val="26"/>
          <w:szCs w:val="26"/>
        </w:rPr>
        <w:t xml:space="preserve">11.1 Standard Environment Failure</w:t>
      </w:r>
    </w:p>
    <w:p>
      <w:pPr>
        <w:spacing w:after="80" w:before="80"/>
      </w:pPr>
      <w:r>
        <w:rPr>
          <w:rFonts w:ascii="Arial" w:cs="Arial" w:eastAsia="Arial" w:hAnsi="Arial"/>
          <w:sz w:val="22"/>
          <w:szCs w:val="22"/>
        </w:rPr>
        <w:t xml:space="preserve">For research conducted in physical facilities, the TFFP maintains a facility continuity plan that identifies: alternative facilities that could host the research, minimum notice required for facility transition, what research equipment and materials must be transported vs. cannot be transported, and what research can continue remotely during facility unavailability.</w:t>
      </w:r>
    </w:p>
    <w:p>
      <w:pPr>
        <w:pStyle w:val="Heading2"/>
        <w:spacing w:after="140" w:before="280"/>
      </w:pPr>
      <w:r>
        <w:rPr>
          <w:rFonts w:ascii="Arial" w:cs="Arial" w:eastAsia="Arial" w:hAnsi="Arial"/>
          <w:b/>
          <w:bCs/>
          <w:color w:val="2E5090"/>
          <w:sz w:val="26"/>
          <w:szCs w:val="26"/>
        </w:rPr>
        <w:t xml:space="preserve">11.2 Non-Standard Environment Failure</w:t>
      </w:r>
    </w:p>
    <w:p>
      <w:pPr>
        <w:spacing w:after="80" w:before="80"/>
      </w:pPr>
      <w:r>
        <w:rPr>
          <w:rFonts w:ascii="Arial" w:cs="Arial" w:eastAsia="Arial" w:hAnsi="Arial"/>
          <w:sz w:val="22"/>
          <w:szCs w:val="22"/>
        </w:rPr>
        <w:t xml:space="preserve">For research conducted in non-standard environments — threshold dimensions, black hole adjacent research stations, simulation environments dependent on Paragon Cube infrastructure — the continuity requirements are more complex. The following applies:</w:t>
      </w:r>
    </w:p>
    <w:p>
      <w:pPr>
        <w:pStyle w:val="ListParagraph"/>
        <w:numPr>
          <w:ilvl w:val="0"/>
          <w:numId w:val="3"/>
        </w:numPr>
        <w:spacing w:after="60" w:before="60"/>
      </w:pPr>
      <w:r>
        <w:rPr>
          <w:rFonts w:ascii="Arial" w:cs="Arial" w:eastAsia="Arial" w:hAnsi="Arial"/>
          <w:sz w:val="22"/>
          <w:szCs w:val="22"/>
        </w:rPr>
        <w:t xml:space="preserve">Paragon Cube-dependent simulations: All active simulation states are preserved to Paragon Cube archive at the first indication of infrastructure instability. The simulation can be restored from the archived state when infrastructure is restored. No simulation data is lost by design.</w:t>
      </w:r>
    </w:p>
    <w:p>
      <w:pPr>
        <w:pStyle w:val="ListParagraph"/>
        <w:numPr>
          <w:ilvl w:val="0"/>
          <w:numId w:val="3"/>
        </w:numPr>
        <w:spacing w:after="60" w:before="60"/>
      </w:pPr>
      <w:r>
        <w:rPr>
          <w:rFonts w:ascii="Arial" w:cs="Arial" w:eastAsia="Arial" w:hAnsi="Arial"/>
          <w:sz w:val="22"/>
          <w:szCs w:val="22"/>
        </w:rPr>
        <w:t xml:space="preserve">Non-standard physical environments: If access to a non-standard research environment is lost (threshold dimension collapse, Research Station access revocation, etc.), all data collected in that environment is preserved by the Paragon Cube telemetry system, which operates independently of the physical environment access. The research enters SUSPENSION for the non-standard environment components. Components that can be continued in standard environments proceed under MODIFIED OPERATION.</w:t>
      </w:r>
    </w:p>
    <w:p>
      <w:pPr>
        <w:pStyle w:val="ListParagraph"/>
        <w:numPr>
          <w:ilvl w:val="0"/>
          <w:numId w:val="3"/>
        </w:numPr>
        <w:spacing w:after="60" w:before="60"/>
      </w:pPr>
      <w:r>
        <w:rPr>
          <w:rFonts w:ascii="Arial" w:cs="Arial" w:eastAsia="Arial" w:hAnsi="Arial"/>
          <w:sz w:val="22"/>
          <w:szCs w:val="22"/>
        </w:rPr>
        <w:t xml:space="preserve">Species-Level Informational Access restrictions: If a framework failure involves environments or participants subject to Species-Level Informational Access protocols, all failure documentation is classified at the appropriate access tier. The TFFP failure report for these events is not accessible to parties without the required clearance tier.</w:t>
      </w:r>
    </w:p>
    <w:p>
      <w:r>
        <w:br w:type="page"/>
      </w:r>
    </w:p>
    <w:p>
      <w:pPr>
        <w:pStyle w:val="Heading1"/>
        <w:spacing w:after="200" w:before="360"/>
      </w:pPr>
      <w:r>
        <w:rPr>
          <w:rFonts w:ascii="Arial" w:cs="Arial" w:eastAsia="Arial" w:hAnsi="Arial"/>
          <w:b/>
          <w:bCs/>
          <w:color w:val="1F3864"/>
          <w:sz w:val="32"/>
          <w:szCs w:val="32"/>
        </w:rPr>
        <w:t xml:space="preserve">SECTION 12 — REPUTATIONAL AND EXTERNAL THREAT RESPONSE</w:t>
      </w:r>
    </w:p>
    <w:p>
      <w:pPr>
        <w:pStyle w:val="Heading2"/>
        <w:spacing w:after="140" w:before="280"/>
      </w:pPr>
      <w:r>
        <w:rPr>
          <w:rFonts w:ascii="Arial" w:cs="Arial" w:eastAsia="Arial" w:hAnsi="Arial"/>
          <w:b/>
          <w:bCs/>
          <w:color w:val="2E5090"/>
          <w:sz w:val="26"/>
          <w:szCs w:val="26"/>
        </w:rPr>
        <w:t xml:space="preserve">12.1 Why Reputational Failure Is Underplanned</w:t>
      </w:r>
    </w:p>
    <w:p>
      <w:pPr>
        <w:spacing w:after="80" w:before="80"/>
      </w:pPr>
      <w:r>
        <w:rPr>
          <w:rFonts w:ascii="Arial" w:cs="Arial" w:eastAsia="Arial" w:hAnsi="Arial"/>
          <w:sz w:val="22"/>
          <w:szCs w:val="22"/>
        </w:rPr>
        <w:t xml:space="preserve">Reputational and social failure (Class VI) is the category most frequently absent from research continuity plans and most frequently responsible for catastrophic program termination. Institutions plan for equipment failure. They plan for funding gaps. They rarely plan for the scenario where the research itself becomes the story, and the story is negative.</w:t>
      </w:r>
    </w:p>
    <w:p>
      <w:pPr>
        <w:spacing w:after="80" w:before="80"/>
      </w:pPr>
      <w:r>
        <w:rPr>
          <w:rFonts w:ascii="Arial" w:cs="Arial" w:eastAsia="Arial" w:hAnsi="Arial"/>
          <w:sz w:val="22"/>
          <w:szCs w:val="22"/>
        </w:rPr>
        <w:t xml:space="preserve">The OMNICELLULAR 4,712 framework's observation that a system must be tested against conditions it cannot prepare for applies here: the reputational threat that ends a research program is almost always one that was not anticipated. The TFFP cannot predict specific reputational events, but it can establish the response architecture in advance.</w:t>
      </w:r>
    </w:p>
    <w:p>
      <w:pPr>
        <w:pStyle w:val="Heading2"/>
        <w:spacing w:after="140" w:before="280"/>
      </w:pPr>
      <w:r>
        <w:rPr>
          <w:rFonts w:ascii="Arial" w:cs="Arial" w:eastAsia="Arial" w:hAnsi="Arial"/>
          <w:b/>
          <w:bCs/>
          <w:color w:val="2E5090"/>
          <w:sz w:val="26"/>
          <w:szCs w:val="26"/>
        </w:rPr>
        <w:t xml:space="preserve">12.2 Reputational Threat Response Protocol</w:t>
      </w:r>
    </w:p>
    <w:p>
      <w:pPr>
        <w:pStyle w:val="ListParagraph"/>
        <w:numPr>
          <w:ilvl w:val="0"/>
          <w:numId w:val="2"/>
        </w:numPr>
        <w:spacing w:after="60" w:before="60"/>
      </w:pPr>
      <w:r>
        <w:rPr>
          <w:rFonts w:ascii="Arial" w:cs="Arial" w:eastAsia="Arial" w:hAnsi="Arial"/>
          <w:sz w:val="22"/>
          <w:szCs w:val="22"/>
        </w:rPr>
        <w:t xml:space="preserve">Pre-publication review: Before any findings, protocols, or research activities are disclosed publicly, a reputational risk assessment is conducted. This is not censorship — it is preparation. The question asked is: if this information becomes public in an adversarial framing, what is the worst-case narrative? What is the response to that narrative?</w:t>
      </w:r>
    </w:p>
    <w:p>
      <w:pPr>
        <w:pStyle w:val="ListParagraph"/>
        <w:numPr>
          <w:ilvl w:val="0"/>
          <w:numId w:val="2"/>
        </w:numPr>
        <w:spacing w:after="60" w:before="60"/>
      </w:pPr>
      <w:r>
        <w:rPr>
          <w:rFonts w:ascii="Arial" w:cs="Arial" w:eastAsia="Arial" w:hAnsi="Arial"/>
          <w:sz w:val="22"/>
          <w:szCs w:val="22"/>
        </w:rPr>
        <w:t xml:space="preserve">Communications protocol activation: When a reputational threat emerges, the communications protocol activates immediately. No team member speaks publicly about the research without authorization. A single designated spokesperson is established. Responses are coordinated, not improvised.</w:t>
      </w:r>
    </w:p>
    <w:p>
      <w:pPr>
        <w:pStyle w:val="ListParagraph"/>
        <w:numPr>
          <w:ilvl w:val="0"/>
          <w:numId w:val="2"/>
        </w:numPr>
        <w:spacing w:after="60" w:before="60"/>
      </w:pPr>
      <w:r>
        <w:rPr>
          <w:rFonts w:ascii="Arial" w:cs="Arial" w:eastAsia="Arial" w:hAnsi="Arial"/>
          <w:sz w:val="22"/>
          <w:szCs w:val="22"/>
        </w:rPr>
        <w:t xml:space="preserve">Participant protection first: In any reputational threat scenario, the first obligation is to participants. Their confidentiality and wellbeing take precedence over organizational reputation. This is not only ethically required — it is the most effective reputational protection available, because an organization that demonstrably prioritizes its participants' wellbeing over its own image is more defensible than one that appears to do the opposite.</w:t>
      </w:r>
    </w:p>
    <w:p>
      <w:pPr>
        <w:pStyle w:val="ListParagraph"/>
        <w:numPr>
          <w:ilvl w:val="0"/>
          <w:numId w:val="2"/>
        </w:numPr>
        <w:spacing w:after="60" w:before="60"/>
      </w:pPr>
      <w:r>
        <w:rPr>
          <w:rFonts w:ascii="Arial" w:cs="Arial" w:eastAsia="Arial" w:hAnsi="Arial"/>
          <w:sz w:val="22"/>
          <w:szCs w:val="22"/>
        </w:rPr>
        <w:t xml:space="preserve">Research pause vs. research termination: Not every reputational event requires termination. A research pause while the situation is assessed is frequently the appropriate response. The decision to terminate is irreversible and forfeits the investment in the research to date. The decision to pause preserves options. The TFFP requires that this distinction be made explicitly and not defaulted to termination under pressure.</w:t>
      </w:r>
    </w:p>
    <w:p>
      <w:r>
        <w:br w:type="page"/>
      </w:r>
    </w:p>
    <w:p>
      <w:pPr>
        <w:pStyle w:val="Heading1"/>
        <w:spacing w:after="200" w:before="360"/>
      </w:pPr>
      <w:r>
        <w:rPr>
          <w:rFonts w:ascii="Arial" w:cs="Arial" w:eastAsia="Arial" w:hAnsi="Arial"/>
          <w:b/>
          <w:bCs/>
          <w:color w:val="1F3864"/>
          <w:sz w:val="32"/>
          <w:szCs w:val="32"/>
        </w:rPr>
        <w:t xml:space="preserve">SECTION 13 — RECURSIVE IMPROVEMENT AND LEARNING INTEGRATION</w:t>
      </w:r>
    </w:p>
    <w:p>
      <w:pPr>
        <w:pStyle w:val="Heading2"/>
        <w:spacing w:after="140" w:before="280"/>
      </w:pPr>
      <w:r>
        <w:rPr>
          <w:rFonts w:ascii="Arial" w:cs="Arial" w:eastAsia="Arial" w:hAnsi="Arial"/>
          <w:b/>
          <w:bCs/>
          <w:color w:val="2E5090"/>
          <w:sz w:val="26"/>
          <w:szCs w:val="26"/>
        </w:rPr>
        <w:t xml:space="preserve">13.1 The Learning Obligation</w:t>
      </w:r>
    </w:p>
    <w:p>
      <w:pPr>
        <w:spacing w:after="80" w:before="80"/>
      </w:pPr>
      <w:r>
        <w:rPr>
          <w:rFonts w:ascii="Arial" w:cs="Arial" w:eastAsia="Arial" w:hAnsi="Arial"/>
          <w:sz w:val="22"/>
          <w:szCs w:val="22"/>
        </w:rPr>
        <w:t xml:space="preserve">Nathan's voice note makes a point that is central to the entire TFFP architecture: there is a difference between having information about what goes wrong and applying that information to prevent the same thing from going wrong again. The TFFP creates an obligation to learn, not just an obligation to document.</w:t>
      </w:r>
    </w:p>
    <w:p>
      <w:pPr>
        <w:spacing w:after="80" w:before="80"/>
      </w:pPr>
      <w:r>
        <w:rPr>
          <w:rFonts w:ascii="Arial" w:cs="Arial" w:eastAsia="Arial" w:hAnsi="Arial"/>
          <w:sz w:val="22"/>
          <w:szCs w:val="22"/>
        </w:rPr>
        <w:t xml:space="preserve">Every TFFP failure event produces a mandatory learning output. This is not optional, it is not discretionary, and it is not delegated to a junior team member. The learning output is produced by the research lead and reviewed by the Architect or designated reviewer before the program is considered closed.</w:t>
      </w:r>
    </w:p>
    <w:p>
      <w:pPr>
        <w:pStyle w:val="Heading2"/>
        <w:spacing w:after="140" w:before="280"/>
      </w:pPr>
      <w:r>
        <w:rPr>
          <w:rFonts w:ascii="Arial" w:cs="Arial" w:eastAsia="Arial" w:hAnsi="Arial"/>
          <w:b/>
          <w:bCs/>
          <w:color w:val="2E5090"/>
          <w:sz w:val="26"/>
          <w:szCs w:val="26"/>
        </w:rPr>
        <w:t xml:space="preserve">13.2 The Mandatory Learning Output</w:t>
      </w:r>
    </w:p>
    <w:p>
      <w:pPr>
        <w:spacing w:after="80" w:before="80"/>
      </w:pPr>
      <w:r>
        <w:rPr>
          <w:rFonts w:ascii="Arial" w:cs="Arial" w:eastAsia="Arial" w:hAnsi="Arial"/>
          <w:sz w:val="22"/>
          <w:szCs w:val="22"/>
        </w:rPr>
        <w:t xml:space="preserve">Every completed TFFP failure event produces the following outputs, which are submitted to the Abundance Set within 30 days of program closure:</w:t>
      </w:r>
    </w:p>
    <w:p>
      <w:pPr>
        <w:pStyle w:val="ListParagraph"/>
        <w:numPr>
          <w:ilvl w:val="0"/>
          <w:numId w:val="2"/>
        </w:numPr>
        <w:spacing w:after="60" w:before="60"/>
      </w:pPr>
      <w:r>
        <w:rPr>
          <w:rFonts w:ascii="Arial" w:cs="Arial" w:eastAsia="Arial" w:hAnsi="Arial"/>
          <w:sz w:val="22"/>
          <w:szCs w:val="22"/>
        </w:rPr>
        <w:t xml:space="preserve">Root cause analysis: What was the primary cause of the framework failure? What were the contributing factors? What were the earliest detectable indicators, and when were they first present?</w:t>
      </w:r>
    </w:p>
    <w:p>
      <w:pPr>
        <w:pStyle w:val="ListParagraph"/>
        <w:numPr>
          <w:ilvl w:val="0"/>
          <w:numId w:val="2"/>
        </w:numPr>
        <w:spacing w:after="60" w:before="60"/>
      </w:pPr>
      <w:r>
        <w:rPr>
          <w:rFonts w:ascii="Arial" w:cs="Arial" w:eastAsia="Arial" w:hAnsi="Arial"/>
          <w:sz w:val="22"/>
          <w:szCs w:val="22"/>
        </w:rPr>
        <w:t xml:space="preserve">Early warning gap analysis: Were the early warning thresholds adequate? Were they being monitored? Were threshold breaches acted on? If not, why not?</w:t>
      </w:r>
    </w:p>
    <w:p>
      <w:pPr>
        <w:pStyle w:val="ListParagraph"/>
        <w:numPr>
          <w:ilvl w:val="0"/>
          <w:numId w:val="2"/>
        </w:numPr>
        <w:spacing w:after="60" w:before="60"/>
      </w:pPr>
      <w:r>
        <w:rPr>
          <w:rFonts w:ascii="Arial" w:cs="Arial" w:eastAsia="Arial" w:hAnsi="Arial"/>
          <w:sz w:val="22"/>
          <w:szCs w:val="22"/>
        </w:rPr>
        <w:t xml:space="preserve">Protocol adequacy assessment: Did the TFFP response protocol work as designed? Where did it fail, hesitate, or produce unexpected outcomes? What protocol modifications are recommended?</w:t>
      </w:r>
    </w:p>
    <w:p>
      <w:pPr>
        <w:pStyle w:val="ListParagraph"/>
        <w:numPr>
          <w:ilvl w:val="0"/>
          <w:numId w:val="2"/>
        </w:numPr>
        <w:spacing w:after="60" w:before="60"/>
      </w:pPr>
      <w:r>
        <w:rPr>
          <w:rFonts w:ascii="Arial" w:cs="Arial" w:eastAsia="Arial" w:hAnsi="Arial"/>
          <w:sz w:val="22"/>
          <w:szCs w:val="22"/>
        </w:rPr>
        <w:t xml:space="preserve">Future prevention recommendations: What specific changes to research design, recruitment strategy, funding architecture, personnel planning, or institutional relationships would have prevented or mitigated this failure?</w:t>
      </w:r>
    </w:p>
    <w:p>
      <w:pPr>
        <w:pStyle w:val="ListParagraph"/>
        <w:numPr>
          <w:ilvl w:val="0"/>
          <w:numId w:val="2"/>
        </w:numPr>
        <w:spacing w:after="60" w:before="60"/>
      </w:pPr>
      <w:r>
        <w:rPr>
          <w:rFonts w:ascii="Arial" w:cs="Arial" w:eastAsia="Arial" w:hAnsi="Arial"/>
          <w:sz w:val="22"/>
          <w:szCs w:val="22"/>
        </w:rPr>
        <w:t xml:space="preserve">Transferable lessons: What lessons from this failure are applicable to other current or planned research programs? This output is distributed to all active program leads.</w:t>
      </w:r>
    </w:p>
    <w:p>
      <w:pPr>
        <w:pStyle w:val="Heading2"/>
        <w:spacing w:after="140" w:before="280"/>
      </w:pPr>
      <w:r>
        <w:rPr>
          <w:rFonts w:ascii="Arial" w:cs="Arial" w:eastAsia="Arial" w:hAnsi="Arial"/>
          <w:b/>
          <w:bCs/>
          <w:color w:val="2E5090"/>
          <w:sz w:val="26"/>
          <w:szCs w:val="26"/>
        </w:rPr>
        <w:t xml:space="preserve">13.3 Integration with Conditional Failure at the Root Level</w:t>
      </w:r>
    </w:p>
    <w:p>
      <w:pPr>
        <w:spacing w:after="80" w:before="80"/>
      </w:pPr>
      <w:r>
        <w:rPr>
          <w:rFonts w:ascii="Arial" w:cs="Arial" w:eastAsia="Arial" w:hAnsi="Arial"/>
          <w:sz w:val="22"/>
          <w:szCs w:val="22"/>
        </w:rPr>
        <w:t xml:space="preserve">The TFFP is the operational expression of Conditional Failure at the Root Level (OAL-VL5-MAR22-2026) applied to research programs specifically. The Wishbone visualization applies: binary decision trees (continue/stop) become brittle under scale and complexity. The TFFP replaces binary decision trees with a graduated threshold response architecture that preserves options at each stage rather than forcing early binary choices.</w:t>
      </w:r>
    </w:p>
    <w:p>
      <w:pPr>
        <w:spacing w:after="80" w:before="80"/>
      </w:pPr>
      <w:r>
        <w:rPr>
          <w:rFonts w:ascii="Arial" w:cs="Arial" w:eastAsia="Arial" w:hAnsi="Arial"/>
          <w:sz w:val="22"/>
          <w:szCs w:val="22"/>
        </w:rPr>
        <w:t xml:space="preserve">All TFFP learning outputs are processed through the Abundance Set. The Department of Endings maintains a cumulative record of all TFFP events across all programs, enabling the detection of cross-program patterns that individual program analyses cannot reveal.</w:t>
      </w:r>
    </w:p>
    <w:p>
      <w:r>
        <w:br w:type="page"/>
      </w:r>
    </w:p>
    <w:p>
      <w:pPr>
        <w:pStyle w:val="Heading1"/>
        <w:spacing w:after="200" w:before="360"/>
      </w:pPr>
      <w:r>
        <w:rPr>
          <w:rFonts w:ascii="Arial" w:cs="Arial" w:eastAsia="Arial" w:hAnsi="Arial"/>
          <w:b/>
          <w:bCs/>
          <w:color w:val="1F3864"/>
          <w:sz w:val="32"/>
          <w:szCs w:val="32"/>
        </w:rPr>
        <w:t xml:space="preserve">SECTION 14 — FUNDING PROPOSAL</w:t>
      </w:r>
    </w:p>
    <w:p>
      <w:pPr>
        <w:pStyle w:val="Heading2"/>
        <w:spacing w:after="140" w:before="280"/>
      </w:pPr>
      <w:r>
        <w:rPr>
          <w:rFonts w:ascii="Arial" w:cs="Arial" w:eastAsia="Arial" w:hAnsi="Arial"/>
          <w:b/>
          <w:bCs/>
          <w:color w:val="2E5090"/>
          <w:sz w:val="26"/>
          <w:szCs w:val="26"/>
        </w:rPr>
        <w:t xml:space="preserve">14.1 The Funding Case</w:t>
      </w:r>
    </w:p>
    <w:p>
      <w:pPr>
        <w:spacing w:after="80" w:before="80"/>
      </w:pPr>
      <w:r>
        <w:rPr>
          <w:rFonts w:ascii="Arial" w:cs="Arial" w:eastAsia="Arial" w:hAnsi="Arial"/>
          <w:sz w:val="22"/>
          <w:szCs w:val="22"/>
        </w:rPr>
        <w:t xml:space="preserve">The TFFP is simultaneously a governance document and a cost management tool. Research programs that fail without a continuity protocol lose all of the investment made to the point of failure. Research programs with a TFFP in place recover value from failures — through preserved data, through learning outputs, through reduced time-to-recovery, and through reduced probability of repeating the same failure.</w:t>
      </w:r>
    </w:p>
    <w:p>
      <w:pPr>
        <w:spacing w:after="80" w:before="80"/>
      </w:pPr>
      <w:r>
        <w:rPr>
          <w:rFonts w:ascii="Arial" w:cs="Arial" w:eastAsia="Arial" w:hAnsi="Arial"/>
          <w:sz w:val="22"/>
          <w:szCs w:val="22"/>
        </w:rPr>
        <w:t xml:space="preserve">The funding case for the TFFP is straightforward: the cost of implementing the protocol is a small fraction of the cost of a single unmanaged framework failure in any significant research program.</w:t>
      </w:r>
    </w:p>
    <w:p>
      <w:pPr>
        <w:pStyle w:val="Heading2"/>
        <w:spacing w:after="140" w:before="280"/>
      </w:pPr>
      <w:r>
        <w:rPr>
          <w:rFonts w:ascii="Arial" w:cs="Arial" w:eastAsia="Arial" w:hAnsi="Arial"/>
          <w:b/>
          <w:bCs/>
          <w:color w:val="2E5090"/>
          <w:sz w:val="26"/>
          <w:szCs w:val="26"/>
        </w:rPr>
        <w:t xml:space="preserve">14.2 Internal Funding — Operational Implementation</w:t>
      </w:r>
    </w:p>
    <w:p>
      <w:pPr>
        <w:spacing w:after="80" w:before="80"/>
      </w:pPr>
      <w:r>
        <w:rPr>
          <w:rFonts w:ascii="Arial" w:cs="Arial" w:eastAsia="Arial" w:hAnsi="Arial"/>
          <w:sz w:val="22"/>
          <w:szCs w:val="22"/>
        </w:rPr>
        <w:t xml:space="preserve">The TFFP is an operational document. Its primary funding requirement is personnel time for:</w:t>
      </w:r>
    </w:p>
    <w:p>
      <w:pPr>
        <w:pStyle w:val="ListParagraph"/>
        <w:numPr>
          <w:ilvl w:val="0"/>
          <w:numId w:val="3"/>
        </w:numPr>
        <w:spacing w:after="60" w:before="60"/>
      </w:pPr>
      <w:r>
        <w:rPr>
          <w:rFonts w:ascii="Arial" w:cs="Arial" w:eastAsia="Arial" w:hAnsi="Arial"/>
          <w:sz w:val="22"/>
          <w:szCs w:val="22"/>
        </w:rPr>
        <w:t xml:space="preserve">Protocol development and customization for each research program (estimated 8–16 hours per program at initiation)</w:t>
      </w:r>
    </w:p>
    <w:p>
      <w:pPr>
        <w:pStyle w:val="ListParagraph"/>
        <w:numPr>
          <w:ilvl w:val="0"/>
          <w:numId w:val="3"/>
        </w:numPr>
        <w:spacing w:after="60" w:before="60"/>
      </w:pPr>
      <w:r>
        <w:rPr>
          <w:rFonts w:ascii="Arial" w:cs="Arial" w:eastAsia="Arial" w:hAnsi="Arial"/>
          <w:sz w:val="22"/>
          <w:szCs w:val="22"/>
        </w:rPr>
        <w:t xml:space="preserve">Threshold monitoring during active programs (estimated 2–4 hours per week per active program)</w:t>
      </w:r>
    </w:p>
    <w:p>
      <w:pPr>
        <w:pStyle w:val="ListParagraph"/>
        <w:numPr>
          <w:ilvl w:val="0"/>
          <w:numId w:val="3"/>
        </w:numPr>
        <w:spacing w:after="60" w:before="60"/>
      </w:pPr>
      <w:r>
        <w:rPr>
          <w:rFonts w:ascii="Arial" w:cs="Arial" w:eastAsia="Arial" w:hAnsi="Arial"/>
          <w:sz w:val="22"/>
          <w:szCs w:val="22"/>
        </w:rPr>
        <w:t xml:space="preserve">Continuity review convening and documentation at REVIEW and WARNING states (estimated 4–8 hours per event)</w:t>
      </w:r>
    </w:p>
    <w:p>
      <w:pPr>
        <w:pStyle w:val="ListParagraph"/>
        <w:numPr>
          <w:ilvl w:val="0"/>
          <w:numId w:val="3"/>
        </w:numPr>
        <w:spacing w:after="60" w:before="60"/>
      </w:pPr>
      <w:r>
        <w:rPr>
          <w:rFonts w:ascii="Arial" w:cs="Arial" w:eastAsia="Arial" w:hAnsi="Arial"/>
          <w:sz w:val="22"/>
          <w:szCs w:val="22"/>
        </w:rPr>
        <w:t xml:space="preserve">Failure report and learning output production at SUSPENSION or TERMINATION (estimated 16–40 hours per event)</w:t>
      </w:r>
    </w:p>
    <w:p>
      <w:pPr>
        <w:spacing w:after="80" w:before="80"/>
      </w:pPr>
      <w:r>
        <w:rPr>
          <w:rFonts w:ascii="Arial" w:cs="Arial" w:eastAsia="Arial" w:hAnsi="Arial"/>
          <w:sz w:val="22"/>
          <w:szCs w:val="22"/>
        </w:rPr>
        <w:t xml:space="preserve">At OAL scale, these requirements are absorbed within existing research operations staff. No dedicated TFFP staff is required until the number of active programs exceeds eight simultaneously.</w:t>
      </w:r>
    </w:p>
    <w:p>
      <w:pPr>
        <w:pStyle w:val="Heading2"/>
        <w:spacing w:after="140" w:before="280"/>
      </w:pPr>
      <w:r>
        <w:rPr>
          <w:rFonts w:ascii="Arial" w:cs="Arial" w:eastAsia="Arial" w:hAnsi="Arial"/>
          <w:b/>
          <w:bCs/>
          <w:color w:val="2E5090"/>
          <w:sz w:val="26"/>
          <w:szCs w:val="26"/>
        </w:rPr>
        <w:t xml:space="preserve">14.3 External Funding — Research Governance Innovation</w:t>
      </w:r>
    </w:p>
    <w:p>
      <w:pPr>
        <w:spacing w:after="80" w:before="80"/>
      </w:pPr>
      <w:r>
        <w:rPr>
          <w:rFonts w:ascii="Arial" w:cs="Arial" w:eastAsia="Arial" w:hAnsi="Arial"/>
          <w:sz w:val="22"/>
          <w:szCs w:val="22"/>
        </w:rPr>
        <w:t xml:space="preserve">The TFFP represents a genuine contribution to research governance methodology. Funding paths for development and publication of the framework include:</w:t>
      </w:r>
    </w:p>
    <w:p>
      <w:pPr>
        <w:pStyle w:val="ListParagraph"/>
        <w:numPr>
          <w:ilvl w:val="0"/>
          <w:numId w:val="3"/>
        </w:numPr>
        <w:spacing w:after="60" w:before="60"/>
      </w:pPr>
      <w:r>
        <w:rPr>
          <w:rFonts w:ascii="Arial" w:cs="Arial" w:eastAsia="Arial" w:hAnsi="Arial"/>
          <w:sz w:val="22"/>
          <w:szCs w:val="22"/>
        </w:rPr>
        <w:t xml:space="preserve">NIH Office of Research Integrity: grants for research quality and integrity improvement programs ($150K–$500K)</w:t>
      </w:r>
    </w:p>
    <w:p>
      <w:pPr>
        <w:pStyle w:val="ListParagraph"/>
        <w:numPr>
          <w:ilvl w:val="0"/>
          <w:numId w:val="3"/>
        </w:numPr>
        <w:spacing w:after="60" w:before="60"/>
      </w:pPr>
      <w:r>
        <w:rPr>
          <w:rFonts w:ascii="Arial" w:cs="Arial" w:eastAsia="Arial" w:hAnsi="Arial"/>
          <w:sz w:val="22"/>
          <w:szCs w:val="22"/>
        </w:rPr>
        <w:t xml:space="preserve">NSF Science of Science and Innovation Policy program: funding for research on improving research practices ($200K–$600K)</w:t>
      </w:r>
    </w:p>
    <w:p>
      <w:pPr>
        <w:pStyle w:val="ListParagraph"/>
        <w:numPr>
          <w:ilvl w:val="0"/>
          <w:numId w:val="3"/>
        </w:numPr>
        <w:spacing w:after="60" w:before="60"/>
      </w:pPr>
      <w:r>
        <w:rPr>
          <w:rFonts w:ascii="Arial" w:cs="Arial" w:eastAsia="Arial" w:hAnsi="Arial"/>
          <w:sz w:val="22"/>
          <w:szCs w:val="22"/>
        </w:rPr>
        <w:t xml:space="preserve">Private foundation grants for research ethics and governance innovation (Gates Foundation, Wellcome Trust, Arnold Ventures): $300K–$1M</w:t>
      </w:r>
    </w:p>
    <w:p>
      <w:pPr>
        <w:pStyle w:val="ListParagraph"/>
        <w:numPr>
          <w:ilvl w:val="0"/>
          <w:numId w:val="3"/>
        </w:numPr>
        <w:spacing w:after="60" w:before="60"/>
      </w:pPr>
      <w:r>
        <w:rPr>
          <w:rFonts w:ascii="Arial" w:cs="Arial" w:eastAsia="Arial" w:hAnsi="Arial"/>
          <w:sz w:val="22"/>
          <w:szCs w:val="22"/>
        </w:rPr>
        <w:t xml:space="preserve">Academic publication: the TFFP framework as a peer-reviewed methodology paper generates institutional recognition and citation value independent of direct funding</w:t>
      </w:r>
    </w:p>
    <w:p>
      <w:pPr>
        <w:pStyle w:val="ListParagraph"/>
        <w:numPr>
          <w:ilvl w:val="0"/>
          <w:numId w:val="3"/>
        </w:numPr>
        <w:spacing w:after="60" w:before="60"/>
      </w:pPr>
      <w:r>
        <w:rPr>
          <w:rFonts w:ascii="Arial" w:cs="Arial" w:eastAsia="Arial" w:hAnsi="Arial"/>
          <w:sz w:val="22"/>
          <w:szCs w:val="22"/>
        </w:rPr>
        <w:t xml:space="preserve">Consulting and licensing: once validated through OAL program application, the TFFP can be licensed to other research organizations as a governance methodology tool</w:t>
      </w:r>
    </w:p>
    <w:p>
      <w:pPr>
        <w:pStyle w:val="Heading2"/>
        <w:spacing w:after="140" w:before="280"/>
      </w:pPr>
      <w:r>
        <w:rPr>
          <w:rFonts w:ascii="Arial" w:cs="Arial" w:eastAsia="Arial" w:hAnsi="Arial"/>
          <w:b/>
          <w:bCs/>
          <w:color w:val="2E5090"/>
          <w:sz w:val="26"/>
          <w:szCs w:val="26"/>
        </w:rPr>
        <w:t xml:space="preserve">14.4 The ROI Case</w:t>
      </w:r>
    </w:p>
    <w:p>
      <w:pPr>
        <w:spacing w:after="80" w:before="80"/>
      </w:pPr>
      <w:r>
        <w:rPr>
          <w:rFonts w:ascii="Arial" w:cs="Arial" w:eastAsia="Arial" w:hAnsi="Arial"/>
          <w:sz w:val="22"/>
          <w:szCs w:val="22"/>
        </w:rPr>
        <w:t xml:space="preserve">A single research program that is brought through a Class I or Class II failure event to a successful modified completion rather than unmanaged termination recovers the entire development cost of the TFFP many times over. The ROI calculation is not speculative — it is based on the documented cost difference between managed and unmanaged research program failures in the academic and clinical research literature.</w:t>
      </w:r>
    </w:p>
    <w:p>
      <w:r>
        <w:br w:type="page"/>
      </w:r>
    </w:p>
    <w:p>
      <w:pPr>
        <w:pStyle w:val="Heading1"/>
        <w:spacing w:after="200" w:before="360"/>
      </w:pPr>
      <w:r>
        <w:rPr>
          <w:rFonts w:ascii="Arial" w:cs="Arial" w:eastAsia="Arial" w:hAnsi="Arial"/>
          <w:b/>
          <w:bCs/>
          <w:color w:val="1F3864"/>
          <w:sz w:val="32"/>
          <w:szCs w:val="32"/>
        </w:rPr>
        <w:t xml:space="preserve">SECTION 15 — ETHICS AND MORALITY FRAMEWORK</w:t>
      </w:r>
    </w:p>
    <w:p>
      <w:pPr>
        <w:pStyle w:val="Heading2"/>
        <w:spacing w:after="140" w:before="280"/>
      </w:pPr>
      <w:r>
        <w:rPr>
          <w:rFonts w:ascii="Arial" w:cs="Arial" w:eastAsia="Arial" w:hAnsi="Arial"/>
          <w:b/>
          <w:bCs/>
          <w:color w:val="2E5090"/>
          <w:sz w:val="26"/>
          <w:szCs w:val="26"/>
        </w:rPr>
        <w:t xml:space="preserve">15.1 The Ethical Obligations Created by This Protocol</w:t>
      </w:r>
    </w:p>
    <w:p>
      <w:pPr>
        <w:spacing w:after="80" w:before="80"/>
      </w:pPr>
      <w:r>
        <w:rPr>
          <w:rFonts w:ascii="Arial" w:cs="Arial" w:eastAsia="Arial" w:hAnsi="Arial"/>
          <w:sz w:val="22"/>
          <w:szCs w:val="22"/>
        </w:rPr>
        <w:t xml:space="preserve">The TFFP creates ethical obligations, not just operational procedures. These obligations are non-negotiable and take precedence over research completion goals, funding timelines, and organizational interests.</w:t>
      </w:r>
    </w:p>
    <w:p>
      <w:pPr>
        <w:pStyle w:val="Heading2"/>
        <w:spacing w:after="140" w:before="280"/>
      </w:pPr>
      <w:r>
        <w:rPr>
          <w:rFonts w:ascii="Arial" w:cs="Arial" w:eastAsia="Arial" w:hAnsi="Arial"/>
          <w:b/>
          <w:bCs/>
          <w:color w:val="2E5090"/>
          <w:sz w:val="26"/>
          <w:szCs w:val="26"/>
        </w:rPr>
        <w:t xml:space="preserve">15.2 The Obligation to Stop</w:t>
      </w:r>
    </w:p>
    <w:p>
      <w:pPr>
        <w:spacing w:after="80" w:before="80"/>
      </w:pPr>
      <w:r>
        <w:rPr>
          <w:rFonts w:ascii="Arial" w:cs="Arial" w:eastAsia="Arial" w:hAnsi="Arial"/>
          <w:sz w:val="22"/>
          <w:szCs w:val="22"/>
        </w:rPr>
        <w:t xml:space="preserve">The most important ethical function of the TFFP is institutional permission to stop. Research institutions frequently fail to stop programs that should be stopped because stopping feels like failure. The TFFP reframes stopping as the responsible outcome — the evidence-based, pre-authorized decision that protects participants, preserves valid data, and enables learning. An organization that can stop when it should stop is a more trustworthy research institution than one that cannot.</w:t>
      </w:r>
    </w:p>
    <w:p>
      <w:pPr>
        <w:pStyle w:val="Heading2"/>
        <w:spacing w:after="140" w:before="280"/>
      </w:pPr>
      <w:r>
        <w:rPr>
          <w:rFonts w:ascii="Arial" w:cs="Arial" w:eastAsia="Arial" w:hAnsi="Arial"/>
          <w:b/>
          <w:bCs/>
          <w:color w:val="2E5090"/>
          <w:sz w:val="26"/>
          <w:szCs w:val="26"/>
        </w:rPr>
        <w:t xml:space="preserve">15.3 Participant Protection as the Non-Negotiable Floor</w:t>
      </w:r>
    </w:p>
    <w:p>
      <w:pPr>
        <w:spacing w:after="80" w:before="80"/>
      </w:pPr>
      <w:r>
        <w:rPr>
          <w:rFonts w:ascii="Arial" w:cs="Arial" w:eastAsia="Arial" w:hAnsi="Arial"/>
          <w:sz w:val="22"/>
          <w:szCs w:val="22"/>
        </w:rPr>
        <w:t xml:space="preserve">In any scenario where continued research creates risk to participants that was not disclosed in the original consent process, research stops. This is not a TFFP decision — it is an ethical absolute. The TFFP documents this absolute and provides the administrative pathway for executing it. No resource pressure, no timeline pressure, and no funding arrangement supersedes the obligation to protect participants who have placed their trust in the research institution.</w:t>
      </w:r>
    </w:p>
    <w:p>
      <w:pPr>
        <w:pStyle w:val="Heading2"/>
        <w:spacing w:after="140" w:before="280"/>
      </w:pPr>
      <w:r>
        <w:rPr>
          <w:rFonts w:ascii="Arial" w:cs="Arial" w:eastAsia="Arial" w:hAnsi="Arial"/>
          <w:b/>
          <w:bCs/>
          <w:color w:val="2E5090"/>
          <w:sz w:val="26"/>
          <w:szCs w:val="26"/>
        </w:rPr>
        <w:t xml:space="preserve">15.4 The Ethics of Incomplete Data</w:t>
      </w:r>
    </w:p>
    <w:p>
      <w:pPr>
        <w:spacing w:after="80" w:before="80"/>
      </w:pPr>
      <w:r>
        <w:rPr>
          <w:rFonts w:ascii="Arial" w:cs="Arial" w:eastAsia="Arial" w:hAnsi="Arial"/>
          <w:sz w:val="22"/>
          <w:szCs w:val="22"/>
        </w:rPr>
        <w:t xml:space="preserve">Incomplete data creates specific ethical obligations. Publishing findings from a suspended trial without clearly disclosing the suspension, its cause, and the limitations it places on the findings is scientific misconduct. The TFFP requires that all publications from suspended or terminated programs carry a complete disclosure of the TFFP event, its classification, the point at which the program was suspended, and the limitations this places on the conclusions that can be drawn.</w:t>
      </w:r>
    </w:p>
    <w:p>
      <w:pPr>
        <w:pStyle w:val="Heading2"/>
        <w:spacing w:after="140" w:before="280"/>
      </w:pPr>
      <w:r>
        <w:rPr>
          <w:rFonts w:ascii="Arial" w:cs="Arial" w:eastAsia="Arial" w:hAnsi="Arial"/>
          <w:b/>
          <w:bCs/>
          <w:color w:val="2E5090"/>
          <w:sz w:val="26"/>
          <w:szCs w:val="26"/>
        </w:rPr>
        <w:t xml:space="preserve">15.5 The Ethics of Failure Documentation</w:t>
      </w:r>
    </w:p>
    <w:p>
      <w:pPr>
        <w:spacing w:after="80" w:before="80"/>
      </w:pPr>
      <w:r>
        <w:rPr>
          <w:rFonts w:ascii="Arial" w:cs="Arial" w:eastAsia="Arial" w:hAnsi="Arial"/>
          <w:sz w:val="22"/>
          <w:szCs w:val="22"/>
        </w:rPr>
        <w:t xml:space="preserve">The learning output requirement creates a tension: detailed documentation of research failures may be used against the institution in legal, regulatory, or reputational contexts. This tension is real and must be acknowledged. The resolution is: the documentation exists anyway, documented or not. Undocumented failures produce the same liability as documented ones, with the additional liability of having failed to maintain adequate records. The ethical position is to document fully and manage the documentation appropriately, not to document selectively to reduce apparent liability.</w:t>
      </w:r>
    </w:p>
    <w:p>
      <w:pPr>
        <w:pStyle w:val="Heading2"/>
        <w:spacing w:after="140" w:before="280"/>
      </w:pPr>
      <w:r>
        <w:rPr>
          <w:rFonts w:ascii="Arial" w:cs="Arial" w:eastAsia="Arial" w:hAnsi="Arial"/>
          <w:b/>
          <w:bCs/>
          <w:color w:val="2E5090"/>
          <w:sz w:val="26"/>
          <w:szCs w:val="26"/>
        </w:rPr>
        <w:t xml:space="preserve">15.6 Moral Responsibility for Failure Prevention</w:t>
      </w:r>
    </w:p>
    <w:p>
      <w:pPr>
        <w:spacing w:after="80" w:before="80"/>
      </w:pPr>
      <w:r>
        <w:rPr>
          <w:rFonts w:ascii="Arial" w:cs="Arial" w:eastAsia="Arial" w:hAnsi="Arial"/>
          <w:sz w:val="22"/>
          <w:szCs w:val="22"/>
        </w:rPr>
        <w:t xml:space="preserve">The TFFP places a moral responsibility on research leads and the Architect to act on early warning indicators. A WATCH threshold breach that is documented, noted, and not acted on is a moral failure, not just an operational one. The research lead who sees the early indicators and chooses not to convene a continuity review because the timeline is tight or the program is over budget is making a choice for which they bear responsibility for the downstream consequences. The TFFP creates the institutional infrastructure that removes the excuse of not knowing what to do — from that point, choosing not to act is choosing the consequences.</w:t>
      </w:r>
    </w:p>
    <w:p>
      <w:r>
        <w:br w:type="page"/>
      </w:r>
    </w:p>
    <w:p>
      <w:pPr>
        <w:pStyle w:val="Heading1"/>
        <w:spacing w:after="200" w:before="360"/>
      </w:pPr>
      <w:r>
        <w:rPr>
          <w:rFonts w:ascii="Arial" w:cs="Arial" w:eastAsia="Arial" w:hAnsi="Arial"/>
          <w:b/>
          <w:bCs/>
          <w:color w:val="1F3864"/>
          <w:sz w:val="32"/>
          <w:szCs w:val="32"/>
        </w:rPr>
        <w:t xml:space="preserve">SECTION 16 — WHAT IS WORKING</w:t>
      </w:r>
    </w:p>
    <w:p>
      <w:pPr>
        <w:pStyle w:val="ListParagraph"/>
        <w:numPr>
          <w:ilvl w:val="0"/>
          <w:numId w:val="3"/>
        </w:numPr>
        <w:spacing w:after="60" w:before="60"/>
      </w:pPr>
      <w:r>
        <w:rPr>
          <w:rFonts w:ascii="Arial" w:cs="Arial" w:eastAsia="Arial" w:hAnsi="Arial"/>
          <w:sz w:val="22"/>
          <w:szCs w:val="22"/>
        </w:rPr>
        <w:t xml:space="preserve">The six failure class taxonomy is comprehensive and non-overlapping when primary classification rules are applied correctly. It covers the full range of framework failure scenarios documented in real-world research literature.</w:t>
      </w:r>
    </w:p>
    <w:p>
      <w:pPr>
        <w:pStyle w:val="ListParagraph"/>
        <w:numPr>
          <w:ilvl w:val="0"/>
          <w:numId w:val="3"/>
        </w:numPr>
        <w:spacing w:after="60" w:before="60"/>
      </w:pPr>
      <w:r>
        <w:rPr>
          <w:rFonts w:ascii="Arial" w:cs="Arial" w:eastAsia="Arial" w:hAnsi="Arial"/>
          <w:sz w:val="22"/>
          <w:szCs w:val="22"/>
        </w:rPr>
        <w:t xml:space="preserve">The four response states (MONITOR / REVIEW / MODIFIED OPERATION / SUSPENSION) provide graduated response capability that preserves research investment at each stage before the terminal state.</w:t>
      </w:r>
    </w:p>
    <w:p>
      <w:pPr>
        <w:pStyle w:val="ListParagraph"/>
        <w:numPr>
          <w:ilvl w:val="0"/>
          <w:numId w:val="3"/>
        </w:numPr>
        <w:spacing w:after="60" w:before="60"/>
      </w:pPr>
      <w:r>
        <w:rPr>
          <w:rFonts w:ascii="Arial" w:cs="Arial" w:eastAsia="Arial" w:hAnsi="Arial"/>
          <w:sz w:val="22"/>
          <w:szCs w:val="22"/>
        </w:rPr>
        <w:t xml:space="preserve">The data preservation imperative as a non-negotiable requirement regardless of how the program ends is correct — it transforms every failure into a partial success by ensuring the data survives even when the program does not.</w:t>
      </w:r>
    </w:p>
    <w:p>
      <w:pPr>
        <w:pStyle w:val="ListParagraph"/>
        <w:numPr>
          <w:ilvl w:val="0"/>
          <w:numId w:val="3"/>
        </w:numPr>
        <w:spacing w:after="60" w:before="60"/>
      </w:pPr>
      <w:r>
        <w:rPr>
          <w:rFonts w:ascii="Arial" w:cs="Arial" w:eastAsia="Arial" w:hAnsi="Arial"/>
          <w:sz w:val="22"/>
          <w:szCs w:val="22"/>
        </w:rPr>
        <w:t xml:space="preserve">The integration with Conditional Failure at the Root Level, the Abundance Set, and the Department of Endings creates a closed learning loop: every failure feeds future research design improvement.</w:t>
      </w:r>
    </w:p>
    <w:p>
      <w:pPr>
        <w:pStyle w:val="ListParagraph"/>
        <w:numPr>
          <w:ilvl w:val="0"/>
          <w:numId w:val="3"/>
        </w:numPr>
        <w:spacing w:after="60" w:before="60"/>
      </w:pPr>
      <w:r>
        <w:rPr>
          <w:rFonts w:ascii="Arial" w:cs="Arial" w:eastAsia="Arial" w:hAnsi="Arial"/>
          <w:sz w:val="22"/>
          <w:szCs w:val="22"/>
        </w:rPr>
        <w:t xml:space="preserve">The mandatory learning output requirement is the protocol's most important feature. Documentation without learning obligation is an archive. Documentation with learning obligation is a recursive improvement system.</w:t>
      </w:r>
    </w:p>
    <w:p>
      <w:pPr>
        <w:pStyle w:val="ListParagraph"/>
        <w:numPr>
          <w:ilvl w:val="0"/>
          <w:numId w:val="3"/>
        </w:numPr>
        <w:spacing w:after="60" w:before="60"/>
      </w:pPr>
      <w:r>
        <w:rPr>
          <w:rFonts w:ascii="Arial" w:cs="Arial" w:eastAsia="Arial" w:hAnsi="Arial"/>
          <w:sz w:val="22"/>
          <w:szCs w:val="22"/>
        </w:rPr>
        <w:t xml:space="preserve">The ethical absolute (participant protection takes precedence over all other considerations) is correctly framed as non-negotiable, not as a weighted factor in a cost-benefit analysis.</w:t>
      </w:r>
    </w:p>
    <w:p>
      <w:pPr>
        <w:pStyle w:val="ListParagraph"/>
        <w:numPr>
          <w:ilvl w:val="0"/>
          <w:numId w:val="3"/>
        </w:numPr>
        <w:spacing w:after="60" w:before="60"/>
      </w:pPr>
      <w:r>
        <w:rPr>
          <w:rFonts w:ascii="Arial" w:cs="Arial" w:eastAsia="Arial" w:hAnsi="Arial"/>
          <w:sz w:val="22"/>
          <w:szCs w:val="22"/>
        </w:rPr>
        <w:t xml:space="preserve">The reputational failure class (Class VI) addresses a scenario that is almost universally absent from institutional research continuity plans — including it is a genuine contribution.</w:t>
      </w:r>
    </w:p>
    <w:p>
      <w:r>
        <w:br w:type="page"/>
      </w:r>
    </w:p>
    <w:p>
      <w:pPr>
        <w:pStyle w:val="Heading1"/>
        <w:spacing w:after="200" w:before="360"/>
      </w:pPr>
      <w:r>
        <w:rPr>
          <w:rFonts w:ascii="Arial" w:cs="Arial" w:eastAsia="Arial" w:hAnsi="Arial"/>
          <w:b/>
          <w:bCs/>
          <w:color w:val="1F3864"/>
          <w:sz w:val="32"/>
          <w:szCs w:val="32"/>
        </w:rPr>
        <w:t xml:space="preserve">SECTION 17 — WHAT IS NOT WORKING AND NEEDS DEVELOPMENT</w:t>
      </w:r>
    </w:p>
    <w:p>
      <w:pPr>
        <w:pStyle w:val="Heading2"/>
        <w:spacing w:after="140" w:before="280"/>
      </w:pPr>
      <w:r>
        <w:rPr>
          <w:rFonts w:ascii="Arial" w:cs="Arial" w:eastAsia="Arial" w:hAnsi="Arial"/>
          <w:b/>
          <w:bCs/>
          <w:color w:val="2E5090"/>
          <w:sz w:val="26"/>
          <w:szCs w:val="26"/>
        </w:rPr>
        <w:t xml:space="preserve">17.1 The Department of Endings Is Not Yet Defined</w:t>
      </w:r>
    </w:p>
    <w:p>
      <w:pPr>
        <w:spacing w:after="80" w:before="80"/>
      </w:pPr>
      <w:r>
        <w:rPr>
          <w:rFonts w:ascii="Arial" w:cs="Arial" w:eastAsia="Arial" w:hAnsi="Arial"/>
          <w:sz w:val="22"/>
          <w:szCs w:val="22"/>
        </w:rPr>
        <w:t xml:space="preserve">The TFFP relies on the Department of Endings as the institutional home for cross-program failure pattern analysis. The Department of Endings is still in development — its structure, mandate, staff, and operational processes are undefined. Until this institution is defined, the TFFP's recursive improvement architecture is functional in theory but has no dedicated home in practice. The Abundance Set can process the data, but analysis and application require the institutional structure the Department of Endings is designed to provide. This is the most critical gap in the current TFFP.</w:t>
      </w:r>
    </w:p>
    <w:p>
      <w:pPr>
        <w:pStyle w:val="Heading2"/>
        <w:spacing w:after="140" w:before="280"/>
      </w:pPr>
      <w:r>
        <w:rPr>
          <w:rFonts w:ascii="Arial" w:cs="Arial" w:eastAsia="Arial" w:hAnsi="Arial"/>
          <w:b/>
          <w:bCs/>
          <w:color w:val="2E5090"/>
          <w:sz w:val="26"/>
          <w:szCs w:val="26"/>
        </w:rPr>
        <w:t xml:space="preserve">17.2 Threshold Values Are Proposals, Not Data</w:t>
      </w:r>
    </w:p>
    <w:p>
      <w:pPr>
        <w:spacing w:after="80" w:before="80"/>
      </w:pPr>
      <w:r>
        <w:rPr>
          <w:rFonts w:ascii="Arial" w:cs="Arial" w:eastAsia="Arial" w:hAnsi="Arial"/>
          <w:sz w:val="22"/>
          <w:szCs w:val="22"/>
        </w:rPr>
        <w:t xml:space="preserve">The threshold values in the Early Warning Matrix (15% dropout triggers WATCH, 25% triggers WARNING, 40% triggers CRITICAL for Class I) are structurally reasonable but are not derived from OAL-specific data. They are based on general research continuity practice. As OAL programs accumulate failure event data, these thresholds should be calibrated to OAL-specific conditions and research types.</w:t>
      </w:r>
    </w:p>
    <w:p>
      <w:pPr>
        <w:pStyle w:val="Heading2"/>
        <w:spacing w:after="140" w:before="280"/>
      </w:pPr>
      <w:r>
        <w:rPr>
          <w:rFonts w:ascii="Arial" w:cs="Arial" w:eastAsia="Arial" w:hAnsi="Arial"/>
          <w:b/>
          <w:bCs/>
          <w:color w:val="2E5090"/>
          <w:sz w:val="26"/>
          <w:szCs w:val="26"/>
        </w:rPr>
        <w:t xml:space="preserve">17.3 Non-Standard Environment Protocols Need Expansion</w:t>
      </w:r>
    </w:p>
    <w:p>
      <w:pPr>
        <w:spacing w:after="80" w:before="80"/>
      </w:pPr>
      <w:r>
        <w:rPr>
          <w:rFonts w:ascii="Arial" w:cs="Arial" w:eastAsia="Arial" w:hAnsi="Arial"/>
          <w:sz w:val="22"/>
          <w:szCs w:val="22"/>
        </w:rPr>
        <w:t xml:space="preserve">The protocols for threshold dimension failure, Research Station inaccessibility, and Paragon Cube infrastructure instability are outlined but not fully developed. The unique characteristics of these environments — environments that have no real-world equivalent in research continuity literature — require custom protocol development that draws on OAL-specific knowledge.</w:t>
      </w:r>
    </w:p>
    <w:p>
      <w:pPr>
        <w:pStyle w:val="Heading2"/>
        <w:spacing w:after="140" w:before="280"/>
      </w:pPr>
      <w:r>
        <w:rPr>
          <w:rFonts w:ascii="Arial" w:cs="Arial" w:eastAsia="Arial" w:hAnsi="Arial"/>
          <w:b/>
          <w:bCs/>
          <w:color w:val="2E5090"/>
          <w:sz w:val="26"/>
          <w:szCs w:val="26"/>
        </w:rPr>
        <w:t xml:space="preserve">17.4 No Protocol for Partial Suspension</w:t>
      </w:r>
    </w:p>
    <w:p>
      <w:pPr>
        <w:spacing w:after="80" w:before="80"/>
      </w:pPr>
      <w:r>
        <w:rPr>
          <w:rFonts w:ascii="Arial" w:cs="Arial" w:eastAsia="Arial" w:hAnsi="Arial"/>
          <w:sz w:val="22"/>
          <w:szCs w:val="22"/>
        </w:rPr>
        <w:t xml:space="preserve">The current TFFP treats suspension as a binary state — the program is either running or it is not. In complex multi-component research programs, partial suspension may be appropriate: some components continue while others are suspended pending resolution of a failure condition. A partial suspension protocol is needed for programs where failure in one component does not impair the validity of data collection in others.</w:t>
      </w:r>
    </w:p>
    <w:p>
      <w:pPr>
        <w:pStyle w:val="Heading2"/>
        <w:spacing w:after="140" w:before="280"/>
      </w:pPr>
      <w:r>
        <w:rPr>
          <w:rFonts w:ascii="Arial" w:cs="Arial" w:eastAsia="Arial" w:hAnsi="Arial"/>
          <w:b/>
          <w:bCs/>
          <w:color w:val="2E5090"/>
          <w:sz w:val="26"/>
          <w:szCs w:val="26"/>
        </w:rPr>
        <w:t xml:space="preserve">17.5 The IP Protection During Failure Gap</w:t>
      </w:r>
    </w:p>
    <w:p>
      <w:pPr>
        <w:spacing w:after="80" w:before="80"/>
      </w:pPr>
      <w:r>
        <w:rPr>
          <w:rFonts w:ascii="Arial" w:cs="Arial" w:eastAsia="Arial" w:hAnsi="Arial"/>
          <w:sz w:val="22"/>
          <w:szCs w:val="22"/>
        </w:rPr>
        <w:t xml:space="preserve">The protocol notes that IP protection is critical during resource failure but does not provide detailed procedures for what happens to unpublished findings, proprietary methodologies, and participant data when a program fails under conditions involving potential institutional partnership changes or hostile actors. A detailed IP continuity protocol is needed.</w:t>
      </w:r>
    </w:p>
    <w:p>
      <w:r>
        <w:br w:type="page"/>
      </w:r>
    </w:p>
    <w:p>
      <w:pPr>
        <w:pStyle w:val="Heading1"/>
        <w:spacing w:after="200" w:before="360"/>
      </w:pPr>
      <w:r>
        <w:rPr>
          <w:rFonts w:ascii="Arial" w:cs="Arial" w:eastAsia="Arial" w:hAnsi="Arial"/>
          <w:b/>
          <w:bCs/>
          <w:color w:val="1F3864"/>
          <w:sz w:val="32"/>
          <w:szCs w:val="32"/>
        </w:rPr>
        <w:t xml:space="preserve">SECTION 18 — RED TEAM ANALYSIS</w:t>
      </w:r>
    </w:p>
    <w:p>
      <w:pPr>
        <w:spacing w:after="100" w:before="200"/>
      </w:pPr>
      <w:r>
        <w:rPr>
          <w:rFonts w:ascii="Arial" w:cs="Arial" w:eastAsia="Arial" w:hAnsi="Arial"/>
          <w:b/>
          <w:bCs/>
          <w:color w:val="2E5090"/>
          <w:sz w:val="24"/>
          <w:szCs w:val="24"/>
        </w:rPr>
        <w:t xml:space="preserve">Challenge 1: The Protocol Creates an Incentive to Document Failure That May Increase Legal and Regulatory Exposure</w:t>
      </w:r>
    </w:p>
    <w:p>
      <w:pPr>
        <w:spacing w:after="80" w:before="80"/>
      </w:pPr>
      <w:r>
        <w:rPr>
          <w:rFonts w:ascii="Arial" w:cs="Arial" w:eastAsia="Arial" w:hAnsi="Arial"/>
          <w:sz w:val="22"/>
          <w:szCs w:val="22"/>
        </w:rPr>
        <w:t xml:space="preserve">Response: This challenge is real but the conclusion is wrong. The institution that documents its failures thoroughly is not more exposed than the institution that documents them poorly — it is less exposed, because it has evidence of good faith, process compliance, and institutional seriousness about research ethics. The institutions that have been most severely penalized for research failures are those that appear to have concealed or downplayed problems. Thorough documentation is a defense, not a liability.</w:t>
      </w:r>
    </w:p>
    <w:p>
      <w:pPr>
        <w:spacing w:after="100" w:before="200"/>
      </w:pPr>
      <w:r>
        <w:rPr>
          <w:rFonts w:ascii="Arial" w:cs="Arial" w:eastAsia="Arial" w:hAnsi="Arial"/>
          <w:b/>
          <w:bCs/>
          <w:color w:val="2E5090"/>
          <w:sz w:val="24"/>
          <w:szCs w:val="24"/>
        </w:rPr>
        <w:t xml:space="preserve">Challenge 2: The Threshold Values Are Arbitrary and May Cause Premature Suspension of Valid Research</w:t>
      </w:r>
    </w:p>
    <w:p>
      <w:pPr>
        <w:spacing w:after="80" w:before="80"/>
      </w:pPr>
      <w:r>
        <w:rPr>
          <w:rFonts w:ascii="Arial" w:cs="Arial" w:eastAsia="Arial" w:hAnsi="Arial"/>
          <w:sz w:val="22"/>
          <w:szCs w:val="22"/>
        </w:rPr>
        <w:t xml:space="preserve">Response: The thresholds are proposals subject to calibration. They are not arbitrary — they are based on general research continuity practice — but they are not yet calibrated to OAL-specific conditions. The protocol addresses this by requiring threshold review and updating as program-specific data accumulates. A threshold that triggers a review is not the same as a threshold that triggers termination. The graduated response states preserve research investment while the situation is assessed.</w:t>
      </w:r>
    </w:p>
    <w:p>
      <w:pPr>
        <w:spacing w:after="100" w:before="200"/>
      </w:pPr>
      <w:r>
        <w:rPr>
          <w:rFonts w:ascii="Arial" w:cs="Arial" w:eastAsia="Arial" w:hAnsi="Arial"/>
          <w:b/>
          <w:bCs/>
          <w:color w:val="2E5090"/>
          <w:sz w:val="24"/>
          <w:szCs w:val="24"/>
        </w:rPr>
        <w:t xml:space="preserve">Challenge 3: Mandatory Learning Outputs Create Workload That Reduces Research Capacity</w:t>
      </w:r>
    </w:p>
    <w:p>
      <w:pPr>
        <w:spacing w:after="80" w:before="80"/>
      </w:pPr>
      <w:r>
        <w:rPr>
          <w:rFonts w:ascii="Arial" w:cs="Arial" w:eastAsia="Arial" w:hAnsi="Arial"/>
          <w:sz w:val="22"/>
          <w:szCs w:val="22"/>
        </w:rPr>
        <w:t xml:space="preserve">Response: The workload cost of producing learning outputs is real. It is also small relative to the cost of repeating avoidable failures. A 16–40 hour learning output investment that prevents one future program failure that would have cost thousands of research hours is a strong return. More importantly: the workload cost is concentrated at the moment of failure, when research capacity is already reduced. It does not compete with active research.</w:t>
      </w:r>
    </w:p>
    <w:p>
      <w:pPr>
        <w:spacing w:after="100" w:before="200"/>
      </w:pPr>
      <w:r>
        <w:rPr>
          <w:rFonts w:ascii="Arial" w:cs="Arial" w:eastAsia="Arial" w:hAnsi="Arial"/>
          <w:b/>
          <w:bCs/>
          <w:color w:val="2E5090"/>
          <w:sz w:val="24"/>
          <w:szCs w:val="24"/>
        </w:rPr>
        <w:t xml:space="preserve">Challenge 4: The Protocol Cannot Prevent Bad Actors From Using Failure Documentation Against the Institution</w:t>
      </w:r>
    </w:p>
    <w:p>
      <w:pPr>
        <w:spacing w:after="80" w:before="80"/>
      </w:pPr>
      <w:r>
        <w:rPr>
          <w:rFonts w:ascii="Arial" w:cs="Arial" w:eastAsia="Arial" w:hAnsi="Arial"/>
          <w:sz w:val="22"/>
          <w:szCs w:val="22"/>
        </w:rPr>
        <w:t xml:space="preserve">Response: Correct, and the protocol does not claim otherwise. What the protocol does is ensure that failure documentation is accurate, complete, and defensible — which is the strongest available position regardless of what bad actors do with it. The alternative (incomplete or absent documentation) is indefensible.</w:t>
      </w:r>
    </w:p>
    <w:p>
      <w:pPr>
        <w:spacing w:after="100" w:before="200"/>
      </w:pPr>
      <w:r>
        <w:rPr>
          <w:rFonts w:ascii="Arial" w:cs="Arial" w:eastAsia="Arial" w:hAnsi="Arial"/>
          <w:b/>
          <w:bCs/>
          <w:color w:val="2E5090"/>
          <w:sz w:val="24"/>
          <w:szCs w:val="24"/>
        </w:rPr>
        <w:t xml:space="preserve">Challenge 5: The No-Subject Protocol Assumes Simulation Can Always Bridge — But Some Research Questions Cannot Be Addressed Without Specific Participant Populations</w:t>
      </w:r>
    </w:p>
    <w:p>
      <w:pPr>
        <w:spacing w:after="80" w:before="80"/>
      </w:pPr>
      <w:r>
        <w:rPr>
          <w:rFonts w:ascii="Arial" w:cs="Arial" w:eastAsia="Arial" w:hAnsi="Arial"/>
          <w:sz w:val="22"/>
          <w:szCs w:val="22"/>
        </w:rPr>
        <w:t xml:space="preserve">Response: This is the most valid technical challenge in the red team. The protocol explicitly acknowledges that the simulation bridge is an assessment, not a guarantee. When simulation cannot bridge the participant failure, the protocol correctly moves to findings-to-date documentation and Abundance Set submission. The protocol does not overstate what simulation can do — it makes simulation the first option assessed, not the assumed solution.</w:t>
      </w:r>
    </w:p>
    <w:p>
      <w:pPr>
        <w:spacing w:after="100" w:before="200"/>
      </w:pPr>
      <w:r>
        <w:rPr>
          <w:rFonts w:ascii="Arial" w:cs="Arial" w:eastAsia="Arial" w:hAnsi="Arial"/>
          <w:b/>
          <w:bCs/>
          <w:color w:val="2E5090"/>
          <w:sz w:val="24"/>
          <w:szCs w:val="24"/>
        </w:rPr>
        <w:t xml:space="preserve">Challenge 6: The Protocol Has No Defined Governance for Who Decides When to Invoke SUSPENSION</w:t>
      </w:r>
    </w:p>
    <w:p>
      <w:pPr>
        <w:spacing w:after="80" w:before="80"/>
      </w:pPr>
      <w:r>
        <w:rPr>
          <w:rFonts w:ascii="Arial" w:cs="Arial" w:eastAsia="Arial" w:hAnsi="Arial"/>
          <w:sz w:val="22"/>
          <w:szCs w:val="22"/>
        </w:rPr>
        <w:t xml:space="preserve">Response: This is a real gap. The current document describes the conditions for SUSPENSION but does not define the decision authority — who has the power to declare SUSPENSION, whether that decision requires consensus or can be made unilaterally, and what happens when the research lead and the Architect disagree. This governance gap must be addressed before the protocol can be operationally complete.</w:t>
      </w:r>
    </w:p>
    <w:p>
      <w:pPr>
        <w:spacing w:after="100" w:before="200"/>
      </w:pPr>
      <w:r>
        <w:rPr>
          <w:rFonts w:ascii="Arial" w:cs="Arial" w:eastAsia="Arial" w:hAnsi="Arial"/>
          <w:b/>
          <w:bCs/>
          <w:color w:val="2E5090"/>
          <w:sz w:val="24"/>
          <w:szCs w:val="24"/>
        </w:rPr>
        <w:t xml:space="preserve">Challenge 7: Research Programs May Game the Threshold System to Avoid Triggering Protocol Review</w:t>
      </w:r>
    </w:p>
    <w:p>
      <w:pPr>
        <w:spacing w:after="80" w:before="80"/>
      </w:pPr>
      <w:r>
        <w:rPr>
          <w:rFonts w:ascii="Arial" w:cs="Arial" w:eastAsia="Arial" w:hAnsi="Arial"/>
          <w:sz w:val="22"/>
          <w:szCs w:val="22"/>
        </w:rPr>
        <w:t xml:space="preserve">Response: The risk of threshold gaming — deliberately misreporting participant dropout rates or resource levels to stay below WATCH thresholds — is real in any compliance-based system. The mitigation is Paragon Cube telemetry as an independent verification system. If the Paragon Cubes are logging participant enrollment, dropout, and resource consumption independently of the research team's self-reporting, gaming the thresholds requires falsifying data that an independent system has already captured. This is significantly harder to accomplish and significantly easier to detect.</w:t>
      </w:r>
    </w:p>
    <w:p>
      <w:r>
        <w:br w:type="page"/>
      </w:r>
    </w:p>
    <w:p>
      <w:pPr>
        <w:pStyle w:val="Heading1"/>
        <w:spacing w:after="200" w:before="360"/>
      </w:pPr>
      <w:r>
        <w:rPr>
          <w:rFonts w:ascii="Arial" w:cs="Arial" w:eastAsia="Arial" w:hAnsi="Arial"/>
          <w:b/>
          <w:bCs/>
          <w:color w:val="1F3864"/>
          <w:sz w:val="32"/>
          <w:szCs w:val="32"/>
        </w:rPr>
        <w:t xml:space="preserve">SECTION 19 — PRIMARY CONCERNS AND CRITICAL RISKS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8E8"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Primary Concern 1 — Department of Endings Gap</w:t>
            </w:r>
          </w:p>
          <w:p>
            <w:pPr>
              <w:spacing w:after="60" w:before="60"/>
            </w:pPr>
            <w:r>
              <w:rPr>
                <w:rFonts w:ascii="Arial" w:cs="Arial" w:eastAsia="Arial" w:hAnsi="Arial"/>
                <w:sz w:val="22"/>
                <w:szCs w:val="22"/>
              </w:rPr>
              <w:t xml:space="preserve">The TFFP's recursive improvement architecture depends on an institution that does not yet have a defined structure, mandate, or staff. This is the most critical dependency gap in the protocol. Until the Department of Endings is operational, the TFFP's learning output requirement has no dedicated recipient capable of cross-program pattern analysis.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8E8"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Primary Concern 2 — Suspension Decision Governance Undefined</w:t>
            </w:r>
          </w:p>
          <w:p>
            <w:pPr>
              <w:spacing w:after="60" w:before="60"/>
            </w:pPr>
            <w:r>
              <w:rPr>
                <w:rFonts w:ascii="Arial" w:cs="Arial" w:eastAsia="Arial" w:hAnsi="Arial"/>
                <w:sz w:val="22"/>
                <w:szCs w:val="22"/>
              </w:rPr>
              <w:t xml:space="preserve">Who decides to invoke SUSPENSION — the research lead, the Architect, the IRB, or a consensus of all three — is not defined. In a real failure scenario, this ambiguity will produce delay, conflict, or inaction at exactly the moment when clear decision authority is most needed.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Primary Concern 3 — Non-Standard Environment Protocols Incomplete</w:t>
            </w:r>
          </w:p>
          <w:p>
            <w:pPr>
              <w:spacing w:after="60" w:before="60"/>
            </w:pPr>
            <w:r>
              <w:rPr>
                <w:rFonts w:ascii="Arial" w:cs="Arial" w:eastAsia="Arial" w:hAnsi="Arial"/>
                <w:sz w:val="22"/>
                <w:szCs w:val="22"/>
              </w:rPr>
              <w:t xml:space="preserve">The protocols for threshold dimension failure, Research Station failure, and Paragon Cube infrastructure instability are outlined but not operationally complete. These are the most likely failure environments for the most significant OAL research and have no comparable real-world documentation to draw 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Primary Concern 4 — Failure Is Certain, Preparation Is Not</w:t>
            </w:r>
          </w:p>
          <w:p>
            <w:pPr>
              <w:spacing w:after="60" w:before="60"/>
            </w:pPr>
            <w:r>
              <w:rPr>
                <w:rFonts w:ascii="Arial" w:cs="Arial" w:eastAsia="Arial" w:hAnsi="Arial"/>
                <w:sz w:val="22"/>
                <w:szCs w:val="22"/>
              </w:rPr>
              <w:t xml:space="preserve">Nathan's core insight — that failure is not a probability but a certainty distributed across time — is correct. The TFFP addresses this for programs that implement it. Programs that do not implement it remain vulnerable. The protocol is only as effective as its adoption. Without mandatory adoption across all active OAL programs, the TFFP protects some programs and leaves others exposed.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60" w:before="60"/>
            </w:pPr>
            <w:r>
              <w:rPr>
                <w:rFonts w:ascii="Arial" w:cs="Arial" w:eastAsia="Arial" w:hAnsi="Arial"/>
                <w:b/>
                <w:bCs/>
                <w:color w:val="1F3864"/>
                <w:sz w:val="22"/>
                <w:szCs w:val="22"/>
              </w:rPr>
              <w:t xml:space="preserve">Primary Concern 5 — The Distinction Between Knowing and Applying</w:t>
            </w:r>
          </w:p>
          <w:p>
            <w:pPr>
              <w:spacing w:after="60" w:before="60"/>
            </w:pPr>
            <w:r>
              <w:rPr>
                <w:rFonts w:ascii="Arial" w:cs="Arial" w:eastAsia="Arial" w:hAnsi="Arial"/>
                <w:sz w:val="22"/>
                <w:szCs w:val="22"/>
              </w:rPr>
              <w:t xml:space="preserve">Nathan specifically flagged the gap between having information about failure and applying it recursively. This is the most important behavioral requirement in the protocol and the hardest to enforce structurally. Institutions that document failures and do not change their behavior are not learning organizations — they are archives. The mandatory learning output requirement addresses this, but enforcement depends on Architect review of each output, which creates a workload dependency on a single point of review.</w:t>
            </w:r>
          </w:p>
        </w:tc>
      </w:tr>
    </w:tbl>
    <w:p>
      <w:pPr>
        <w:spacing w:after="60" w:before="60"/>
      </w:pPr>
      <w:r>
        <w:t xml:space="preserve"/>
      </w:r>
    </w:p>
    <w:p>
      <w:r>
        <w:br w:type="page"/>
      </w:r>
    </w:p>
    <w:p>
      <w:pPr>
        <w:pStyle w:val="Heading1"/>
        <w:spacing w:after="200" w:before="360"/>
      </w:pPr>
      <w:r>
        <w:rPr>
          <w:rFonts w:ascii="Arial" w:cs="Arial" w:eastAsia="Arial" w:hAnsi="Arial"/>
          <w:b/>
          <w:bCs/>
          <w:color w:val="1F3864"/>
          <w:sz w:val="32"/>
          <w:szCs w:val="32"/>
        </w:rPr>
        <w:t xml:space="preserve">SECTION 20 — DEPENDENCY REGISTRY AND CROSS-REFERENCES</w:t>
      </w:r>
    </w:p>
    <w:p>
      <w:pPr>
        <w:spacing w:after="80" w:before="80"/>
      </w:pPr>
      <w:r>
        <w:rPr>
          <w:rFonts w:ascii="Arial" w:cs="Arial" w:eastAsia="Arial" w:hAnsi="Arial"/>
          <w:sz w:val="22"/>
          <w:szCs w:val="22"/>
        </w:rPr>
        <w:t xml:space="preserve">The TFFP creates and depends on the following relationships with other OAL canonical documents and systems: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Conditional Failure at the Root Level (OAL-VL5-MAR22-2026)</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Parent framework. The TFFP is the operational expression of Conditional Failure at the Root Level applied to research programs specifically.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Abundance Set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TFFP learning outputs are submitted to the Abundance Set. The Abundance Set processes failure event data for cross-program pattern analysis.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The Department of Endings</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Institutional home for TFFP learning output analysis and cross-program pattern detection. CRITICAL DEPENDENCY — Department of Endings must be operationally defined before the TFFP's recursive improvement architecture is fully functional.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Paragon Cubes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Independent verification system for enrollment, dropout, and resource consumption data. Prevents threshold gaming. Preserves all data in real time across all operational environments.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Species-Level Informational Access Protocol</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Governs classification level of TFFP failure reports for programs involving classified participants or environments.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4,712 Extinction Attempt Classification 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TFFP governs the research operations that generate and validate 4,712 attempt documentation. Class I and Class III TFFP failures are the most likely vectors for disruption of ongoing 4,712 classification work.</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The Accords</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TFFP governs research programs conducted under Accords-governed inter-species research relationships. Class V (institutional/regulatory) failures may involve Accords-level governance implications.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OMNICELLULAR Research Program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OMNICELLULAR open questions (failure model, 8 architecture definitions, resource allocation) require active research programs. The TFFP governs the continuity of those programs.</w:t>
            </w:r>
          </w:p>
        </w:tc>
      </w:tr>
    </w:tbl>
    <w:p>
      <w:r>
        <w:br w:type="page"/>
      </w:r>
    </w:p>
    <w:p>
      <w:pPr>
        <w:pStyle w:val="Heading1"/>
        <w:spacing w:after="200" w:before="360"/>
      </w:pPr>
      <w:r>
        <w:rPr>
          <w:rFonts w:ascii="Arial" w:cs="Arial" w:eastAsia="Arial" w:hAnsi="Arial"/>
          <w:b/>
          <w:bCs/>
          <w:color w:val="1F3864"/>
          <w:sz w:val="32"/>
          <w:szCs w:val="32"/>
        </w:rPr>
        <w:t xml:space="preserve">SECTION 21 — DOCUMENT VERSION LOG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v1.0 — April 13, 2026</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Initial document. Full framework established. Produced by Claude AI for OAL Multi-AI Development Team. Pending Architect review and ONESTAMP.</w:t>
            </w:r>
          </w:p>
        </w:tc>
      </w:tr>
    </w:tbl>
    <w:p>
      <w:pPr>
        <w:spacing w:after="60" w:before="60"/>
      </w:pPr>
      <w:r>
        <w:t xml:space="preserve"/>
      </w:r>
    </w:p>
    <w:p>
      <w:pPr>
        <w:pBdr>
          <w:bottom w:val="single" w:color="CCCCCC" w:sz="4" w:space="1"/>
        </w:pBdr>
        <w:spacing w:after="200" w:before="200"/>
      </w:pPr>
      <w:r>
        <w:t xml:space="preserve"/>
      </w:r>
    </w:p>
    <w:p>
      <w:pPr>
        <w:spacing w:after="60" w:before="60"/>
      </w:pPr>
      <w:r>
        <w:t xml:space="preserve"/>
      </w:r>
    </w:p>
    <w:p>
      <w:pPr>
        <w:spacing w:after="200" w:before="400"/>
        <w:jc w:val="center"/>
      </w:pPr>
      <w:r>
        <w:rPr>
          <w:rFonts w:ascii="Arial" w:cs="Arial" w:eastAsia="Arial" w:hAnsi="Arial"/>
          <w:b/>
          <w:bCs/>
          <w:color w:val="1F3864"/>
          <w:sz w:val="32"/>
          <w:szCs w:val="32"/>
        </w:rPr>
        <w:t xml:space="preserve">END OF DOCUMENT</w:t>
      </w:r>
    </w:p>
    <w:p>
      <w:pPr>
        <w:jc w:val="center"/>
      </w:pPr>
      <w:r>
        <w:rPr>
          <w:rFonts w:ascii="Arial" w:cs="Arial" w:eastAsia="Arial" w:hAnsi="Arial"/>
          <w:color w:val="777777"/>
          <w:sz w:val="22"/>
          <w:szCs w:val="22"/>
        </w:rPr>
        <w:t xml:space="preserve">OAL-TFFP-001 v1.0 | April 13, 2026</w:t>
      </w:r>
    </w:p>
    <w:p>
      <w:pPr>
        <w:spacing w:before="160"/>
        <w:jc w:val="center"/>
      </w:pPr>
      <w:r>
        <w:rPr>
          <w:rFonts w:ascii="Arial" w:cs="Arial" w:eastAsia="Arial" w:hAnsi="Arial"/>
          <w:color w:val="CC0000"/>
          <w:sz w:val="22"/>
          <w:szCs w:val="22"/>
        </w:rPr>
        <w:t xml:space="preserve">PENDING ARCHITECT REVIEW, ELECTRONIC SIGNATURE, AND ONESTAMP</w:t>
      </w:r>
    </w:p>
    <w:p>
      <w:pPr>
        <w:spacing w:before="160"/>
        <w:jc w:val="center"/>
      </w:pPr>
      <w:r>
        <w:rPr>
          <w:rFonts w:ascii="Arial" w:cs="Arial" w:eastAsia="Arial" w:hAnsi="Arial"/>
          <w:color w:val="777777"/>
          <w:sz w:val="22"/>
          <w:szCs w:val="22"/>
        </w:rPr>
        <w:t xml:space="preserve">Nathan Lewis II — Architect of Record</w:t>
      </w:r>
    </w:p>
    <w:p>
      <w:pPr>
        <w:jc w:val="center"/>
      </w:pPr>
      <w:r>
        <w:rPr>
          <w:rFonts w:ascii="Arial" w:cs="Arial" w:eastAsia="Arial" w:hAnsi="Arial"/>
          <w:color w:val="777777"/>
          <w:sz w:val="22"/>
          <w:szCs w:val="22"/>
        </w:rPr>
        <w:t xml:space="preserve">Omniversal Architect Labs | Lewis Corp | ONE Industries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2026-04-15T18:28:22.960Z</dcterms:created>
  <dcterms:modified xsi:type="dcterms:W3CDTF">2026-04-15T18:28:22.961Z</dcterms:modified>
</cp:coreProperties>
</file>

<file path=docProps/custom.xml><?xml version="1.0" encoding="utf-8"?>
<Properties xmlns="http://schemas.openxmlformats.org/officeDocument/2006/custom-properties" xmlns:vt="http://schemas.openxmlformats.org/officeDocument/2006/docPropsVTypes"/>
</file>