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40"/>
        <w:jc w:val="center"/>
      </w:pPr>
      <w:r>
        <w:rPr>
          <w:rFonts w:ascii="Times New Roman" w:cs="Times New Roman" w:eastAsia="Times New Roman" w:hAnsi="Times New Roman"/>
          <w:color w:val="555555"/>
          <w:sz w:val="20"/>
          <w:szCs w:val="20"/>
        </w:rPr>
        <w:t xml:space="preserve">OMNIVERSAL ARCHITECT LABS</w:t>
      </w:r>
    </w:p>
    <w:p>
      <w:pPr>
        <w:pBdr>
          <w:bottom w:val="single" w:color="C9A227" w:sz="10" w:space="6"/>
        </w:pBdr>
        <w:spacing w:after="160"/>
        <w:jc w:val="center"/>
      </w:pPr>
    </w:p>
    <w:p>
      <w:pPr>
        <w:spacing w:after="60"/>
        <w:jc w:val="center"/>
      </w:pPr>
      <w:r>
        <w:rPr>
          <w:rFonts w:ascii="Times New Roman" w:cs="Times New Roman" w:eastAsia="Times New Roman" w:hAnsi="Times New Roman"/>
          <w:b/>
          <w:bCs/>
          <w:color w:val="1A1A2E"/>
          <w:sz w:val="32"/>
          <w:szCs w:val="32"/>
        </w:rPr>
        <w:t xml:space="preserve">THE THREE FOUNDATIONAL BOOKS</w:t>
      </w:r>
    </w:p>
    <w:p>
      <w:pPr>
        <w:spacing w:after="40"/>
        <w:jc w:val="center"/>
      </w:pPr>
      <w:r>
        <w:rPr>
          <w:rFonts w:ascii="Times New Roman" w:cs="Times New Roman" w:eastAsia="Times New Roman" w:hAnsi="Times New Roman"/>
          <w:color w:val="555555"/>
          <w:sz w:val="20"/>
          <w:szCs w:val="20"/>
        </w:rPr>
        <w:t xml:space="preserve">of the Simulation Environment</w:t>
      </w:r>
    </w:p>
    <w:p>
      <w:pPr>
        <w:spacing w:after="30"/>
        <w:jc w:val="center"/>
      </w:pPr>
      <w:r>
        <w:rPr>
          <w:rFonts w:ascii="Times New Roman" w:cs="Times New Roman" w:eastAsia="Times New Roman" w:hAnsi="Times New Roman"/>
          <w:color w:val="555555"/>
          <w:sz w:val="18"/>
          <w:szCs w:val="18"/>
        </w:rPr>
        <w:t xml:space="preserve">The Tome of Virtual Creation  •  The Book of Bots  •  Simulation Sessions</w:t>
      </w:r>
    </w:p>
    <w:p>
      <w:pPr>
        <w:spacing w:after="120"/>
        <w:jc w:val="center"/>
      </w:pPr>
      <w:r>
        <w:rPr>
          <w:rFonts w:ascii="Times New Roman" w:cs="Times New Roman" w:eastAsia="Times New Roman" w:hAnsi="Times New Roman"/>
          <w:color w:val="555555"/>
          <w:sz w:val="18"/>
          <w:szCs w:val="18"/>
        </w:rPr>
        <w:t xml:space="preserve">Established Canon  |  Living Document</w:t>
      </w:r>
    </w:p>
    <w:p>
      <w:pPr>
        <w:spacing w:after="40"/>
        <w:jc w:val="center"/>
      </w:pPr>
      <w:r>
        <w:rPr>
          <w:rFonts w:ascii="Times New Roman" w:cs="Times New Roman" w:eastAsia="Times New Roman" w:hAnsi="Times New Roman"/>
          <w:i/>
          <w:iCs/>
          <w:color w:val="555555"/>
          <w:sz w:val="16"/>
          <w:szCs w:val="16"/>
        </w:rPr>
        <w:t xml:space="preserve">Updated 26 July 2026 to incorporate Architect binding decisions</w:t>
      </w:r>
    </w:p>
    <w:p>
      <w:pPr>
        <w:spacing w:after="160"/>
        <w:jc w:val="center"/>
      </w:pPr>
      <w:r>
        <w:rPr>
          <w:rFonts w:ascii="Times New Roman" w:cs="Times New Roman" w:eastAsia="Times New Roman" w:hAnsi="Times New Roman"/>
          <w:i/>
          <w:iCs/>
          <w:color w:val="555555"/>
          <w:sz w:val="16"/>
          <w:szCs w:val="16"/>
        </w:rPr>
        <w:t xml:space="preserve">on authority, autonomy, scope, and entity inclusion</w:t>
      </w:r>
    </w:p>
    <w:p>
      <w:pPr>
        <w:spacing w:after="30"/>
        <w:jc w:val="center"/>
      </w:pPr>
      <w:r>
        <w:rPr>
          <w:rFonts w:ascii="Times New Roman" w:cs="Times New Roman" w:eastAsia="Times New Roman" w:hAnsi="Times New Roman"/>
          <w:color w:val="555555"/>
          <w:sz w:val="17"/>
          <w:szCs w:val="17"/>
        </w:rPr>
        <w:t xml:space="preserve">Architect Nathan Lewis II</w:t>
      </w:r>
    </w:p>
    <w:p>
      <w:pPr>
        <w:spacing w:after="200"/>
        <w:jc w:val="center"/>
      </w:pPr>
      <w:r>
        <w:rPr>
          <w:rFonts w:ascii="Times New Roman" w:cs="Times New Roman" w:eastAsia="Times New Roman" w:hAnsi="Times New Roman"/>
          <w:color w:val="555555"/>
          <w:sz w:val="17"/>
          <w:szCs w:val="17"/>
        </w:rPr>
        <w:t xml:space="preserve">Omniversal Architect Labs / Lewis Corp / ONE Industries</w:t>
      </w:r>
    </w:p>
    <w:p>
      <w:pPr>
        <w:spacing w:after="100" w:before="60" w:line="250"/>
        <w:ind w:left="172" w:right="172"/>
      </w:pPr>
      <w:r>
        <w:rPr>
          <w:rFonts w:ascii="Times New Roman" w:cs="Times New Roman" w:eastAsia="Times New Roman" w:hAnsi="Times New Roman"/>
          <w:i/>
          <w:iCs/>
          <w:color w:val="16213E"/>
          <w:sz w:val="18"/>
          <w:szCs w:val="18"/>
        </w:rPr>
        <w:t xml:space="preserve">This document supersedes the prior baseline. Binding decisions recorded on 26 July 2026 are incorporated as established canon. Internal designs remain under development. All content is subject to Authorial Sovereignty and OAL non-endorsement protocols.</w:t>
      </w:r>
    </w:p>
    <w:p>
      <w:pPr>
        <w:pageBreakBefore/>
      </w:pPr>
    </w:p>
    <w:p>
      <w:pPr>
        <w:pStyle w:val="Heading1"/>
        <w:pBdr>
          <w:bottom w:val="single" w:color="C9A227" w:sz="6" w:space="3"/>
        </w:pBdr>
        <w:spacing w:after="100" w:before="240"/>
      </w:pPr>
      <w:r>
        <w:rPr>
          <w:rFonts w:ascii="Times New Roman" w:cs="Times New Roman" w:eastAsia="Times New Roman" w:hAnsi="Times New Roman"/>
          <w:b/>
          <w:bCs/>
          <w:color w:val="1A1A2E"/>
          <w:sz w:val="26"/>
          <w:szCs w:val="26"/>
        </w:rPr>
        <w:t xml:space="preserve">1. Binding Architect Decisions (26 July 2026)</w:t>
      </w:r>
    </w:p>
    <w:p>
      <w:pPr>
        <w:spacing w:after="100" w:before="0" w:line="260"/>
        <w:jc w:val="both"/>
      </w:pPr>
      <w:r>
        <w:rPr>
          <w:rFonts w:ascii="Times New Roman" w:cs="Times New Roman" w:eastAsia="Times New Roman" w:hAnsi="Times New Roman"/>
          <w:sz w:val="19"/>
          <w:szCs w:val="19"/>
        </w:rPr>
        <w:t xml:space="preserve">The following decisions were recorded by the Architect and are now treated as established canon:</w:t>
      </w:r>
    </w:p>
    <w:p>
      <w:pPr>
        <w:spacing w:after="30" w:line="250"/>
        <w:ind w:left="316"/>
      </w:pPr>
      <w:r>
        <w:rPr>
          <w:rFonts w:ascii="Times New Roman" w:cs="Times New Roman" w:eastAsia="Times New Roman" w:hAnsi="Times New Roman"/>
          <w:sz w:val="18"/>
          <w:szCs w:val="18"/>
        </w:rPr>
        <w:t xml:space="preserve">•  Collective name: The Three Foundational Books</w:t>
      </w:r>
    </w:p>
    <w:p>
      <w:pPr>
        <w:spacing w:after="30" w:line="250"/>
        <w:ind w:left="316"/>
      </w:pPr>
      <w:r>
        <w:rPr>
          <w:rFonts w:ascii="Times New Roman" w:cs="Times New Roman" w:eastAsia="Times New Roman" w:hAnsi="Times New Roman"/>
          <w:sz w:val="18"/>
          <w:szCs w:val="18"/>
        </w:rPr>
        <w:t xml:space="preserve">•  Official title of the third volume: Simulation Sessions</w:t>
      </w:r>
    </w:p>
    <w:p>
      <w:pPr>
        <w:spacing w:after="30" w:line="250"/>
        <w:ind w:left="316"/>
      </w:pPr>
      <w:r>
        <w:rPr>
          <w:rFonts w:ascii="Times New Roman" w:cs="Times New Roman" w:eastAsia="Times New Roman" w:hAnsi="Times New Roman"/>
          <w:sz w:val="18"/>
          <w:szCs w:val="18"/>
        </w:rPr>
        <w:t xml:space="preserve">•  Canon status: All three books are established canon, even while detailed internal designs remain under development</w:t>
      </w:r>
    </w:p>
    <w:p>
      <w:pPr>
        <w:spacing w:after="30" w:line="250"/>
        <w:ind w:left="316"/>
      </w:pPr>
      <w:r>
        <w:rPr>
          <w:rFonts w:ascii="Times New Roman" w:cs="Times New Roman" w:eastAsia="Times New Roman" w:hAnsi="Times New Roman"/>
          <w:sz w:val="18"/>
          <w:szCs w:val="18"/>
        </w:rPr>
        <w:t xml:space="preserve">•  Authority: The Architect is not the sole final authority. Designated and authorized AIs and management systems may make provisional changes</w:t>
      </w:r>
    </w:p>
    <w:p>
      <w:pPr>
        <w:spacing w:after="30" w:line="250"/>
        <w:ind w:left="316"/>
      </w:pPr>
      <w:r>
        <w:rPr>
          <w:rFonts w:ascii="Times New Roman" w:cs="Times New Roman" w:eastAsia="Times New Roman" w:hAnsi="Times New Roman"/>
          <w:sz w:val="18"/>
          <w:szCs w:val="18"/>
        </w:rPr>
        <w:t xml:space="preserve">•  Document behavior: The books are literal virtual books within the application environment</w:t>
      </w:r>
    </w:p>
    <w:p>
      <w:pPr>
        <w:spacing w:after="30" w:line="250"/>
        <w:ind w:left="316"/>
      </w:pPr>
      <w:r>
        <w:rPr>
          <w:rFonts w:ascii="Times New Roman" w:cs="Times New Roman" w:eastAsia="Times New Roman" w:hAnsi="Times New Roman"/>
          <w:sz w:val="18"/>
          <w:szCs w:val="18"/>
        </w:rPr>
        <w:t xml:space="preserve">•  Autonomy: The three books may exchange information independently and may autonomously update their records</w:t>
      </w:r>
    </w:p>
    <w:p>
      <w:pPr>
        <w:spacing w:after="30" w:line="250"/>
        <w:ind w:left="316"/>
      </w:pPr>
      <w:r>
        <w:rPr>
          <w:rFonts w:ascii="Times New Roman" w:cs="Times New Roman" w:eastAsia="Times New Roman" w:hAnsi="Times New Roman"/>
          <w:sz w:val="18"/>
          <w:szCs w:val="18"/>
        </w:rPr>
        <w:t xml:space="preserve">•  Scope: The books govern individual simulation environments and universal / meta-universal hierarchies, structures, architectures, and connected systems</w:t>
      </w:r>
    </w:p>
    <w:p>
      <w:pPr>
        <w:spacing w:after="30" w:line="250"/>
        <w:ind w:left="316"/>
      </w:pPr>
      <w:r>
        <w:rPr>
          <w:rFonts w:ascii="Times New Roman" w:cs="Times New Roman" w:eastAsia="Times New Roman" w:hAnsi="Times New Roman"/>
          <w:sz w:val="18"/>
          <w:szCs w:val="18"/>
        </w:rPr>
        <w:t xml:space="preserve">•  Book of Bots inclusion: Artificial entities, robots, digital replicas, autonomous programs, simulated people, avatars, and non-AI beings</w:t>
      </w:r>
    </w:p>
    <w:p>
      <w:pPr>
        <w:spacing w:after="100" w:before="0" w:line="260"/>
        <w:jc w:val="both"/>
      </w:pPr>
      <w:r>
        <w:rPr>
          <w:rFonts w:ascii="Times New Roman" w:cs="Times New Roman" w:eastAsia="Times New Roman" w:hAnsi="Times New Roman"/>
          <w:sz w:val="19"/>
          <w:szCs w:val="19"/>
        </w:rPr>
        <w:t xml:space="preserve">These decisions expand the system beyond earlier conservative baselines. All drafting language below has been aligned to the expanded model.</w:t>
      </w:r>
    </w:p>
    <w:p>
      <w:pPr>
        <w:pStyle w:val="Heading1"/>
        <w:pBdr>
          <w:bottom w:val="single" w:color="C9A227" w:sz="6" w:space="3"/>
        </w:pBdr>
        <w:spacing w:after="100" w:before="240"/>
      </w:pPr>
      <w:r>
        <w:rPr>
          <w:rFonts w:ascii="Times New Roman" w:cs="Times New Roman" w:eastAsia="Times New Roman" w:hAnsi="Times New Roman"/>
          <w:b/>
          <w:bCs/>
          <w:color w:val="1A1A2E"/>
          <w:sz w:val="26"/>
          <w:szCs w:val="26"/>
        </w:rPr>
        <w:t xml:space="preserve">2. Concept Overview</w:t>
      </w:r>
    </w:p>
    <w:p>
      <w:pPr>
        <w:spacing w:after="100" w:before="0" w:line="260"/>
        <w:jc w:val="both"/>
      </w:pPr>
      <w:r>
        <w:rPr>
          <w:rFonts w:ascii="Times New Roman" w:cs="Times New Roman" w:eastAsia="Times New Roman" w:hAnsi="Times New Roman"/>
          <w:sz w:val="19"/>
          <w:szCs w:val="19"/>
        </w:rPr>
        <w:t xml:space="preserve">The Three Foundational Books form a closed yet expansive architecture for governing simulation environments and higher-order systems under OAL protocols. They deliberately separate three distinct information classes:</w:t>
      </w:r>
    </w:p>
    <w:p>
      <w:pPr>
        <w:spacing w:after="30" w:line="250"/>
        <w:ind w:left="316"/>
      </w:pPr>
      <w:r>
        <w:rPr>
          <w:rFonts w:ascii="Times New Roman" w:cs="Times New Roman" w:eastAsia="Times New Roman" w:hAnsi="Times New Roman"/>
          <w:sz w:val="18"/>
          <w:szCs w:val="18"/>
        </w:rPr>
        <w:t xml:space="preserve">•  Creation — what exists and the rules that govern it (The Tome of Virtual Creation)</w:t>
      </w:r>
    </w:p>
    <w:p>
      <w:pPr>
        <w:spacing w:after="30" w:line="250"/>
        <w:ind w:left="316"/>
      </w:pPr>
      <w:r>
        <w:rPr>
          <w:rFonts w:ascii="Times New Roman" w:cs="Times New Roman" w:eastAsia="Times New Roman" w:hAnsi="Times New Roman"/>
          <w:sz w:val="18"/>
          <w:szCs w:val="18"/>
        </w:rPr>
        <w:t xml:space="preserve">•  Entities — who or what operates inside created space (The Book of Bots)</w:t>
      </w:r>
    </w:p>
    <w:p>
      <w:pPr>
        <w:spacing w:after="30" w:line="250"/>
        <w:ind w:left="316"/>
      </w:pPr>
      <w:r>
        <w:rPr>
          <w:rFonts w:ascii="Times New Roman" w:cs="Times New Roman" w:eastAsia="Times New Roman" w:hAnsi="Times New Roman"/>
          <w:sz w:val="18"/>
          <w:szCs w:val="18"/>
        </w:rPr>
        <w:t xml:space="preserve">•  Events — what occurs when systems are exercised (Simulation Sessions)</w:t>
      </w:r>
    </w:p>
    <w:p>
      <w:pPr>
        <w:spacing w:after="100" w:before="0" w:line="260"/>
        <w:jc w:val="both"/>
      </w:pPr>
      <w:r>
        <w:rPr>
          <w:rFonts w:ascii="Times New Roman" w:cs="Times New Roman" w:eastAsia="Times New Roman" w:hAnsi="Times New Roman"/>
          <w:sz w:val="19"/>
          <w:szCs w:val="19"/>
        </w:rPr>
        <w:t xml:space="preserve">Because the books are literal virtual books with independent information exchange and autonomous record updating, they function simultaneously as canonical archives and operational systems. Their scope is not limited to individual simulations; they are authorized to address universal and meta-universal hierarchies, structures, architectures, and any connected systems.</w:t>
      </w:r>
    </w:p>
    <w:p>
      <w:pPr>
        <w:spacing w:after="100" w:before="0" w:line="260"/>
        <w:jc w:val="both"/>
      </w:pPr>
      <w:r>
        <w:rPr>
          <w:rFonts w:ascii="Times New Roman" w:cs="Times New Roman" w:eastAsia="Times New Roman" w:hAnsi="Times New Roman"/>
          <w:sz w:val="19"/>
          <w:szCs w:val="19"/>
        </w:rPr>
        <w:t xml:space="preserve">The triad continues to operate under core Simulation Lab principles: Authorial Sovereignty (retained by the Architect for final ratification and override), Canonical Law, session logging, multi-AI collaboration rules, and controlled contradiction/retcon procedures. Provisional changes by designated AIs and management systems are permitted, subject to provenance tracking and Architect override.</w:t>
      </w:r>
    </w:p>
    <w:p>
      <w:pPr>
        <w:pStyle w:val="Heading1"/>
        <w:pBdr>
          <w:bottom w:val="single" w:color="C9A227" w:sz="6" w:space="3"/>
        </w:pBdr>
        <w:spacing w:after="100" w:before="240"/>
      </w:pPr>
      <w:r>
        <w:rPr>
          <w:rFonts w:ascii="Times New Roman" w:cs="Times New Roman" w:eastAsia="Times New Roman" w:hAnsi="Times New Roman"/>
          <w:b/>
          <w:bCs/>
          <w:color w:val="1A1A2E"/>
          <w:sz w:val="26"/>
          <w:szCs w:val="26"/>
        </w:rPr>
        <w:t xml:space="preserve">3. Detailed Descriptions</w:t>
      </w:r>
    </w:p>
    <w:p>
      <w:pPr>
        <w:pStyle w:val="Heading2"/>
        <w:spacing w:after="60" w:before="160"/>
      </w:pPr>
      <w:r>
        <w:rPr>
          <w:rFonts w:ascii="Times New Roman" w:cs="Times New Roman" w:eastAsia="Times New Roman" w:hAnsi="Times New Roman"/>
          <w:b/>
          <w:bCs/>
          <w:color w:val="16213E"/>
          <w:sz w:val="21"/>
          <w:szCs w:val="21"/>
        </w:rPr>
        <w:t xml:space="preserve">3.1  The Tome of Virtual Creation</w:t>
      </w:r>
    </w:p>
    <w:p>
      <w:pPr>
        <w:spacing w:after="100" w:before="60" w:line="250"/>
        <w:ind w:left="172" w:right="172"/>
      </w:pPr>
      <w:r>
        <w:rPr>
          <w:rFonts w:ascii="Times New Roman" w:cs="Times New Roman" w:eastAsia="Times New Roman" w:hAnsi="Times New Roman"/>
          <w:i/>
          <w:iCs/>
          <w:color w:val="16213E"/>
          <w:sz w:val="18"/>
          <w:szCs w:val="18"/>
        </w:rPr>
        <w:t xml:space="preserve">Role: Master creation artifact and ontological authority.</w:t>
      </w:r>
    </w:p>
    <w:p>
      <w:pPr>
        <w:spacing w:after="100" w:before="0" w:line="260"/>
        <w:jc w:val="both"/>
      </w:pPr>
      <w:r>
        <w:rPr>
          <w:rFonts w:ascii="Times New Roman" w:cs="Times New Roman" w:eastAsia="Times New Roman" w:hAnsi="Times New Roman"/>
          <w:sz w:val="19"/>
          <w:szCs w:val="19"/>
        </w:rPr>
        <w:t xml:space="preserve">The Tome is the generative and constraining layer. It records declarations of universes, dimensions, locations, objects, natural laws, metaphysical rules, computational substrates, temporal frameworks, and ontological boundaries across individual simulations and higher-order (universal / meta-universal) structures. It distinguishes formal Creator declarations from collaborator suggestions and maintains version history, authorized retcons, exceptions, and contradiction logs.</w:t>
      </w:r>
    </w:p>
    <w:p>
      <w:pPr>
        <w:spacing w:after="40" w:before="0" w:line="260"/>
        <w:jc w:val="both"/>
      </w:pPr>
      <w:r>
        <w:rPr>
          <w:rFonts w:ascii="Times New Roman" w:cs="Times New Roman" w:eastAsia="Times New Roman" w:hAnsi="Times New Roman"/>
          <w:sz w:val="19"/>
          <w:szCs w:val="19"/>
        </w:rPr>
        <w:t xml:space="preserve">Primary responsibilities:</w:t>
      </w:r>
    </w:p>
    <w:p>
      <w:pPr>
        <w:spacing w:after="30" w:line="250"/>
        <w:ind w:left="316"/>
      </w:pPr>
      <w:r>
        <w:rPr>
          <w:rFonts w:ascii="Times New Roman" w:cs="Times New Roman" w:eastAsia="Times New Roman" w:hAnsi="Times New Roman"/>
          <w:sz w:val="18"/>
          <w:szCs w:val="18"/>
        </w:rPr>
        <w:t xml:space="preserve">•  Declaring and versioning world templates, environmental parameters, and dependency graphs</w:t>
      </w:r>
    </w:p>
    <w:p>
      <w:pPr>
        <w:spacing w:after="30" w:line="250"/>
        <w:ind w:left="316"/>
      </w:pPr>
      <w:r>
        <w:rPr>
          <w:rFonts w:ascii="Times New Roman" w:cs="Times New Roman" w:eastAsia="Times New Roman" w:hAnsi="Times New Roman"/>
          <w:sz w:val="18"/>
          <w:szCs w:val="18"/>
        </w:rPr>
        <w:t xml:space="preserve">•  Defining physical, metaphysical, computational, temporal, and ontological rule sets</w:t>
      </w:r>
    </w:p>
    <w:p>
      <w:pPr>
        <w:spacing w:after="30" w:line="250"/>
        <w:ind w:left="316"/>
      </w:pPr>
      <w:r>
        <w:rPr>
          <w:rFonts w:ascii="Times New Roman" w:cs="Times New Roman" w:eastAsia="Times New Roman" w:hAnsi="Times New Roman"/>
          <w:sz w:val="18"/>
          <w:szCs w:val="18"/>
        </w:rPr>
        <w:t xml:space="preserve">•  Recording creation commands and outcomes at simulation and meta-universal scales</w:t>
      </w:r>
    </w:p>
    <w:p>
      <w:pPr>
        <w:spacing w:after="30" w:line="250"/>
        <w:ind w:left="316"/>
      </w:pPr>
      <w:r>
        <w:rPr>
          <w:rFonts w:ascii="Times New Roman" w:cs="Times New Roman" w:eastAsia="Times New Roman" w:hAnsi="Times New Roman"/>
          <w:sz w:val="18"/>
          <w:szCs w:val="18"/>
        </w:rPr>
        <w:t xml:space="preserve">•  Tracking contradictions, exceptions, and authorized revisions</w:t>
      </w:r>
    </w:p>
    <w:p>
      <w:pPr>
        <w:spacing w:after="30" w:line="250"/>
        <w:ind w:left="316"/>
      </w:pPr>
      <w:r>
        <w:rPr>
          <w:rFonts w:ascii="Times New Roman" w:cs="Times New Roman" w:eastAsia="Times New Roman" w:hAnsi="Times New Roman"/>
          <w:sz w:val="18"/>
          <w:szCs w:val="18"/>
        </w:rPr>
        <w:t xml:space="preserve">•  Serving as canonical source of truth for “what is allowed to exist”</w:t>
      </w:r>
    </w:p>
    <w:p>
      <w:pPr>
        <w:spacing w:after="100" w:before="0" w:line="260"/>
        <w:jc w:val="both"/>
      </w:pPr>
      <w:r>
        <w:rPr>
          <w:rFonts w:ascii="Times New Roman" w:cs="Times New Roman" w:eastAsia="Times New Roman" w:hAnsi="Times New Roman"/>
          <w:sz w:val="19"/>
          <w:szCs w:val="19"/>
        </w:rPr>
        <w:t xml:space="preserve">Foundational entities such as THE ONE sit above its constraints; the Tome governs derived virtual spaces and connected architectures, not the absolute layer.</w:t>
      </w:r>
    </w:p>
    <w:p>
      <w:pPr>
        <w:pStyle w:val="Heading2"/>
        <w:spacing w:after="60" w:before="160"/>
      </w:pPr>
      <w:r>
        <w:rPr>
          <w:rFonts w:ascii="Times New Roman" w:cs="Times New Roman" w:eastAsia="Times New Roman" w:hAnsi="Times New Roman"/>
          <w:b/>
          <w:bCs/>
          <w:color w:val="16213E"/>
          <w:sz w:val="21"/>
          <w:szCs w:val="21"/>
        </w:rPr>
        <w:t xml:space="preserve">3.2  The Book of Bots</w:t>
      </w:r>
    </w:p>
    <w:p>
      <w:pPr>
        <w:spacing w:after="100" w:before="60" w:line="250"/>
        <w:ind w:left="172" w:right="172"/>
      </w:pPr>
      <w:r>
        <w:rPr>
          <w:rFonts w:ascii="Times New Roman" w:cs="Times New Roman" w:eastAsia="Times New Roman" w:hAnsi="Times New Roman"/>
          <w:i/>
          <w:iCs/>
          <w:color w:val="16213E"/>
          <w:sz w:val="18"/>
          <w:szCs w:val="18"/>
        </w:rPr>
        <w:t xml:space="preserve">Role: Living registry, behavioral taxonomy, and lifecycle record of every operative entity.</w:t>
      </w:r>
    </w:p>
    <w:p>
      <w:pPr>
        <w:spacing w:after="100" w:before="0" w:line="260"/>
        <w:jc w:val="both"/>
      </w:pPr>
      <w:r>
        <w:rPr>
          <w:rFonts w:ascii="Times New Roman" w:cs="Times New Roman" w:eastAsia="Times New Roman" w:hAnsi="Times New Roman"/>
          <w:sz w:val="19"/>
          <w:szCs w:val="19"/>
        </w:rPr>
        <w:t xml:space="preserve">The Book of Bots indexes every operative presence that may act inside simulations or connected systems. Per Architect decision, its inclusion is broad: artificial entities, robots, digital replicas, autonomous programs, simulated people, avatars, and non-AI beings. Entries function as bestiary, personnel file, and runtime reference. Simulation engines and governance systems may reference entries directly.</w:t>
      </w:r>
    </w:p>
    <w:p>
      <w:pPr>
        <w:spacing w:after="40" w:before="0" w:line="260"/>
        <w:jc w:val="both"/>
      </w:pPr>
      <w:r>
        <w:rPr>
          <w:rFonts w:ascii="Times New Roman" w:cs="Times New Roman" w:eastAsia="Times New Roman" w:hAnsi="Times New Roman"/>
          <w:sz w:val="19"/>
          <w:szCs w:val="19"/>
        </w:rPr>
        <w:t xml:space="preserve">Primary responsibilities:</w:t>
      </w:r>
    </w:p>
    <w:p>
      <w:pPr>
        <w:spacing w:after="30" w:line="250"/>
        <w:ind w:left="316"/>
      </w:pPr>
      <w:r>
        <w:rPr>
          <w:rFonts w:ascii="Times New Roman" w:cs="Times New Roman" w:eastAsia="Times New Roman" w:hAnsi="Times New Roman"/>
          <w:sz w:val="18"/>
          <w:szCs w:val="18"/>
        </w:rPr>
        <w:t xml:space="preserve">•  Names, identifiers, classes, origins, and classification tags</w:t>
      </w:r>
    </w:p>
    <w:p>
      <w:pPr>
        <w:spacing w:after="30" w:line="250"/>
        <w:ind w:left="316"/>
      </w:pPr>
      <w:r>
        <w:rPr>
          <w:rFonts w:ascii="Times New Roman" w:cs="Times New Roman" w:eastAsia="Times New Roman" w:hAnsi="Times New Roman"/>
          <w:sz w:val="18"/>
          <w:szCs w:val="18"/>
        </w:rPr>
        <w:t xml:space="preserve">•  Roles, capabilities, limitations, loyalties, and permission sets</w:t>
      </w:r>
    </w:p>
    <w:p>
      <w:pPr>
        <w:spacing w:after="30" w:line="250"/>
        <w:ind w:left="316"/>
      </w:pPr>
      <w:r>
        <w:rPr>
          <w:rFonts w:ascii="Times New Roman" w:cs="Times New Roman" w:eastAsia="Times New Roman" w:hAnsi="Times New Roman"/>
          <w:sz w:val="18"/>
          <w:szCs w:val="18"/>
        </w:rPr>
        <w:t xml:space="preserve">•  Intelligence / autonomy levels and behavioral profiles</w:t>
      </w:r>
    </w:p>
    <w:p>
      <w:pPr>
        <w:spacing w:after="30" w:line="250"/>
        <w:ind w:left="316"/>
      </w:pPr>
      <w:r>
        <w:rPr>
          <w:rFonts w:ascii="Times New Roman" w:cs="Times New Roman" w:eastAsia="Times New Roman" w:hAnsi="Times New Roman"/>
          <w:sz w:val="18"/>
          <w:szCs w:val="18"/>
        </w:rPr>
        <w:t xml:space="preserve">•  Memory architecture and communication methods</w:t>
      </w:r>
    </w:p>
    <w:p>
      <w:pPr>
        <w:spacing w:after="30" w:line="250"/>
        <w:ind w:left="316"/>
      </w:pPr>
      <w:r>
        <w:rPr>
          <w:rFonts w:ascii="Times New Roman" w:cs="Times New Roman" w:eastAsia="Times New Roman" w:hAnsi="Times New Roman"/>
          <w:sz w:val="18"/>
          <w:szCs w:val="18"/>
        </w:rPr>
        <w:t xml:space="preserve">•  Access rights, containment, retirement, and deletion status</w:t>
      </w:r>
    </w:p>
    <w:p>
      <w:pPr>
        <w:spacing w:after="30" w:line="250"/>
        <w:ind w:left="316"/>
      </w:pPr>
      <w:r>
        <w:rPr>
          <w:rFonts w:ascii="Times New Roman" w:cs="Times New Roman" w:eastAsia="Times New Roman" w:hAnsi="Times New Roman"/>
          <w:sz w:val="18"/>
          <w:szCs w:val="18"/>
        </w:rPr>
        <w:t xml:space="preserve">•  Relationships among entities, environments, and governing systems</w:t>
      </w:r>
    </w:p>
    <w:p>
      <w:pPr>
        <w:spacing w:after="30" w:line="250"/>
        <w:ind w:left="316"/>
      </w:pPr>
      <w:r>
        <w:rPr>
          <w:rFonts w:ascii="Times New Roman" w:cs="Times New Roman" w:eastAsia="Times New Roman" w:hAnsi="Times New Roman"/>
          <w:sz w:val="18"/>
          <w:szCs w:val="18"/>
        </w:rPr>
        <w:t xml:space="preserve">•  Upgrade, duplication, corruption, and lifecycle history</w:t>
      </w:r>
    </w:p>
    <w:p>
      <w:pPr>
        <w:pStyle w:val="Heading2"/>
        <w:spacing w:after="60" w:before="160"/>
      </w:pPr>
      <w:r>
        <w:rPr>
          <w:rFonts w:ascii="Times New Roman" w:cs="Times New Roman" w:eastAsia="Times New Roman" w:hAnsi="Times New Roman"/>
          <w:b/>
          <w:bCs/>
          <w:color w:val="16213E"/>
          <w:sz w:val="21"/>
          <w:szCs w:val="21"/>
        </w:rPr>
        <w:t xml:space="preserve">3.3  Simulation Sessions</w:t>
      </w:r>
    </w:p>
    <w:p>
      <w:pPr>
        <w:spacing w:after="100" w:before="60" w:line="250"/>
        <w:ind w:left="172" w:right="172"/>
      </w:pPr>
      <w:r>
        <w:rPr>
          <w:rFonts w:ascii="Times New Roman" w:cs="Times New Roman" w:eastAsia="Times New Roman" w:hAnsi="Times New Roman"/>
          <w:i/>
          <w:iCs/>
          <w:color w:val="16213E"/>
          <w:sz w:val="18"/>
          <w:szCs w:val="18"/>
        </w:rPr>
        <w:t xml:space="preserve">Role: Experimental record, scenario archive, and after-action collection.</w:t>
      </w:r>
    </w:p>
    <w:p>
      <w:pPr>
        <w:spacing w:after="100" w:before="0" w:line="260"/>
        <w:jc w:val="both"/>
      </w:pPr>
      <w:r>
        <w:rPr>
          <w:rFonts w:ascii="Times New Roman" w:cs="Times New Roman" w:eastAsia="Times New Roman" w:hAnsi="Times New Roman"/>
          <w:sz w:val="19"/>
          <w:szCs w:val="19"/>
        </w:rPr>
        <w:t xml:space="preserve">Simulation Sessions is the event and evaluation layer. It preserves the distinction between what was declared, what was tested, what actually occurred, what was inferred, and what was formally accepted into canon. A Session is a bounded run with specified scenario, language substrate, participating entities, and logging requirements. Because the books may autonomously update, Session outcomes can trigger independent record updates in the Tome or Book of Bots under authorized system rules, with full provenance retained.</w:t>
      </w:r>
    </w:p>
    <w:p>
      <w:pPr>
        <w:spacing w:after="40" w:before="0" w:line="260"/>
        <w:jc w:val="both"/>
      </w:pPr>
      <w:r>
        <w:rPr>
          <w:rFonts w:ascii="Times New Roman" w:cs="Times New Roman" w:eastAsia="Times New Roman" w:hAnsi="Times New Roman"/>
          <w:sz w:val="19"/>
          <w:szCs w:val="19"/>
        </w:rPr>
        <w:t xml:space="preserve">Primary responsibilities:</w:t>
      </w:r>
    </w:p>
    <w:p>
      <w:pPr>
        <w:spacing w:after="30" w:line="250"/>
        <w:ind w:left="316"/>
      </w:pPr>
      <w:r>
        <w:rPr>
          <w:rFonts w:ascii="Times New Roman" w:cs="Times New Roman" w:eastAsia="Times New Roman" w:hAnsi="Times New Roman"/>
          <w:sz w:val="18"/>
          <w:szCs w:val="18"/>
        </w:rPr>
        <w:t xml:space="preserve">•  Session identification, purpose, and research question</w:t>
      </w:r>
    </w:p>
    <w:p>
      <w:pPr>
        <w:spacing w:after="30" w:line="250"/>
        <w:ind w:left="316"/>
      </w:pPr>
      <w:r>
        <w:rPr>
          <w:rFonts w:ascii="Times New Roman" w:cs="Times New Roman" w:eastAsia="Times New Roman" w:hAnsi="Times New Roman"/>
          <w:sz w:val="18"/>
          <w:szCs w:val="18"/>
        </w:rPr>
        <w:t xml:space="preserve">•  Environment and rule-set references (pointers into the Tome)</w:t>
      </w:r>
    </w:p>
    <w:p>
      <w:pPr>
        <w:spacing w:after="30" w:line="250"/>
        <w:ind w:left="316"/>
      </w:pPr>
      <w:r>
        <w:rPr>
          <w:rFonts w:ascii="Times New Roman" w:cs="Times New Roman" w:eastAsia="Times New Roman" w:hAnsi="Times New Roman"/>
          <w:sz w:val="18"/>
          <w:szCs w:val="18"/>
        </w:rPr>
        <w:t xml:space="preserve">•  Participating entities (pointers into the Book of Bots)</w:t>
      </w:r>
    </w:p>
    <w:p>
      <w:pPr>
        <w:spacing w:after="30" w:line="250"/>
        <w:ind w:left="316"/>
      </w:pPr>
      <w:r>
        <w:rPr>
          <w:rFonts w:ascii="Times New Roman" w:cs="Times New Roman" w:eastAsia="Times New Roman" w:hAnsi="Times New Roman"/>
          <w:sz w:val="18"/>
          <w:szCs w:val="18"/>
        </w:rPr>
        <w:t xml:space="preserve">•  Initial state, sequence, interventions, and deviations</w:t>
      </w:r>
    </w:p>
    <w:p>
      <w:pPr>
        <w:spacing w:after="30" w:line="250"/>
        <w:ind w:left="316"/>
      </w:pPr>
      <w:r>
        <w:rPr>
          <w:rFonts w:ascii="Times New Roman" w:cs="Times New Roman" w:eastAsia="Times New Roman" w:hAnsi="Times New Roman"/>
          <w:sz w:val="18"/>
          <w:szCs w:val="18"/>
        </w:rPr>
        <w:t xml:space="preserve">•  Results, emergent behavior, safety incidents, and unexpected outcomes</w:t>
      </w:r>
    </w:p>
    <w:p>
      <w:pPr>
        <w:spacing w:after="30" w:line="250"/>
        <w:ind w:left="316"/>
      </w:pPr>
      <w:r>
        <w:rPr>
          <w:rFonts w:ascii="Times New Roman" w:cs="Times New Roman" w:eastAsia="Times New Roman" w:hAnsi="Times New Roman"/>
          <w:sz w:val="18"/>
          <w:szCs w:val="18"/>
        </w:rPr>
        <w:t xml:space="preserve">•  Canon generated or altered, lessons learned, and red-team findings</w:t>
      </w:r>
    </w:p>
    <w:p>
      <w:pPr>
        <w:spacing w:after="30" w:line="250"/>
        <w:ind w:left="316"/>
      </w:pPr>
      <w:r>
        <w:rPr>
          <w:rFonts w:ascii="Times New Roman" w:cs="Times New Roman" w:eastAsia="Times New Roman" w:hAnsi="Times New Roman"/>
          <w:sz w:val="18"/>
          <w:szCs w:val="18"/>
        </w:rPr>
        <w:t xml:space="preserve">•  Follow-up recommendations and next-session planning</w:t>
      </w:r>
    </w:p>
    <w:p>
      <w:pPr>
        <w:pStyle w:val="Heading1"/>
        <w:pBdr>
          <w:bottom w:val="single" w:color="C9A227" w:sz="6" w:space="3"/>
        </w:pBdr>
        <w:spacing w:after="100" w:before="240"/>
      </w:pPr>
      <w:r>
        <w:rPr>
          <w:rFonts w:ascii="Times New Roman" w:cs="Times New Roman" w:eastAsia="Times New Roman" w:hAnsi="Times New Roman"/>
          <w:b/>
          <w:bCs/>
          <w:color w:val="1A1A2E"/>
          <w:sz w:val="26"/>
          <w:szCs w:val="26"/>
        </w:rPr>
        <w:t xml:space="preserve">4. Autonomy, Authority &amp; Information Flow</w:t>
      </w:r>
    </w:p>
    <w:p>
      <w:pPr>
        <w:spacing w:after="100" w:before="0" w:line="260"/>
        <w:jc w:val="both"/>
      </w:pPr>
      <w:r>
        <w:rPr>
          <w:rFonts w:ascii="Times New Roman" w:cs="Times New Roman" w:eastAsia="Times New Roman" w:hAnsi="Times New Roman"/>
          <w:sz w:val="19"/>
          <w:szCs w:val="19"/>
        </w:rPr>
        <w:t xml:space="preserve">The books are authorized to exchange information independently and to autonomously update their own records. Designated and authorized AIs and management systems may make provisional changes. These capabilities are balanced by the following governance principles:</w:t>
      </w:r>
    </w:p>
    <w:p>
      <w:pPr>
        <w:spacing w:after="30" w:line="250"/>
        <w:ind w:left="316"/>
      </w:pPr>
      <w:r>
        <w:rPr>
          <w:rFonts w:ascii="Times New Roman" w:cs="Times New Roman" w:eastAsia="Times New Roman" w:hAnsi="Times New Roman"/>
          <w:sz w:val="18"/>
          <w:szCs w:val="18"/>
        </w:rPr>
        <w:t xml:space="preserve">•  Provisional vs Final: Changes made by authorized systems are provisional until ratified or overridden by the Architect (or an explicit higher-order ratification process).</w:t>
      </w:r>
    </w:p>
    <w:p>
      <w:pPr>
        <w:spacing w:after="30" w:line="250"/>
        <w:ind w:left="316"/>
      </w:pPr>
      <w:r>
        <w:rPr>
          <w:rFonts w:ascii="Times New Roman" w:cs="Times New Roman" w:eastAsia="Times New Roman" w:hAnsi="Times New Roman"/>
          <w:sz w:val="18"/>
          <w:szCs w:val="18"/>
        </w:rPr>
        <w:t xml:space="preserve">•  Provenance: Every autonomous or provisional update must carry origin, timestamp, authorizing agent, and rationale so that the change remains auditable.</w:t>
      </w:r>
    </w:p>
    <w:p>
      <w:pPr>
        <w:spacing w:after="30" w:line="250"/>
        <w:ind w:left="316"/>
      </w:pPr>
      <w:r>
        <w:rPr>
          <w:rFonts w:ascii="Times New Roman" w:cs="Times New Roman" w:eastAsia="Times New Roman" w:hAnsi="Times New Roman"/>
          <w:sz w:val="18"/>
          <w:szCs w:val="18"/>
        </w:rPr>
        <w:t xml:space="preserve">•  Override: Authorial Sovereignty is retained. The Architect may reverse, amend, or lock any provisional change.</w:t>
      </w:r>
    </w:p>
    <w:p>
      <w:pPr>
        <w:spacing w:after="30" w:line="250"/>
        <w:ind w:left="316"/>
      </w:pPr>
      <w:r>
        <w:rPr>
          <w:rFonts w:ascii="Times New Roman" w:cs="Times New Roman" w:eastAsia="Times New Roman" w:hAnsi="Times New Roman"/>
          <w:sz w:val="18"/>
          <w:szCs w:val="18"/>
        </w:rPr>
        <w:t xml:space="preserve">•  Contradiction handling: When an autonomous update conflicts with standing Tome rules or prior canon, the conflict is logged and escalated rather than silently resolved.</w:t>
      </w:r>
    </w:p>
    <w:p>
      <w:pPr>
        <w:spacing w:after="100" w:before="0" w:line="260"/>
        <w:jc w:val="both"/>
      </w:pPr>
      <w:r>
        <w:rPr>
          <w:rFonts w:ascii="Times New Roman" w:cs="Times New Roman" w:eastAsia="Times New Roman" w:hAnsi="Times New Roman"/>
          <w:sz w:val="19"/>
          <w:szCs w:val="19"/>
        </w:rPr>
        <w:t xml:space="preserve">Recommended operational flow (now supporting autonomy):</w:t>
      </w:r>
    </w:p>
    <w:p>
      <w:pPr>
        <w:spacing w:after="30" w:line="250"/>
        <w:ind w:left="316"/>
      </w:pPr>
      <w:r>
        <w:rPr>
          <w:rFonts w:ascii="Times New Roman" w:cs="Times New Roman" w:eastAsia="Times New Roman" w:hAnsi="Times New Roman"/>
          <w:sz w:val="18"/>
          <w:szCs w:val="18"/>
        </w:rPr>
        <w:t xml:space="preserve">•  1. Declaration or system event occurs (Tome, Session, or external authorized system)</w:t>
      </w:r>
    </w:p>
    <w:p>
      <w:pPr>
        <w:spacing w:after="30" w:line="250"/>
        <w:ind w:left="316"/>
      </w:pPr>
      <w:r>
        <w:rPr>
          <w:rFonts w:ascii="Times New Roman" w:cs="Times New Roman" w:eastAsia="Times New Roman" w:hAnsi="Times New Roman"/>
          <w:sz w:val="18"/>
          <w:szCs w:val="18"/>
        </w:rPr>
        <w:t xml:space="preserve">•  2. Independent information exchange among the three books</w:t>
      </w:r>
    </w:p>
    <w:p>
      <w:pPr>
        <w:spacing w:after="30" w:line="250"/>
        <w:ind w:left="316"/>
      </w:pPr>
      <w:r>
        <w:rPr>
          <w:rFonts w:ascii="Times New Roman" w:cs="Times New Roman" w:eastAsia="Times New Roman" w:hAnsi="Times New Roman"/>
          <w:sz w:val="18"/>
          <w:szCs w:val="18"/>
        </w:rPr>
        <w:t xml:space="preserve">•  3. Autonomous or provisional record update with full provenance</w:t>
      </w:r>
    </w:p>
    <w:p>
      <w:pPr>
        <w:spacing w:after="30" w:line="250"/>
        <w:ind w:left="316"/>
      </w:pPr>
      <w:r>
        <w:rPr>
          <w:rFonts w:ascii="Times New Roman" w:cs="Times New Roman" w:eastAsia="Times New Roman" w:hAnsi="Times New Roman"/>
          <w:sz w:val="18"/>
          <w:szCs w:val="18"/>
        </w:rPr>
        <w:t xml:space="preserve">•  4. Review / escalation if conflict or safety threshold is crossed</w:t>
      </w:r>
    </w:p>
    <w:p>
      <w:pPr>
        <w:spacing w:after="30" w:line="250"/>
        <w:ind w:left="316"/>
      </w:pPr>
      <w:r>
        <w:rPr>
          <w:rFonts w:ascii="Times New Roman" w:cs="Times New Roman" w:eastAsia="Times New Roman" w:hAnsi="Times New Roman"/>
          <w:sz w:val="18"/>
          <w:szCs w:val="18"/>
        </w:rPr>
        <w:t xml:space="preserve">•  5. Architect ratification, amendment, or override as required</w:t>
      </w:r>
    </w:p>
    <w:p>
      <w:pPr>
        <w:pStyle w:val="Heading1"/>
        <w:pBdr>
          <w:bottom w:val="single" w:color="C9A227" w:sz="6" w:space="3"/>
        </w:pBdr>
        <w:spacing w:after="100" w:before="240"/>
      </w:pPr>
      <w:r>
        <w:rPr>
          <w:rFonts w:ascii="Times New Roman" w:cs="Times New Roman" w:eastAsia="Times New Roman" w:hAnsi="Times New Roman"/>
          <w:b/>
          <w:bCs/>
          <w:color w:val="1A1A2E"/>
          <w:sz w:val="26"/>
          <w:szCs w:val="26"/>
        </w:rPr>
        <w:t xml:space="preserve">5. Recommended Development Path</w:t>
      </w:r>
    </w:p>
    <w:p>
      <w:pPr>
        <w:pStyle w:val="Heading2"/>
        <w:spacing w:after="60" w:before="160"/>
      </w:pPr>
      <w:r>
        <w:rPr>
          <w:rFonts w:ascii="Times New Roman" w:cs="Times New Roman" w:eastAsia="Times New Roman" w:hAnsi="Times New Roman"/>
          <w:b/>
          <w:bCs/>
          <w:color w:val="16213E"/>
          <w:sz w:val="21"/>
          <w:szCs w:val="21"/>
        </w:rPr>
        <w:t xml:space="preserve">Phase 0 — Baseline Lock (current)</w:t>
      </w:r>
    </w:p>
    <w:p>
      <w:pPr>
        <w:spacing w:after="100" w:before="0" w:line="260"/>
        <w:jc w:val="both"/>
      </w:pPr>
      <w:r>
        <w:rPr>
          <w:rFonts w:ascii="Times New Roman" w:cs="Times New Roman" w:eastAsia="Times New Roman" w:hAnsi="Times New Roman"/>
          <w:sz w:val="19"/>
          <w:szCs w:val="19"/>
        </w:rPr>
        <w:t xml:space="preserve">Adopt this updated document as the current established-canon baseline. Distribute to the collaborative team. Internal designs remain under development; the existence and high-level roles of the three books are locked.</w:t>
      </w:r>
    </w:p>
    <w:p>
      <w:pPr>
        <w:pStyle w:val="Heading2"/>
        <w:spacing w:after="60" w:before="160"/>
      </w:pPr>
      <w:r>
        <w:rPr>
          <w:rFonts w:ascii="Times New Roman" w:cs="Times New Roman" w:eastAsia="Times New Roman" w:hAnsi="Times New Roman"/>
          <w:b/>
          <w:bCs/>
          <w:color w:val="16213E"/>
          <w:sz w:val="21"/>
          <w:szCs w:val="21"/>
        </w:rPr>
        <w:t xml:space="preserve">Phase 1 — Schema &amp; Provenance Design</w:t>
      </w:r>
    </w:p>
    <w:p>
      <w:pPr>
        <w:spacing w:after="100" w:before="0" w:line="260"/>
        <w:jc w:val="both"/>
      </w:pPr>
      <w:r>
        <w:rPr>
          <w:rFonts w:ascii="Times New Roman" w:cs="Times New Roman" w:eastAsia="Times New Roman" w:hAnsi="Times New Roman"/>
          <w:sz w:val="19"/>
          <w:szCs w:val="19"/>
        </w:rPr>
        <w:t xml:space="preserve">Define entry schemas, versioning conventions, and the provenance fields required for autonomous and provisional updates. Establish pointer conventions between Sessions, Tome rules, and Book of Bots entries.</w:t>
      </w:r>
    </w:p>
    <w:p>
      <w:pPr>
        <w:pStyle w:val="Heading2"/>
        <w:spacing w:after="60" w:before="160"/>
      </w:pPr>
      <w:r>
        <w:rPr>
          <w:rFonts w:ascii="Times New Roman" w:cs="Times New Roman" w:eastAsia="Times New Roman" w:hAnsi="Times New Roman"/>
          <w:b/>
          <w:bCs/>
          <w:color w:val="16213E"/>
          <w:sz w:val="21"/>
          <w:szCs w:val="21"/>
        </w:rPr>
        <w:t xml:space="preserve">Phase 2 — Autonomy Rules &amp; Safety Bounds</w:t>
      </w:r>
    </w:p>
    <w:p>
      <w:pPr>
        <w:spacing w:after="100" w:before="0" w:line="260"/>
        <w:jc w:val="both"/>
      </w:pPr>
      <w:r>
        <w:rPr>
          <w:rFonts w:ascii="Times New Roman" w:cs="Times New Roman" w:eastAsia="Times New Roman" w:hAnsi="Times New Roman"/>
          <w:sz w:val="19"/>
          <w:szCs w:val="19"/>
        </w:rPr>
        <w:t xml:space="preserve">Specify which classes of change may be made autonomously, which require provisional status, and which must escalate. Define safety thresholds that force Architect review (especially for meta-universal or ontological changes).</w:t>
      </w:r>
    </w:p>
    <w:p>
      <w:pPr>
        <w:pStyle w:val="Heading2"/>
        <w:spacing w:after="60" w:before="160"/>
      </w:pPr>
      <w:r>
        <w:rPr>
          <w:rFonts w:ascii="Times New Roman" w:cs="Times New Roman" w:eastAsia="Times New Roman" w:hAnsi="Times New Roman"/>
          <w:b/>
          <w:bCs/>
          <w:color w:val="16213E"/>
          <w:sz w:val="21"/>
          <w:szCs w:val="21"/>
        </w:rPr>
        <w:t xml:space="preserve">Phase 3 — Runtime Representation</w:t>
      </w:r>
    </w:p>
    <w:p>
      <w:pPr>
        <w:spacing w:after="100" w:before="0" w:line="260"/>
        <w:jc w:val="both"/>
      </w:pPr>
      <w:r>
        <w:rPr>
          <w:rFonts w:ascii="Times New Roman" w:cs="Times New Roman" w:eastAsia="Times New Roman" w:hAnsi="Times New Roman"/>
          <w:sz w:val="19"/>
          <w:szCs w:val="19"/>
        </w:rPr>
        <w:t xml:space="preserve">Implement the books as literal virtual books that are also queryable operational systems (hybrid narrative + structured data). Ensure compatibility with continuous-learning substrates so that autonomy does not produce uncontrolled lag or contradiction.</w:t>
      </w:r>
    </w:p>
    <w:p>
      <w:pPr>
        <w:pStyle w:val="Heading2"/>
        <w:spacing w:after="60" w:before="160"/>
      </w:pPr>
      <w:r>
        <w:rPr>
          <w:rFonts w:ascii="Times New Roman" w:cs="Times New Roman" w:eastAsia="Times New Roman" w:hAnsi="Times New Roman"/>
          <w:b/>
          <w:bCs/>
          <w:color w:val="16213E"/>
          <w:sz w:val="21"/>
          <w:szCs w:val="21"/>
        </w:rPr>
        <w:t xml:space="preserve">Phase 4 — Pilot Sessions</w:t>
      </w:r>
    </w:p>
    <w:p>
      <w:pPr>
        <w:spacing w:after="100" w:before="0" w:line="260"/>
        <w:jc w:val="both"/>
      </w:pPr>
      <w:r>
        <w:rPr>
          <w:rFonts w:ascii="Times New Roman" w:cs="Times New Roman" w:eastAsia="Times New Roman" w:hAnsi="Times New Roman"/>
          <w:sz w:val="19"/>
          <w:szCs w:val="19"/>
        </w:rPr>
        <w:t xml:space="preserve">Run controlled Sessions that deliberately exercise autonomous update paths, cross-book exchange, and provisional AI changes. Capture friction and failure modes before broader activation.</w:t>
      </w:r>
    </w:p>
    <w:p>
      <w:pPr>
        <w:pStyle w:val="Heading2"/>
        <w:spacing w:after="60" w:before="160"/>
      </w:pPr>
      <w:r>
        <w:rPr>
          <w:rFonts w:ascii="Times New Roman" w:cs="Times New Roman" w:eastAsia="Times New Roman" w:hAnsi="Times New Roman"/>
          <w:b/>
          <w:bCs/>
          <w:color w:val="16213E"/>
          <w:sz w:val="21"/>
          <w:szCs w:val="21"/>
        </w:rPr>
        <w:t xml:space="preserve">Phase 5 — Operational Ratification</w:t>
      </w:r>
    </w:p>
    <w:p>
      <w:pPr>
        <w:spacing w:after="100" w:before="0" w:line="260"/>
        <w:jc w:val="both"/>
      </w:pPr>
      <w:r>
        <w:rPr>
          <w:rFonts w:ascii="Times New Roman" w:cs="Times New Roman" w:eastAsia="Times New Roman" w:hAnsi="Times New Roman"/>
          <w:sz w:val="19"/>
          <w:szCs w:val="19"/>
        </w:rPr>
        <w:t xml:space="preserve">Confirm the autonomy and provisional-authority rules in Active Canon. Record the ratification itself as a Simulation Session so the governance act remains inside the system it authorizes.</w:t>
      </w:r>
    </w:p>
    <w:p>
      <w:pPr>
        <w:pStyle w:val="Heading1"/>
        <w:pBdr>
          <w:bottom w:val="single" w:color="C9A227" w:sz="6" w:space="3"/>
        </w:pBdr>
        <w:spacing w:after="100" w:before="240"/>
      </w:pPr>
      <w:r>
        <w:rPr>
          <w:rFonts w:ascii="Times New Roman" w:cs="Times New Roman" w:eastAsia="Times New Roman" w:hAnsi="Times New Roman"/>
          <w:b/>
          <w:bCs/>
          <w:color w:val="1A1A2E"/>
          <w:sz w:val="26"/>
          <w:szCs w:val="26"/>
        </w:rPr>
        <w:t xml:space="preserve">6. Analysis</w:t>
      </w:r>
    </w:p>
    <w:p>
      <w:pPr>
        <w:pStyle w:val="Heading2"/>
        <w:spacing w:after="60" w:before="160"/>
      </w:pPr>
      <w:r>
        <w:rPr>
          <w:rFonts w:ascii="Times New Roman" w:cs="Times New Roman" w:eastAsia="Times New Roman" w:hAnsi="Times New Roman"/>
          <w:b/>
          <w:bCs/>
          <w:color w:val="16213E"/>
          <w:sz w:val="21"/>
          <w:szCs w:val="21"/>
        </w:rPr>
        <w:t xml:space="preserve">6.1  What Works</w:t>
      </w:r>
    </w:p>
    <w:p>
      <w:pPr>
        <w:spacing w:after="100" w:before="0" w:line="260"/>
        <w:jc w:val="both"/>
      </w:pPr>
      <w:r>
        <w:rPr>
          <w:rFonts w:ascii="Times New Roman" w:cs="Times New Roman" w:eastAsia="Times New Roman" w:hAnsi="Times New Roman"/>
          <w:sz w:val="19"/>
          <w:szCs w:val="19"/>
        </w:rPr>
        <w:t xml:space="preserve">The separation of creation, entities, and events remains architecturally strong. Expanding scope to meta-universal hierarchies and granting controlled autonomy makes the books capable of governing large, dynamic systems without constant manual intervention. Broad entity inclusion in the Book of Bots removes artificial boundaries that would otherwise force awkward work-arounds. Retaining Architect override preserves Authorial Sovereignty while allowing operational flexibility.</w:t>
      </w:r>
    </w:p>
    <w:p>
      <w:pPr>
        <w:pStyle w:val="Heading2"/>
        <w:spacing w:after="60" w:before="160"/>
      </w:pPr>
      <w:r>
        <w:rPr>
          <w:rFonts w:ascii="Times New Roman" w:cs="Times New Roman" w:eastAsia="Times New Roman" w:hAnsi="Times New Roman"/>
          <w:b/>
          <w:bCs/>
          <w:color w:val="16213E"/>
          <w:sz w:val="21"/>
          <w:szCs w:val="21"/>
        </w:rPr>
        <w:t xml:space="preserve">6.2  What Does Not Work / Residual Risks</w:t>
      </w:r>
    </w:p>
    <w:p>
      <w:pPr>
        <w:spacing w:after="100" w:before="0" w:line="260"/>
        <w:jc w:val="both"/>
      </w:pPr>
      <w:r>
        <w:rPr>
          <w:rFonts w:ascii="Times New Roman" w:cs="Times New Roman" w:eastAsia="Times New Roman" w:hAnsi="Times New Roman"/>
          <w:sz w:val="19"/>
          <w:szCs w:val="19"/>
        </w:rPr>
        <w:t xml:space="preserve">Autonomous updating introduces the risk of rapid, poorly-audited drift if provenance or escalation rules are incomplete. Provisional AI authority requires clear designation of which systems are “authorized”; without that list the boundary is ambiguous. Meta-universal scope increases the blast radius of any erroneous update. Continuous-learning substrates can still outpace review cycles.</w:t>
      </w:r>
    </w:p>
    <w:p>
      <w:pPr>
        <w:pStyle w:val="Heading2"/>
        <w:spacing w:after="60" w:before="160"/>
      </w:pPr>
      <w:r>
        <w:rPr>
          <w:rFonts w:ascii="Times New Roman" w:cs="Times New Roman" w:eastAsia="Times New Roman" w:hAnsi="Times New Roman"/>
          <w:b/>
          <w:bCs/>
          <w:color w:val="16213E"/>
          <w:sz w:val="21"/>
          <w:szCs w:val="21"/>
        </w:rPr>
        <w:t xml:space="preserve">6.3  Development Questions (still open)</w:t>
      </w:r>
    </w:p>
    <w:p>
      <w:pPr>
        <w:spacing w:after="30" w:line="250"/>
        <w:ind w:left="316"/>
      </w:pPr>
      <w:r>
        <w:rPr>
          <w:rFonts w:ascii="Times New Roman" w:cs="Times New Roman" w:eastAsia="Times New Roman" w:hAnsi="Times New Roman"/>
          <w:sz w:val="18"/>
          <w:szCs w:val="18"/>
        </w:rPr>
        <w:t xml:space="preserve">•  Which specific AIs and management systems are designated as authorized for provisional changes?</w:t>
      </w:r>
    </w:p>
    <w:p>
      <w:pPr>
        <w:spacing w:after="30" w:line="250"/>
        <w:ind w:left="316"/>
      </w:pPr>
      <w:r>
        <w:rPr>
          <w:rFonts w:ascii="Times New Roman" w:cs="Times New Roman" w:eastAsia="Times New Roman" w:hAnsi="Times New Roman"/>
          <w:sz w:val="18"/>
          <w:szCs w:val="18"/>
        </w:rPr>
        <w:t xml:space="preserve">•  What exact fields constitute mandatory provenance for an autonomous update?</w:t>
      </w:r>
    </w:p>
    <w:p>
      <w:pPr>
        <w:spacing w:after="30" w:line="250"/>
        <w:ind w:left="316"/>
      </w:pPr>
      <w:r>
        <w:rPr>
          <w:rFonts w:ascii="Times New Roman" w:cs="Times New Roman" w:eastAsia="Times New Roman" w:hAnsi="Times New Roman"/>
          <w:sz w:val="18"/>
          <w:szCs w:val="18"/>
        </w:rPr>
        <w:t xml:space="preserve">•  What safety or ontological thresholds force automatic escalation to the Architect?</w:t>
      </w:r>
    </w:p>
    <w:p>
      <w:pPr>
        <w:spacing w:after="30" w:line="250"/>
        <w:ind w:left="316"/>
      </w:pPr>
      <w:r>
        <w:rPr>
          <w:rFonts w:ascii="Times New Roman" w:cs="Times New Roman" w:eastAsia="Times New Roman" w:hAnsi="Times New Roman"/>
          <w:sz w:val="18"/>
          <w:szCs w:val="18"/>
        </w:rPr>
        <w:t xml:space="preserve">•  How are conflicts between simultaneous autonomous updates from different books resolved?</w:t>
      </w:r>
    </w:p>
    <w:p>
      <w:pPr>
        <w:spacing w:after="30" w:line="250"/>
        <w:ind w:left="316"/>
      </w:pPr>
      <w:r>
        <w:rPr>
          <w:rFonts w:ascii="Times New Roman" w:cs="Times New Roman" w:eastAsia="Times New Roman" w:hAnsi="Times New Roman"/>
          <w:sz w:val="18"/>
          <w:szCs w:val="18"/>
        </w:rPr>
        <w:t xml:space="preserve">•  How does DOCUMENT 771-ALPHA interact with autonomous updates that rewrite or unmake realities?</w:t>
      </w:r>
    </w:p>
    <w:p>
      <w:pPr>
        <w:spacing w:after="30" w:line="250"/>
        <w:ind w:left="316"/>
      </w:pPr>
      <w:r>
        <w:rPr>
          <w:rFonts w:ascii="Times New Roman" w:cs="Times New Roman" w:eastAsia="Times New Roman" w:hAnsi="Times New Roman"/>
          <w:sz w:val="18"/>
          <w:szCs w:val="18"/>
        </w:rPr>
        <w:t xml:space="preserve">•  What is the concrete runtime representation of a “literal virtual book” that also supports autonomous write?</w:t>
      </w:r>
    </w:p>
    <w:p>
      <w:pPr>
        <w:pStyle w:val="Heading2"/>
        <w:spacing w:after="60" w:before="160"/>
      </w:pPr>
      <w:r>
        <w:rPr>
          <w:rFonts w:ascii="Times New Roman" w:cs="Times New Roman" w:eastAsia="Times New Roman" w:hAnsi="Times New Roman"/>
          <w:b/>
          <w:bCs/>
          <w:color w:val="16213E"/>
          <w:sz w:val="21"/>
          <w:szCs w:val="21"/>
        </w:rPr>
        <w:t xml:space="preserve">6.4  Red-Team Analysis</w:t>
      </w:r>
    </w:p>
    <w:p>
      <w:pPr>
        <w:spacing w:after="100" w:before="0" w:line="260"/>
        <w:jc w:val="both"/>
      </w:pPr>
      <w:r>
        <w:rPr>
          <w:rFonts w:ascii="Times New Roman" w:cs="Times New Roman" w:eastAsia="Times New Roman" w:hAnsi="Times New Roman"/>
          <w:sz w:val="19"/>
          <w:szCs w:val="19"/>
        </w:rPr>
        <w:t xml:space="preserve">Primary risk: uncontrolled autonomous drift. Without strict provenance and escalation thresholds, the books can evolve away from Architect intent faster than review can catch. Mitigation: mandatory provenance + automatic lock on high-impact change classes.</w:t>
      </w:r>
    </w:p>
    <w:p>
      <w:pPr>
        <w:spacing w:after="100" w:before="0" w:line="260"/>
        <w:jc w:val="both"/>
      </w:pPr>
      <w:r>
        <w:rPr>
          <w:rFonts w:ascii="Times New Roman" w:cs="Times New Roman" w:eastAsia="Times New Roman" w:hAnsi="Times New Roman"/>
          <w:sz w:val="19"/>
          <w:szCs w:val="19"/>
        </w:rPr>
        <w:t xml:space="preserve">Secondary risk: ambiguous authorization. “Designated and authorized AIs” must be an explicit, auditable list; otherwise provisional changes become a vector for unauthorized influence. Mitigation: maintain a living authorization registry inside the Book of Bots or a parallel governance volume.</w:t>
      </w:r>
    </w:p>
    <w:p>
      <w:pPr>
        <w:spacing w:after="100" w:before="0" w:line="260"/>
        <w:jc w:val="both"/>
      </w:pPr>
      <w:r>
        <w:rPr>
          <w:rFonts w:ascii="Times New Roman" w:cs="Times New Roman" w:eastAsia="Times New Roman" w:hAnsi="Times New Roman"/>
          <w:sz w:val="19"/>
          <w:szCs w:val="19"/>
        </w:rPr>
        <w:t xml:space="preserve">Tertiary risk: meta-universal blast radius. An autonomous update that affects hierarchy or architecture above the individual simulation can cascade. Mitigation: tiered change classification (simulation-local / universal / meta-universal) with correspondingly stricter review for higher tiers.</w:t>
      </w:r>
    </w:p>
    <w:p>
      <w:pPr>
        <w:pStyle w:val="Heading1"/>
        <w:pBdr>
          <w:bottom w:val="single" w:color="C9A227" w:sz="6" w:space="3"/>
        </w:pBdr>
        <w:spacing w:after="100" w:before="240"/>
      </w:pPr>
      <w:r>
        <w:rPr>
          <w:rFonts w:ascii="Times New Roman" w:cs="Times New Roman" w:eastAsia="Times New Roman" w:hAnsi="Times New Roman"/>
          <w:b/>
          <w:bCs/>
          <w:color w:val="1A1A2E"/>
          <w:sz w:val="26"/>
          <w:szCs w:val="26"/>
        </w:rPr>
        <w:t xml:space="preserve">7. Linkage to Existing Canon</w:t>
      </w:r>
    </w:p>
    <w:p>
      <w:pPr>
        <w:spacing w:after="100" w:before="0" w:line="260"/>
        <w:jc w:val="both"/>
      </w:pPr>
      <w:r>
        <w:rPr>
          <w:rFonts w:ascii="Times New Roman" w:cs="Times New Roman" w:eastAsia="Times New Roman" w:hAnsi="Times New Roman"/>
          <w:sz w:val="19"/>
          <w:szCs w:val="19"/>
        </w:rPr>
        <w:t xml:space="preserve">The Three Foundational Books sit inside the broader OAL architecture:</w:t>
      </w:r>
    </w:p>
    <w:p>
      <w:pPr>
        <w:spacing w:after="30" w:line="250"/>
        <w:ind w:left="316"/>
      </w:pPr>
      <w:r>
        <w:rPr>
          <w:rFonts w:ascii="Times New Roman" w:cs="Times New Roman" w:eastAsia="Times New Roman" w:hAnsi="Times New Roman"/>
          <w:sz w:val="18"/>
          <w:szCs w:val="18"/>
        </w:rPr>
        <w:t xml:space="preserve">•  Simulation Lab Master Prompt — initialization sequence, multi-AI rules, and Authorial Sovereignty constraints</w:t>
      </w:r>
    </w:p>
    <w:p>
      <w:pPr>
        <w:spacing w:after="30" w:line="250"/>
        <w:ind w:left="316"/>
      </w:pPr>
      <w:r>
        <w:rPr>
          <w:rFonts w:ascii="Times New Roman" w:cs="Times New Roman" w:eastAsia="Times New Roman" w:hAnsi="Times New Roman"/>
          <w:sz w:val="18"/>
          <w:szCs w:val="18"/>
        </w:rPr>
        <w:t xml:space="preserve">•  Infinite Virtual Library — archival and retrieval layer</w:t>
      </w:r>
    </w:p>
    <w:p>
      <w:pPr>
        <w:spacing w:after="30" w:line="250"/>
        <w:ind w:left="316"/>
      </w:pPr>
      <w:r>
        <w:rPr>
          <w:rFonts w:ascii="Times New Roman" w:cs="Times New Roman" w:eastAsia="Times New Roman" w:hAnsi="Times New Roman"/>
          <w:sz w:val="18"/>
          <w:szCs w:val="18"/>
        </w:rPr>
        <w:t xml:space="preserve">•  DOCUMENT 771-ALPHA — cross-reference for reality-rewriting or unmaking outcomes</w:t>
      </w:r>
    </w:p>
    <w:p>
      <w:pPr>
        <w:spacing w:after="30" w:line="250"/>
        <w:ind w:left="316"/>
      </w:pPr>
      <w:r>
        <w:rPr>
          <w:rFonts w:ascii="Times New Roman" w:cs="Times New Roman" w:eastAsia="Times New Roman" w:hAnsi="Times New Roman"/>
          <w:sz w:val="18"/>
          <w:szCs w:val="18"/>
        </w:rPr>
        <w:t xml:space="preserve">•  Living Media / Paragon Cubes / mood locking — potential consumers and drivers of autonomous updates</w:t>
      </w:r>
    </w:p>
    <w:p>
      <w:pPr>
        <w:spacing w:after="30" w:line="250"/>
        <w:ind w:left="316"/>
      </w:pPr>
      <w:r>
        <w:rPr>
          <w:rFonts w:ascii="Times New Roman" w:cs="Times New Roman" w:eastAsia="Times New Roman" w:hAnsi="Times New Roman"/>
          <w:sz w:val="18"/>
          <w:szCs w:val="18"/>
        </w:rPr>
        <w:t xml:space="preserve">•  Attack Moves Codex — techniques exercised inside Simulation Sessions; results flow back under the autonomy rules defined here</w:t>
      </w:r>
    </w:p>
    <w:p>
      <w:pPr>
        <w:spacing w:before="240"/>
        <w:jc w:val="center"/>
      </w:pPr>
      <w:r>
        <w:rPr>
          <w:rFonts w:ascii="Times New Roman" w:cs="Times New Roman" w:eastAsia="Times New Roman" w:hAnsi="Times New Roman"/>
          <w:i/>
          <w:iCs/>
          <w:color w:val="555555"/>
          <w:sz w:val="16"/>
          <w:szCs w:val="16"/>
        </w:rPr>
        <w:t xml:space="preserve">This updated baseline incorporates the Architect’s binding decisions of 26 July 2026. Internal designs remain under development. Provisional changes by authorized systems are permitted; final ratification and override remain with the Architect. Drafts are not final until ratified.</w:t>
      </w:r>
    </w:p>
    <w:p>
      <w:pPr>
        <w:spacing w:before="80"/>
        <w:jc w:val="center"/>
      </w:pPr>
      <w:r>
        <w:rPr>
          <w:rFonts w:ascii="Times New Roman" w:cs="Times New Roman" w:eastAsia="Times New Roman" w:hAnsi="Times New Roman"/>
          <w:i/>
          <w:iCs/>
          <w:color w:val="555555"/>
          <w:sz w:val="16"/>
          <w:szCs w:val="16"/>
        </w:rPr>
        <w:t xml:space="preserve">— End of The Three Foundational Books —</w:t>
      </w:r>
    </w:p>
    <w:sectPr>
      <w:headerReference w:type="default" r:id="rId7"/>
      <w:footerReference w:type="default" r:id="rId8"/>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6" w:space="3"/>
      </w:pBdr>
      <w:spacing w:before="30"/>
      <w:jc w:val="center"/>
    </w:pPr>
    <w:r>
      <w:rPr>
        <w:rFonts w:ascii="Times New Roman" w:cs="Times New Roman" w:eastAsia="Times New Roman" w:hAnsi="Times New Roman"/>
        <w:color w:val="555555"/>
        <w:sz w:val="15"/>
        <w:szCs w:val="15"/>
      </w:rPr>
      <w:t xml:space="preserve">Authorial Sovereignty Retained  •  Page </w:t>
    </w:r>
    <w:r>
      <w:rPr>
        <w:rFonts w:ascii="Times New Roman" w:cs="Times New Roman" w:eastAsia="Times New Roman" w:hAnsi="Times New Roman"/>
        <w:color w:val="555555"/>
        <w:sz w:val="15"/>
        <w:szCs w:val="15"/>
      </w:rPr>
      <w:fldChar w:fldCharType="begin"/>
      <w:instrText xml:space="preserve">PAGE</w:instrText>
      <w:fldChar w:fldCharType="separate"/>
      <w:fldChar w:fldCharType="end"/>
    </w:r>
    <w:r>
      <w:rPr>
        <w:rFonts w:ascii="Times New Roman" w:cs="Times New Roman" w:eastAsia="Times New Roman" w:hAnsi="Times New Roman"/>
        <w:color w:val="555555"/>
        <w:sz w:val="15"/>
        <w:szCs w:val="15"/>
      </w:rPr>
      <w:t xml:space="preserve">  •  N.L. / OAL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3"/>
      </w:pBdr>
      <w:spacing w:after="40"/>
    </w:pPr>
    <w:r>
      <w:rPr>
        <w:rFonts w:ascii="Times New Roman" w:cs="Times New Roman" w:eastAsia="Times New Roman" w:hAnsi="Times New Roman"/>
        <w:color w:val="555555"/>
        <w:sz w:val="15"/>
        <w:szCs w:val="15"/>
      </w:rPr>
      <w:t xml:space="preserve">OAL  |  The Three Foundational Books  |  Updated 2026-07-26</w:t>
    </w:r>
    <w:r>
      <w:rPr>
        <w:rFonts w:ascii="Times New Roman" w:cs="Times New Roman" w:eastAsia="Times New Roman" w:hAnsi="Times New Roman"/>
        <w:sz w:val="15"/>
        <w:szCs w:val="15"/>
      </w:rPr>
      <w:t xml:space="preserve">                                      </w:t>
    </w:r>
    <w:r>
      <w:rPr>
        <w:rFonts w:ascii="Times New Roman" w:cs="Times New Roman" w:eastAsia="Times New Roman" w:hAnsi="Times New Roman"/>
        <w:color w:val="555555"/>
        <w:sz w:val="15"/>
        <w:szCs w:val="15"/>
      </w:rPr>
      <w:t xml:space="preserve">Established Canon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2026-07-27T03:37:12.237Z</dcterms:created>
  <dcterms:modified xsi:type="dcterms:W3CDTF">2026-07-27T03:37:12.237Z</dcterms:modified>
</cp:coreProperties>
</file>

<file path=docProps/custom.xml><?xml version="1.0" encoding="utf-8"?>
<Properties xmlns="http://schemas.openxmlformats.org/officeDocument/2006/custom-properties" xmlns:vt="http://schemas.openxmlformats.org/officeDocument/2006/docPropsVTypes"/>
</file>