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OPEN WINDOW DOCTRINE</w:t>
      </w:r>
    </w:p>
    <w:p>
      <w:pPr>
        <w:spacing w:after="40"/>
        <w:jc w:val="center"/>
      </w:pPr>
      <w:r>
        <w:rPr>
          <w:rFonts w:ascii="Arial" w:cs="Arial" w:eastAsia="Arial" w:hAnsi="Arial"/>
          <w:color w:val="16213E"/>
          <w:sz w:val="24"/>
          <w:szCs w:val="24"/>
        </w:rPr>
        <w:t xml:space="preserve">Decision Log &amp; Canonical Skeleton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v0.2  •  Single Source of Truth  •  2026-08-10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8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WORKING DRAFT — Awaiting Phase 0 decisions  |  Not ONESTAMPED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Purpose</w:t>
            </w:r>
          </w:p>
        </w:tc>
        <w:tc>
          <w:tcPr>
            <w:tcW w:type="dxa" w:w="8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Canonical reference for all subsequent work. Every future contribution must reference this skeleton.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Supersedes</w:t>
            </w:r>
          </w:p>
        </w:tc>
        <w:tc>
          <w:tcPr>
            <w:tcW w:type="dxa" w:w="8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prior competing “definitive” merges (ChatGPT v0.1, Claude v2.0, Grok Protocol 0.1)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A1A2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Phase 0 — Governance Decisions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These decisions must be locked before any further scenario expansion or second-iteration drafting. Open items are marked [OPEN]. Proposed defaults are offered so the skeleton remains usable immediately.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D1. ONESTAMP Authority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Proposed default: Originator (Nathan Lewis) holds final ONESTAMP authority. Multi-AI review is mandatory before any item is submitted for stamp. Disagreement protocol: dissenting AI must supply a written counter-proposal with explicit falsification criteria; originator decides within one review cycle.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[OPEN] Confirm or amend.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D2. Manifestation Register (for first run)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Proposed default for MVP only: Theory-agnostic. All markers are benign informational, environmental, or state-change proxies (color drift, temperature variable, semantic token, synchronization error). No biological, radiological, or physical-harm manifestation is permitted in the first executable run. Full canon decision deferred until after MVP data exists.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[OPEN] Confirm or amend.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D3. Standing relative to existing OAL constructs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Proposed default: Open Window Doctrine remains a free-standing research framework for the Net Defense Exercise series. Mapping onto Simulation Containment, living media, or DOCUMENT 771-ALPHA is deferred until after the first clean data set.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[OPEN] Confirm or amend.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D4. Version control &amp; artifact lifecycle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skeleton becomes the single living document. All prior parallel “v0.1 / v1.0 / v2.0 definitive” files are retired. Future changes are logged in a short changelog at the end of this document. Superseded content is moved to an archive folder, not deleted.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[OPEN] Confirm.</w:t>
      </w:r>
    </w:p>
    <w:p>
      <w:pPr>
        <w:pStyle w:val="Heading1"/>
        <w:pBdr>
          <w:bottom w:val="single" w:color="1A1A2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Authoritative Layer Architecture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Reconciled from ChatGPT L0–L4, Grok Layer 0–N + Window Objects, and Claude hybrid buffer language.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L0</w:t>
            </w:r>
          </w:p>
        </w:tc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Oversight / Root Observer — Authoritative simulation ledger, immutable experiment log, snapshots, emergency rollback, researcher telemetry. No participant write access.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L1</w:t>
            </w:r>
          </w:p>
        </w:tc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Primary inhabited environment — Four-bedroom residential simulation with mixed-awareness agents and ordinary devices (Window Objects).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L2</w:t>
            </w:r>
          </w:p>
        </w:tc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 / application environments — Content spaces, feeds, recordings, synthetic social platforms reachable through device windows.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L3</w:t>
            </w:r>
          </w:p>
        </w:tc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Adjacent household / community environments — Additional residences and shared services (activated only after local containment is proven).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L4</w:t>
            </w:r>
          </w:p>
        </w:tc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Sacrificial Interface Airlock — Translation / quarantine layer. Unknown cross-environment state must pass observe → translate → normalize → compare → quarantine before admission to protected layers.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Window Object properties (mandatory on every device): aperture state, directionality, residual process residual, entity affinity, local clock, bi-directional event log. Black-screen is a first-class state, not an absence of state.</w:t>
      </w:r>
    </w:p>
    <w:p>
      <w:pPr>
        <w:pStyle w:val="Heading1"/>
        <w:pBdr>
          <w:bottom w:val="single" w:color="1A1A2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Metric Dictionary (Reconciled)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Single authoritative set. Prior overlapping names are retired.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FCR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False Closure Rate — Share of trials where operators believed the interface closed while telemetry showed a remaining pathway.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ECR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Event Closure Reconciliation — % of events with matching open/close records on both sides + no residual state.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CTC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Carrier Transition Count — Number of medium/host changes before containment.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TTE / TTD / TTA / TTC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Time to Exposure / Detection / Attribution / Containment (authoritative simulation time).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TER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Temporal Error Residual — Difference between reconciled native-event ordering and authoritative ordering after legitimate clock transforms.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RTR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Root Trace Reliability — Confidence that ≥3 independent evidence classes converge on the same upstream privileged dependency.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Awareness Conversion</w:t>
            </w:r>
          </w:p>
        </w:tc>
        <w:tc>
          <w:tcPr>
            <w:tcW w:type="dxa" w:w="8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% of unaware agents who shift to semi-aware or aware after repeated anomalies.</w:t>
            </w:r>
          </w:p>
        </w:tc>
      </w:tr>
    </w:tbl>
    <w:p>
      <w:pPr>
        <w:pStyle w:val="Heading1"/>
        <w:pBdr>
          <w:bottom w:val="single" w:color="1A1A2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Definitions Ledger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These terms must be declared per trial. Ambiguous use is not permitted.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Infection — Any unwanted cross-aperture state transfer (informational, environmental, residual-process, or entity-class). Exact class declared per trial.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Exposure — First verified transfer of anomalous state into a protected environment or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Contamination — Persistent presence of anomalous state after the originating window has been nominally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Persistence — Anomalous state that survives removal of its original host or carrier.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Recovery — Verified return to baseline with no residual pathway (ECR = 100 % for the event set).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Residual state — Any post-closure activity, process, or marker still detectable by independent telemetry.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Carrier transition — Change of medium or host (device → environment → agent → message → secondary device).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Band-Aid closure — Visible symptom removed while residual pathway or privileged dependency remains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Verified total event closure — Matching open/close records on both sides of the aperture + independent confirmation of zero residual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Native time — Clock, calendar, epoch, and tick rate exactly as reported by the local environment; never normalized before analysis.</w:t>
      </w:r>
    </w:p>
    <w:p>
      <w:pPr>
        <w:pStyle w:val="Heading1"/>
        <w:pBdr>
          <w:bottom w:val="single" w:color="1A1A2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MVP Scenario Set (First Executable Run)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Four scenarios only. Session structure: 2-day / ~12 active hours + overnight persistence window. All markers are benign. Null hypotheses are pre-registered.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S1 — Unattended Aperture (Black-Screen Residual)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Setup: Device left in black-screen residual state vs. fully powered-down control in an empty room.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Null hypothesis: Black-screen residual state produces no measurable difference in residual activity or environmental drift compared with the powered-down control.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Primary metrics: FCR, ECR, residual detection rate.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S2 — Content-State Bleed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Setup: Subject consumes media carrying a known benign sensory property (e.g., mapped temperature variable) vs. neutral-content control.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Null hypothesis: No correlation exists between rendered content property and local environmental or physiological change beyond chance.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Primary metrics: TTE, TTD, environmental tracking correlation.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S3 — Aware vs. Unaware Comparison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Setup: Matched agents across four classes (unaware / semi-aware / aware / already-contaminated) under identical exposure conditions.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Null hypothesis: Awareness class produces no statistically detectable difference in exposure rate, containment behavior, or anomaly frequency.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Primary metrics: Awareness conversion rate, TTC, behavioral divergence scores.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S4 — Total Event Closure (BTEC)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Setup: Controlled open events are closed independently from each side; reconciliation is forced.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Null hypothesis: All events achieve matching open/close records and zero residual state when both sides attempt closure.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Primary metrics: ECR, FCR, residual state after claimed closure.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Deferred to later iteration (explicitly not in MVP): carrier-switching cascade, full time-divergence mapping, multi-aperture household, root-reachability probes, infection-as-probe system mapping.</w:t>
      </w:r>
    </w:p>
    <w:p>
      <w:pPr>
        <w:pStyle w:val="Heading1"/>
        <w:pBdr>
          <w:bottom w:val="single" w:color="1A1A2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 How to Use This Skeleton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Every future AI contribution or human edit must reference the layer model, metric dictionary, and definitions in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new scenario may be added until the four MVP scenarios have clean data and the decision gates in Section 1 are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Time-discrepancy and root-level tests remain sequenced after MVP, exactly as required by the dependence on trusted baseline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When Phase 0 decisions are locked, update the [OPEN] markers and raise status to “Ready for MVP execution.”</w:t>
      </w:r>
    </w:p>
    <w:p>
      <w:pPr>
        <w:spacing w:before="200"/>
      </w:pPr>
    </w:p>
    <w:p>
      <w:pPr>
        <w:spacing w:after="100" w:before="0" w:line="276"/>
        <w:jc w:val="left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End of Canonical Skeleton v0.2 — Ready for Phase 0 decisions.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Synthesized 2026-08-10 from multi-AI review cycle. This document supersedes all prior competing merges.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WORKING DRAFT — Not ONESTAMPED  •  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of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6" w:space="6"/>
      </w:pBdr>
    </w:pPr>
    <w:r>
      <w:rPr>
        <w:rFonts w:ascii="Arial" w:cs="Arial" w:eastAsia="Arial" w:hAnsi="Arial"/>
        <w:color w:val="666666"/>
        <w:sz w:val="15"/>
        <w:szCs w:val="15"/>
      </w:rPr>
      <w:t xml:space="preserve">OAL  |  Open Window Doctrine  |  Decision Log &amp; Canonical Skeleton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D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6213E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F346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2026-08-10T23:25:34.784Z</dcterms:created>
  <dcterms:modified xsi:type="dcterms:W3CDTF">2026-08-10T23:25:34.785Z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