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354"/>
          <w:sz w:val="60"/>
        </w:rPr>
        <w:t>THE OPEN WINDOW PROBLEM</w:t>
      </w:r>
    </w:p>
    <w:p>
      <w:pPr>
        <w:jc w:val="center"/>
      </w:pPr>
      <w:r>
        <w:rPr>
          <w:b/>
          <w:color w:val="265887"/>
          <w:sz w:val="40"/>
        </w:rPr>
        <w:t>Simulation Laboratory Design &amp; Development</w:t>
        <w:br/>
        <w:t>Draft Pass 0.2</w:t>
      </w:r>
    </w:p>
    <w:p>
      <w:pPr>
        <w:spacing w:before="160"/>
        <w:jc w:val="center"/>
      </w:pPr>
      <w:r>
        <w:rPr>
          <w:i/>
          <w:color w:val="5A6068"/>
          <w:sz w:val="21"/>
        </w:rPr>
        <w:t>Persistent Interface Exposure • Event/Lineage Closure • Model Credibility • Temporal/Causal Reconciliation • Root-Conditioned Failure</w:t>
      </w:r>
    </w:p>
    <w:tbl>
      <w:tblPr>
        <w:tblStyle w:val="TableGrid"/>
        <w:tblW w:type="auto" w:w="0"/>
        <w:jc w:val="center"/>
        <w:tblLook w:firstColumn="1" w:firstRow="1" w:lastColumn="0" w:lastRow="0" w:noHBand="0" w:noVBand="1" w:val="04A0"/>
      </w:tblPr>
      <w:tblGrid>
        <w:gridCol w:w="5227"/>
        <w:gridCol w:w="5227"/>
      </w:tblGrid>
      <w:tr>
        <w:tc>
          <w:tcPr>
            <w:tcW w:type="dxa" w:w="5227"/>
            <w:shd w:fill="DCE7F1"/>
            <w:tcMar>
              <w:top w:w="90" w:type="dxa"/>
              <w:start w:w="100" w:type="dxa"/>
              <w:bottom w:w="90" w:type="dxa"/>
              <w:end w:w="100" w:type="dxa"/>
            </w:tcMar>
          </w:tcPr>
          <w:p>
            <w:r>
              <w:rPr>
                <w:b/>
                <w:color w:val="183354"/>
                <w:sz w:val="17"/>
              </w:rPr>
              <w:t>Document Status</w:t>
            </w:r>
          </w:p>
        </w:tc>
        <w:tc>
          <w:tcPr>
            <w:tcW w:type="dxa" w:w="5227"/>
            <w:tcMar>
              <w:top w:w="90" w:type="dxa"/>
              <w:start w:w="100" w:type="dxa"/>
              <w:bottom w:w="90" w:type="dxa"/>
              <w:end w:w="100" w:type="dxa"/>
            </w:tcMar>
          </w:tcPr>
          <w:p>
            <w:r>
              <w:rPr>
                <w:sz w:val="17"/>
              </w:rPr>
              <w:t>DRAFT PASS 0.2 — controlled working draft; not ONESTAMPED</w:t>
            </w:r>
          </w:p>
        </w:tc>
      </w:tr>
      <w:tr>
        <w:tc>
          <w:tcPr>
            <w:tcW w:type="dxa" w:w="5227"/>
            <w:shd w:fill="DCE7F1"/>
            <w:tcMar>
              <w:top w:w="90" w:type="dxa"/>
              <w:start w:w="100" w:type="dxa"/>
              <w:bottom w:w="90" w:type="dxa"/>
              <w:end w:w="100" w:type="dxa"/>
            </w:tcMar>
          </w:tcPr>
          <w:p>
            <w:r>
              <w:rPr>
                <w:b/>
                <w:color w:val="183354"/>
                <w:sz w:val="17"/>
              </w:rPr>
              <w:t>Date</w:t>
            </w:r>
          </w:p>
        </w:tc>
        <w:tc>
          <w:tcPr>
            <w:tcW w:type="dxa" w:w="5227"/>
            <w:tcMar>
              <w:top w:w="90" w:type="dxa"/>
              <w:start w:w="100" w:type="dxa"/>
              <w:bottom w:w="90" w:type="dxa"/>
              <w:end w:w="100" w:type="dxa"/>
            </w:tcMar>
          </w:tcPr>
          <w:p>
            <w:r>
              <w:rPr>
                <w:sz w:val="17"/>
              </w:rPr>
              <w:t>10 August 2026</w:t>
            </w:r>
          </w:p>
        </w:tc>
      </w:tr>
      <w:tr>
        <w:tc>
          <w:tcPr>
            <w:tcW w:type="dxa" w:w="5227"/>
            <w:shd w:fill="DCE7F1"/>
            <w:tcMar>
              <w:top w:w="90" w:type="dxa"/>
              <w:start w:w="100" w:type="dxa"/>
              <w:bottom w:w="90" w:type="dxa"/>
              <w:end w:w="100" w:type="dxa"/>
            </w:tcMar>
          </w:tcPr>
          <w:p>
            <w:r>
              <w:rPr>
                <w:b/>
                <w:color w:val="183354"/>
                <w:sz w:val="17"/>
              </w:rPr>
              <w:t>Concept origin / project direction</w:t>
            </w:r>
          </w:p>
        </w:tc>
        <w:tc>
          <w:tcPr>
            <w:tcW w:type="dxa" w:w="5227"/>
            <w:tcMar>
              <w:top w:w="90" w:type="dxa"/>
              <w:start w:w="100" w:type="dxa"/>
              <w:bottom w:w="90" w:type="dxa"/>
              <w:end w:w="100" w:type="dxa"/>
            </w:tcMar>
          </w:tcPr>
          <w:p>
            <w:r>
              <w:rPr>
                <w:sz w:val="17"/>
              </w:rPr>
              <w:t>Nathan Lewis II</w:t>
            </w:r>
          </w:p>
        </w:tc>
      </w:tr>
      <w:tr>
        <w:tc>
          <w:tcPr>
            <w:tcW w:type="dxa" w:w="5227"/>
            <w:shd w:fill="DCE7F1"/>
            <w:tcMar>
              <w:top w:w="90" w:type="dxa"/>
              <w:start w:w="100" w:type="dxa"/>
              <w:bottom w:w="90" w:type="dxa"/>
              <w:end w:w="100" w:type="dxa"/>
            </w:tcMar>
          </w:tcPr>
          <w:p>
            <w:r>
              <w:rPr>
                <w:b/>
                <w:color w:val="183354"/>
                <w:sz w:val="17"/>
              </w:rPr>
              <w:t>Documentation preparation</w:t>
            </w:r>
          </w:p>
        </w:tc>
        <w:tc>
          <w:tcPr>
            <w:tcW w:type="dxa" w:w="5227"/>
            <w:tcMar>
              <w:top w:w="90" w:type="dxa"/>
              <w:start w:w="100" w:type="dxa"/>
              <w:bottom w:w="90" w:type="dxa"/>
              <w:end w:w="100" w:type="dxa"/>
            </w:tcMar>
          </w:tcPr>
          <w:p>
            <w:r>
              <w:rPr>
                <w:sz w:val="17"/>
              </w:rPr>
              <w:t>ChatGPT (GPT-5.6 Sol)</w:t>
            </w:r>
          </w:p>
        </w:tc>
      </w:tr>
      <w:tr>
        <w:tc>
          <w:tcPr>
            <w:tcW w:type="dxa" w:w="5227"/>
            <w:shd w:fill="DCE7F1"/>
            <w:tcMar>
              <w:top w:w="90" w:type="dxa"/>
              <w:start w:w="100" w:type="dxa"/>
              <w:bottom w:w="90" w:type="dxa"/>
              <w:end w:w="100" w:type="dxa"/>
            </w:tcMar>
          </w:tcPr>
          <w:p>
            <w:r>
              <w:rPr>
                <w:b/>
                <w:color w:val="183354"/>
                <w:sz w:val="17"/>
              </w:rPr>
              <w:t>Contributor set reviewed</w:t>
            </w:r>
          </w:p>
        </w:tc>
        <w:tc>
          <w:tcPr>
            <w:tcW w:type="dxa" w:w="5227"/>
            <w:tcMar>
              <w:top w:w="90" w:type="dxa"/>
              <w:start w:w="100" w:type="dxa"/>
              <w:bottom w:w="90" w:type="dxa"/>
              <w:end w:w="100" w:type="dxa"/>
            </w:tcMar>
          </w:tcPr>
          <w:p>
            <w:r>
              <w:rPr>
                <w:sz w:val="17"/>
              </w:rPr>
              <w:t>ChatGPT • Claude • Google Gemini • Grok AI • Perplexity AI alternative analysis</w:t>
            </w:r>
          </w:p>
        </w:tc>
      </w:tr>
      <w:tr>
        <w:tc>
          <w:tcPr>
            <w:tcW w:type="dxa" w:w="5227"/>
            <w:shd w:fill="DCE7F1"/>
            <w:tcMar>
              <w:top w:w="90" w:type="dxa"/>
              <w:start w:w="100" w:type="dxa"/>
              <w:bottom w:w="90" w:type="dxa"/>
              <w:end w:w="100" w:type="dxa"/>
            </w:tcMar>
          </w:tcPr>
          <w:p>
            <w:r>
              <w:rPr>
                <w:b/>
                <w:color w:val="183354"/>
                <w:sz w:val="17"/>
              </w:rPr>
              <w:t>Classification</w:t>
            </w:r>
          </w:p>
        </w:tc>
        <w:tc>
          <w:tcPr>
            <w:tcW w:type="dxa" w:w="5227"/>
            <w:tcMar>
              <w:top w:w="90" w:type="dxa"/>
              <w:start w:w="100" w:type="dxa"/>
              <w:bottom w:w="90" w:type="dxa"/>
              <w:end w:w="100" w:type="dxa"/>
            </w:tcMar>
          </w:tcPr>
          <w:p>
            <w:r>
              <w:rPr>
                <w:sz w:val="17"/>
              </w:rPr>
              <w:t>Simulation-only R&amp;D / Net Defense / Worldbuilding Systems Design</w:t>
            </w:r>
          </w:p>
        </w:tc>
      </w:tr>
    </w:tbl>
    <w:p>
      <w:pPr>
        <w:spacing w:before="320"/>
        <w:jc w:val="center"/>
      </w:pPr>
      <w:r>
        <w:rPr>
          <w:b/>
          <w:color w:val="A43236"/>
          <w:sz w:val="18"/>
        </w:rPr>
        <w:t>SIMULATION-ONLY SAFETY NOTE</w:t>
      </w:r>
    </w:p>
    <w:p>
      <w:pPr>
        <w:jc w:val="center"/>
      </w:pPr>
      <w:r>
        <w:rPr>
          <w:color w:val="5A6068"/>
          <w:sz w:val="17"/>
        </w:rPr>
        <w:t>No real malware, pathogens, radiation, hazardous chemicals, or physical attack mechanisms are required or authorized by this draft. All “infection,” “bleed,” and “hazard” phenomena are represented by benign synthetic markers and controlled state changes.</w:t>
      </w:r>
    </w:p>
    <w:p>
      <w:r>
        <w:br w:type="page"/>
      </w:r>
    </w:p>
    <w:p>
      <w:pPr>
        <w:pStyle w:val="Heading1"/>
      </w:pPr>
      <w:r>
        <w:t>0. Draft-Pass Control Record</w:t>
      </w:r>
    </w:p>
    <w:p>
      <w:r>
        <w:t>Draft Pass 0.2 is not a clean-sheet rewrite. It is a controlled consolidation of the v0.1 simulation-lab draft, the origin/doctrine branch, Grok’s protocol branch, Gemini’s directly supplied scenario/countermeasure ideas, and Perplexity’s red-team alternative analysis. Where contributor documents conflict, this pass records the difference and converts disputed claims into testable hypotheses rather than silently choosing a winner.</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DCE7F1"/>
            <w:tcMar>
              <w:top w:w="70" w:type="dxa"/>
              <w:start w:w="80" w:type="dxa"/>
              <w:bottom w:w="70" w:type="dxa"/>
              <w:end w:w="80" w:type="dxa"/>
            </w:tcMar>
            <w:vAlign w:val="center"/>
          </w:tcPr>
          <w:p>
            <w:r>
              <w:rPr>
                <w:b/>
                <w:color w:val="183354"/>
                <w:sz w:val="16"/>
              </w:rPr>
              <w:t>Change area</w:t>
            </w:r>
          </w:p>
        </w:tc>
        <w:tc>
          <w:tcPr>
            <w:tcW w:type="dxa" w:w="3384"/>
            <w:shd w:fill="DCE7F1"/>
            <w:tcMar>
              <w:top w:w="70" w:type="dxa"/>
              <w:start w:w="80" w:type="dxa"/>
              <w:bottom w:w="70" w:type="dxa"/>
              <w:end w:w="80" w:type="dxa"/>
            </w:tcMar>
            <w:vAlign w:val="center"/>
          </w:tcPr>
          <w:p>
            <w:r>
              <w:rPr>
                <w:b/>
                <w:color w:val="183354"/>
                <w:sz w:val="16"/>
              </w:rPr>
              <w:t>0.2 decision</w:t>
            </w:r>
          </w:p>
        </w:tc>
        <w:tc>
          <w:tcPr>
            <w:tcW w:type="dxa" w:w="4464"/>
            <w:shd w:fill="DCE7F1"/>
            <w:tcMar>
              <w:top w:w="70" w:type="dxa"/>
              <w:start w:w="80" w:type="dxa"/>
              <w:bottom w:w="70" w:type="dxa"/>
              <w:end w:w="80" w:type="dxa"/>
            </w:tcMar>
            <w:vAlign w:val="center"/>
          </w:tcPr>
          <w:p>
            <w:r>
              <w:rPr>
                <w:b/>
                <w:color w:val="183354"/>
                <w:sz w:val="16"/>
              </w:rPr>
              <w:t>Reason</w:t>
            </w:r>
          </w:p>
        </w:tc>
      </w:tr>
      <w:tr>
        <w:tc>
          <w:tcPr>
            <w:tcW w:type="dxa" w:w="2880"/>
            <w:tcMar>
              <w:top w:w="70" w:type="dxa"/>
              <w:start w:w="80" w:type="dxa"/>
              <w:bottom w:w="70" w:type="dxa"/>
              <w:end w:w="80" w:type="dxa"/>
            </w:tcMar>
            <w:vAlign w:val="top"/>
          </w:tcPr>
          <w:p>
            <w:pPr>
              <w:spacing w:after="20"/>
            </w:pPr>
            <w:r>
              <w:rPr>
                <w:sz w:val="16"/>
              </w:rPr>
              <w:t>Document governance</w:t>
            </w:r>
          </w:p>
        </w:tc>
        <w:tc>
          <w:tcPr>
            <w:tcW w:type="dxa" w:w="3384"/>
            <w:tcMar>
              <w:top w:w="70" w:type="dxa"/>
              <w:start w:w="80" w:type="dxa"/>
              <w:bottom w:w="70" w:type="dxa"/>
              <w:end w:w="80" w:type="dxa"/>
            </w:tcMar>
            <w:vAlign w:val="top"/>
          </w:tcPr>
          <w:p>
            <w:pPr>
              <w:spacing w:after="20"/>
            </w:pPr>
            <w:r>
              <w:rPr>
                <w:sz w:val="16"/>
              </w:rPr>
              <w:t>Separate logical artifact identity from file representation (DOCX/PDF/MD).</w:t>
            </w:r>
          </w:p>
        </w:tc>
        <w:tc>
          <w:tcPr>
            <w:tcW w:type="dxa" w:w="4464"/>
            <w:tcMar>
              <w:top w:w="70" w:type="dxa"/>
              <w:start w:w="80" w:type="dxa"/>
              <w:bottom w:w="70" w:type="dxa"/>
              <w:end w:w="80" w:type="dxa"/>
            </w:tcMar>
            <w:vAlign w:val="top"/>
          </w:tcPr>
          <w:p>
            <w:pPr>
              <w:spacing w:after="20"/>
            </w:pPr>
            <w:r>
              <w:rPr>
                <w:sz w:val="16"/>
              </w:rPr>
              <w:t>Prevents duplicate exports from being mistaken for distinct conceptual versions.</w:t>
            </w:r>
          </w:p>
        </w:tc>
      </w:tr>
      <w:tr>
        <w:tc>
          <w:tcPr>
            <w:tcW w:type="dxa" w:w="2880"/>
            <w:tcMar>
              <w:top w:w="70" w:type="dxa"/>
              <w:start w:w="80" w:type="dxa"/>
              <w:bottom w:w="70" w:type="dxa"/>
              <w:end w:w="80" w:type="dxa"/>
            </w:tcMar>
            <w:vAlign w:val="top"/>
          </w:tcPr>
          <w:p>
            <w:pPr>
              <w:spacing w:after="20"/>
            </w:pPr>
            <w:r>
              <w:rPr>
                <w:sz w:val="16"/>
              </w:rPr>
              <w:t>Doctrine statement</w:t>
            </w:r>
          </w:p>
        </w:tc>
        <w:tc>
          <w:tcPr>
            <w:tcW w:type="dxa" w:w="3384"/>
            <w:tcMar>
              <w:top w:w="70" w:type="dxa"/>
              <w:start w:w="80" w:type="dxa"/>
              <w:bottom w:w="70" w:type="dxa"/>
              <w:end w:w="80" w:type="dxa"/>
            </w:tcMar>
            <w:vAlign w:val="top"/>
          </w:tcPr>
          <w:p>
            <w:pPr>
              <w:spacing w:after="20"/>
            </w:pPr>
            <w:r>
              <w:rPr>
                <w:sz w:val="16"/>
              </w:rPr>
              <w:t>“Screen = aperture” becomes an Aperture Hypothesis, not an established law.</w:t>
            </w:r>
          </w:p>
        </w:tc>
        <w:tc>
          <w:tcPr>
            <w:tcW w:type="dxa" w:w="4464"/>
            <w:tcMar>
              <w:top w:w="70" w:type="dxa"/>
              <w:start w:w="80" w:type="dxa"/>
              <w:bottom w:w="70" w:type="dxa"/>
              <w:end w:w="80" w:type="dxa"/>
            </w:tcMar>
            <w:vAlign w:val="top"/>
          </w:tcPr>
          <w:p>
            <w:pPr>
              <w:spacing w:after="20"/>
            </w:pPr>
            <w:r>
              <w:rPr>
                <w:sz w:val="16"/>
              </w:rPr>
              <w:t>Allows disconfirmation and avoids confirmation bias.</w:t>
            </w:r>
          </w:p>
        </w:tc>
      </w:tr>
      <w:tr>
        <w:tc>
          <w:tcPr>
            <w:tcW w:type="dxa" w:w="2880"/>
            <w:tcMar>
              <w:top w:w="70" w:type="dxa"/>
              <w:start w:w="80" w:type="dxa"/>
              <w:bottom w:w="70" w:type="dxa"/>
              <w:end w:w="80" w:type="dxa"/>
            </w:tcMar>
            <w:vAlign w:val="top"/>
          </w:tcPr>
          <w:p>
            <w:pPr>
              <w:spacing w:after="20"/>
            </w:pPr>
            <w:r>
              <w:rPr>
                <w:sz w:val="16"/>
              </w:rPr>
              <w:t>Architecture</w:t>
            </w:r>
          </w:p>
        </w:tc>
        <w:tc>
          <w:tcPr>
            <w:tcW w:type="dxa" w:w="3384"/>
            <w:tcMar>
              <w:top w:w="70" w:type="dxa"/>
              <w:start w:w="80" w:type="dxa"/>
              <w:bottom w:w="70" w:type="dxa"/>
              <w:end w:w="80" w:type="dxa"/>
            </w:tcMar>
            <w:vAlign w:val="top"/>
          </w:tcPr>
          <w:p>
            <w:pPr>
              <w:spacing w:after="20"/>
            </w:pPr>
            <w:r>
              <w:rPr>
                <w:sz w:val="16"/>
              </w:rPr>
              <w:t>Use two orthogonal maps: topology and authority/privilege.</w:t>
            </w:r>
          </w:p>
        </w:tc>
        <w:tc>
          <w:tcPr>
            <w:tcW w:type="dxa" w:w="4464"/>
            <w:tcMar>
              <w:top w:w="70" w:type="dxa"/>
              <w:start w:w="80" w:type="dxa"/>
              <w:bottom w:w="70" w:type="dxa"/>
              <w:end w:w="80" w:type="dxa"/>
            </w:tcMar>
            <w:vAlign w:val="top"/>
          </w:tcPr>
          <w:p>
            <w:pPr>
              <w:spacing w:after="20"/>
            </w:pPr>
            <w:r>
              <w:rPr>
                <w:sz w:val="16"/>
              </w:rPr>
              <w:t>Root relevance depends on trust/authority, not only layer depth.</w:t>
            </w:r>
          </w:p>
        </w:tc>
      </w:tr>
      <w:tr>
        <w:tc>
          <w:tcPr>
            <w:tcW w:type="dxa" w:w="2880"/>
            <w:tcMar>
              <w:top w:w="70" w:type="dxa"/>
              <w:start w:w="80" w:type="dxa"/>
              <w:bottom w:w="70" w:type="dxa"/>
              <w:end w:w="80" w:type="dxa"/>
            </w:tcMar>
            <w:vAlign w:val="top"/>
          </w:tcPr>
          <w:p>
            <w:pPr>
              <w:spacing w:after="20"/>
            </w:pPr>
            <w:r>
              <w:rPr>
                <w:sz w:val="16"/>
              </w:rPr>
              <w:t>Closure</w:t>
            </w:r>
          </w:p>
        </w:tc>
        <w:tc>
          <w:tcPr>
            <w:tcW w:type="dxa" w:w="3384"/>
            <w:tcMar>
              <w:top w:w="70" w:type="dxa"/>
              <w:start w:w="80" w:type="dxa"/>
              <w:bottom w:w="70" w:type="dxa"/>
              <w:end w:w="80" w:type="dxa"/>
            </w:tcMar>
            <w:vAlign w:val="top"/>
          </w:tcPr>
          <w:p>
            <w:pPr>
              <w:spacing w:after="20"/>
            </w:pPr>
            <w:r>
              <w:rPr>
                <w:sz w:val="16"/>
              </w:rPr>
              <w:t>Split BTEC into declared-event closure and observable-effect closure; add provenance lineage.</w:t>
            </w:r>
          </w:p>
        </w:tc>
        <w:tc>
          <w:tcPr>
            <w:tcW w:type="dxa" w:w="4464"/>
            <w:tcMar>
              <w:top w:w="70" w:type="dxa"/>
              <w:start w:w="80" w:type="dxa"/>
              <w:bottom w:w="70" w:type="dxa"/>
              <w:end w:w="80" w:type="dxa"/>
            </w:tcMar>
            <w:vAlign w:val="top"/>
          </w:tcPr>
          <w:p>
            <w:pPr>
              <w:spacing w:after="20"/>
            </w:pPr>
            <w:r>
              <w:rPr>
                <w:sz w:val="16"/>
              </w:rPr>
              <w:t>An event can close while descendants remain active.</w:t>
            </w:r>
          </w:p>
        </w:tc>
      </w:tr>
      <w:tr>
        <w:tc>
          <w:tcPr>
            <w:tcW w:type="dxa" w:w="2880"/>
            <w:tcMar>
              <w:top w:w="70" w:type="dxa"/>
              <w:start w:w="80" w:type="dxa"/>
              <w:bottom w:w="70" w:type="dxa"/>
              <w:end w:w="80" w:type="dxa"/>
            </w:tcMar>
            <w:vAlign w:val="top"/>
          </w:tcPr>
          <w:p>
            <w:pPr>
              <w:spacing w:after="20"/>
            </w:pPr>
            <w:r>
              <w:rPr>
                <w:sz w:val="16"/>
              </w:rPr>
              <w:t>Time</w:t>
            </w:r>
          </w:p>
        </w:tc>
        <w:tc>
          <w:tcPr>
            <w:tcW w:type="dxa" w:w="3384"/>
            <w:tcMar>
              <w:top w:w="70" w:type="dxa"/>
              <w:start w:w="80" w:type="dxa"/>
              <w:bottom w:w="70" w:type="dxa"/>
              <w:end w:w="80" w:type="dxa"/>
            </w:tcMar>
            <w:vAlign w:val="top"/>
          </w:tcPr>
          <w:p>
            <w:pPr>
              <w:spacing w:after="20"/>
            </w:pPr>
            <w:r>
              <w:rPr>
                <w:sz w:val="16"/>
              </w:rPr>
              <w:t>Separate clock disagreement from causal-order disagreement.</w:t>
            </w:r>
          </w:p>
        </w:tc>
        <w:tc>
          <w:tcPr>
            <w:tcW w:type="dxa" w:w="4464"/>
            <w:tcMar>
              <w:top w:w="70" w:type="dxa"/>
              <w:start w:w="80" w:type="dxa"/>
              <w:bottom w:w="70" w:type="dxa"/>
              <w:end w:w="80" w:type="dxa"/>
            </w:tcMar>
            <w:vAlign w:val="top"/>
          </w:tcPr>
          <w:p>
            <w:pPr>
              <w:spacing w:after="20"/>
            </w:pPr>
            <w:r>
              <w:rPr>
                <w:sz w:val="16"/>
              </w:rPr>
              <w:t>Timezone/calendar variance is benign; causal inversion is stronger evidence.</w:t>
            </w:r>
          </w:p>
        </w:tc>
      </w:tr>
      <w:tr>
        <w:tc>
          <w:tcPr>
            <w:tcW w:type="dxa" w:w="2880"/>
            <w:tcMar>
              <w:top w:w="70" w:type="dxa"/>
              <w:start w:w="80" w:type="dxa"/>
              <w:bottom w:w="70" w:type="dxa"/>
              <w:end w:w="80" w:type="dxa"/>
            </w:tcMar>
            <w:vAlign w:val="top"/>
          </w:tcPr>
          <w:p>
            <w:pPr>
              <w:spacing w:after="20"/>
            </w:pPr>
            <w:r>
              <w:rPr>
                <w:sz w:val="16"/>
              </w:rPr>
              <w:t>Evidence</w:t>
            </w:r>
          </w:p>
        </w:tc>
        <w:tc>
          <w:tcPr>
            <w:tcW w:type="dxa" w:w="3384"/>
            <w:tcMar>
              <w:top w:w="70" w:type="dxa"/>
              <w:start w:w="80" w:type="dxa"/>
              <w:bottom w:w="70" w:type="dxa"/>
              <w:end w:w="80" w:type="dxa"/>
            </w:tcMar>
            <w:vAlign w:val="top"/>
          </w:tcPr>
          <w:p>
            <w:pPr>
              <w:spacing w:after="20"/>
            </w:pPr>
            <w:r>
              <w:rPr>
                <w:sz w:val="16"/>
              </w:rPr>
              <w:t>Require instrumentation-failure independence, deterministic replay, and independent recurrence.</w:t>
            </w:r>
          </w:p>
        </w:tc>
        <w:tc>
          <w:tcPr>
            <w:tcW w:type="dxa" w:w="4464"/>
            <w:tcMar>
              <w:top w:w="70" w:type="dxa"/>
              <w:start w:w="80" w:type="dxa"/>
              <w:bottom w:w="70" w:type="dxa"/>
              <w:end w:w="80" w:type="dxa"/>
            </w:tcMar>
            <w:vAlign w:val="top"/>
          </w:tcPr>
          <w:p>
            <w:pPr>
              <w:spacing w:after="20"/>
            </w:pPr>
            <w:r>
              <w:rPr>
                <w:sz w:val="16"/>
              </w:rPr>
              <w:t>Multiple sensors on one engine are not independent evidence.</w:t>
            </w:r>
          </w:p>
        </w:tc>
      </w:tr>
      <w:tr>
        <w:tc>
          <w:tcPr>
            <w:tcW w:type="dxa" w:w="2880"/>
            <w:tcMar>
              <w:top w:w="70" w:type="dxa"/>
              <w:start w:w="80" w:type="dxa"/>
              <w:bottom w:w="70" w:type="dxa"/>
              <w:end w:w="80" w:type="dxa"/>
            </w:tcMar>
            <w:vAlign w:val="top"/>
          </w:tcPr>
          <w:p>
            <w:pPr>
              <w:spacing w:after="20"/>
            </w:pPr>
            <w:r>
              <w:rPr>
                <w:sz w:val="16"/>
              </w:rPr>
              <w:t>Run duration</w:t>
            </w:r>
          </w:p>
        </w:tc>
        <w:tc>
          <w:tcPr>
            <w:tcW w:type="dxa" w:w="3384"/>
            <w:tcMar>
              <w:top w:w="70" w:type="dxa"/>
              <w:start w:w="80" w:type="dxa"/>
              <w:bottom w:w="70" w:type="dxa"/>
              <w:end w:w="80" w:type="dxa"/>
            </w:tcMar>
            <w:vAlign w:val="top"/>
          </w:tcPr>
          <w:p>
            <w:pPr>
              <w:spacing w:after="20"/>
            </w:pPr>
            <w:r>
              <w:rPr>
                <w:sz w:val="16"/>
              </w:rPr>
              <w:t>Use exit-criteria-driven pilot, then 7/14-day persistence campaign only if warranted.</w:t>
            </w:r>
          </w:p>
        </w:tc>
        <w:tc>
          <w:tcPr>
            <w:tcW w:type="dxa" w:w="4464"/>
            <w:tcMar>
              <w:top w:w="70" w:type="dxa"/>
              <w:start w:w="80" w:type="dxa"/>
              <w:bottom w:w="70" w:type="dxa"/>
              <w:end w:w="80" w:type="dxa"/>
            </w:tcMar>
            <w:vAlign w:val="top"/>
          </w:tcPr>
          <w:p>
            <w:pPr>
              <w:spacing w:after="20"/>
            </w:pPr>
            <w:r>
              <w:rPr>
                <w:sz w:val="16"/>
              </w:rPr>
              <w:t>Reconciles short prototype and long campaign models.</w:t>
            </w:r>
          </w:p>
        </w:tc>
      </w:tr>
      <w:tr>
        <w:tc>
          <w:tcPr>
            <w:tcW w:type="dxa" w:w="2880"/>
            <w:tcMar>
              <w:top w:w="70" w:type="dxa"/>
              <w:start w:w="80" w:type="dxa"/>
              <w:bottom w:w="70" w:type="dxa"/>
              <w:end w:w="80" w:type="dxa"/>
            </w:tcMar>
            <w:vAlign w:val="top"/>
          </w:tcPr>
          <w:p>
            <w:pPr>
              <w:spacing w:after="20"/>
            </w:pPr>
            <w:r>
              <w:rPr>
                <w:sz w:val="16"/>
              </w:rPr>
              <w:t>Root claims</w:t>
            </w:r>
          </w:p>
        </w:tc>
        <w:tc>
          <w:tcPr>
            <w:tcW w:type="dxa" w:w="3384"/>
            <w:tcMar>
              <w:top w:w="70" w:type="dxa"/>
              <w:start w:w="80" w:type="dxa"/>
              <w:bottom w:w="70" w:type="dxa"/>
              <w:end w:w="80" w:type="dxa"/>
            </w:tcMar>
            <w:vAlign w:val="top"/>
          </w:tcPr>
          <w:p>
            <w:pPr>
              <w:spacing w:after="20"/>
            </w:pPr>
            <w:r>
              <w:rPr>
                <w:sz w:val="16"/>
              </w:rPr>
              <w:t>Adopt R0–R4 reachability/compromise taxonomy.</w:t>
            </w:r>
          </w:p>
        </w:tc>
        <w:tc>
          <w:tcPr>
            <w:tcW w:type="dxa" w:w="4464"/>
            <w:tcMar>
              <w:top w:w="70" w:type="dxa"/>
              <w:start w:w="80" w:type="dxa"/>
              <w:bottom w:w="70" w:type="dxa"/>
              <w:end w:w="80" w:type="dxa"/>
            </w:tcMar>
            <w:vAlign w:val="top"/>
          </w:tcPr>
          <w:p>
            <w:pPr>
              <w:spacing w:after="20"/>
            </w:pPr>
            <w:r>
              <w:rPr>
                <w:sz w:val="16"/>
              </w:rPr>
              <w:t>Prevents “root involvement” from being mislabeled as compromise.</w:t>
            </w:r>
          </w:p>
        </w:tc>
      </w:tr>
      <w:tr>
        <w:tc>
          <w:tcPr>
            <w:tcW w:type="dxa" w:w="2880"/>
            <w:tcMar>
              <w:top w:w="70" w:type="dxa"/>
              <w:start w:w="80" w:type="dxa"/>
              <w:bottom w:w="70" w:type="dxa"/>
              <w:end w:w="80" w:type="dxa"/>
            </w:tcMar>
            <w:vAlign w:val="top"/>
          </w:tcPr>
          <w:p>
            <w:pPr>
              <w:spacing w:after="20"/>
            </w:pPr>
            <w:r>
              <w:rPr>
                <w:sz w:val="16"/>
              </w:rPr>
              <w:t>External methods</w:t>
            </w:r>
          </w:p>
        </w:tc>
        <w:tc>
          <w:tcPr>
            <w:tcW w:type="dxa" w:w="3384"/>
            <w:tcMar>
              <w:top w:w="70" w:type="dxa"/>
              <w:start w:w="80" w:type="dxa"/>
              <w:bottom w:w="70" w:type="dxa"/>
              <w:end w:w="80" w:type="dxa"/>
            </w:tcMar>
            <w:vAlign w:val="top"/>
          </w:tcPr>
          <w:p>
            <w:pPr>
              <w:spacing w:after="20"/>
            </w:pPr>
            <w:r>
              <w:rPr>
                <w:sz w:val="16"/>
              </w:rPr>
              <w:t>Use NASA M&amp;S credibility + NIST systems-security/resiliency as primary engineering anchors; structured debrief guidance as secondary.</w:t>
            </w:r>
          </w:p>
        </w:tc>
        <w:tc>
          <w:tcPr>
            <w:tcW w:type="dxa" w:w="4464"/>
            <w:tcMar>
              <w:top w:w="70" w:type="dxa"/>
              <w:start w:w="80" w:type="dxa"/>
              <w:bottom w:w="70" w:type="dxa"/>
              <w:end w:w="80" w:type="dxa"/>
            </w:tcMar>
            <w:vAlign w:val="top"/>
          </w:tcPr>
          <w:p>
            <w:pPr>
              <w:spacing w:after="20"/>
            </w:pPr>
            <w:r>
              <w:rPr>
                <w:sz w:val="16"/>
              </w:rPr>
              <w:t>Better methodological fit than physical simulation-center planning alone.</w:t>
            </w:r>
          </w:p>
        </w:tc>
      </w:tr>
    </w:tbl>
    <w:p>
      <w:pPr>
        <w:spacing w:after="0"/>
      </w:pPr>
    </w:p>
    <w:p>
      <w:pPr>
        <w:pStyle w:val="Heading1"/>
      </w:pPr>
      <w:r>
        <w:t>1. Executive Summary</w:t>
      </w:r>
    </w:p>
    <w:p>
      <w:r>
        <w:t>The Open Window Simulation Laboratory is a simulation-only research program for testing whether an interface’s visible presentation state reliably represents its underlying transfer state. The core concern is not that real consumer screens are literal portals. The laboratory models a class of nested environments in which media or interface endpoints may carry state across boundaries, then asks whether apparently closed, idle, black-screen, disconnected, or reset states actually terminate the relationship.</w:t>
      </w:r>
    </w:p>
    <w:p>
      <w:r>
        <w:t>Draft Pass 0.2 hardens the project from a rich worldbuilding concept into a falsifiable experimental architecture. It does this by separating doctrine from measurement; requiring explicit null hypotheses and acceptance criteria; distinguishing topology from privilege; adding model-credibility records; introducing independent instrumentation paths; tracking event descendants as well as event closure; and delaying temporal/root campaigns until simpler interface claims have passed reproducibility gates.</w:t>
      </w:r>
    </w:p>
    <w:tbl>
      <w:tblPr>
        <w:tblStyle w:val="TableGrid"/>
        <w:tblW w:type="auto" w:w="0"/>
        <w:jc w:val="center"/>
        <w:tblLook w:firstColumn="1" w:firstRow="1" w:lastColumn="0" w:lastRow="0" w:noHBand="0" w:noVBand="1" w:val="04A0"/>
      </w:tblPr>
      <w:tblGrid>
        <w:gridCol w:w="10454"/>
      </w:tblGrid>
      <w:tr>
        <w:tc>
          <w:tcPr>
            <w:tcW w:type="dxa" w:w="10454"/>
            <w:shd w:fill="EAF2F8"/>
            <w:tcMar>
              <w:top w:w="100" w:type="dxa"/>
              <w:start w:w="130" w:type="dxa"/>
              <w:bottom w:w="100" w:type="dxa"/>
              <w:end w:w="130" w:type="dxa"/>
            </w:tcMar>
          </w:tcPr>
          <w:p>
            <w:pPr>
              <w:pStyle w:val="Callout"/>
            </w:pPr>
            <w:r>
              <w:t>Central 0.2 research question: Can the laboratory distinguish a genuine cross-boundary phenomenon from model error, instrumentation dependence, synchronization artifact, observer contamination, rollback/replay effects, or an incorrect underlying ontology — and can it reproduce that distinction?</w:t>
            </w:r>
          </w:p>
        </w:tc>
      </w:tr>
    </w:tbl>
    <w:p>
      <w:pPr>
        <w:spacing w:after="0"/>
      </w:pPr>
    </w:p>
    <w:p>
      <w:pPr>
        <w:pStyle w:val="Heading1"/>
      </w:pPr>
      <w:r>
        <w:t>2. Basis, Provenance, and Source Roles</w:t>
      </w:r>
    </w:p>
    <w:p>
      <w:r>
        <w:t>The source set contains several synthesis branches rather than a single finalized canon. Draft Pass 0.2 therefore treats them as complementary inputs with explicit provenance.</w:t>
      </w:r>
    </w:p>
    <w:tbl>
      <w:tblPr>
        <w:tblStyle w:val="TableGrid"/>
        <w:tblW w:type="auto" w:w="0"/>
        <w:jc w:val="center"/>
        <w:tblLook w:firstColumn="1" w:firstRow="1" w:lastColumn="0" w:lastRow="0" w:noHBand="0" w:noVBand="1" w:val="04A0"/>
      </w:tblPr>
      <w:tblGrid>
        <w:gridCol w:w="3485"/>
        <w:gridCol w:w="3485"/>
        <w:gridCol w:w="3485"/>
      </w:tblGrid>
      <w:tr>
        <w:tc>
          <w:tcPr>
            <w:tcW w:type="dxa" w:w="2376"/>
            <w:shd w:fill="DCE7F1"/>
            <w:tcMar>
              <w:top w:w="70" w:type="dxa"/>
              <w:start w:w="80" w:type="dxa"/>
              <w:bottom w:w="70" w:type="dxa"/>
              <w:end w:w="80" w:type="dxa"/>
            </w:tcMar>
            <w:vAlign w:val="center"/>
          </w:tcPr>
          <w:p>
            <w:r>
              <w:rPr>
                <w:b/>
                <w:color w:val="183354"/>
                <w:sz w:val="16"/>
              </w:rPr>
              <w:t>Source / contributor</w:t>
            </w:r>
          </w:p>
        </w:tc>
        <w:tc>
          <w:tcPr>
            <w:tcW w:type="dxa" w:w="3816"/>
            <w:shd w:fill="DCE7F1"/>
            <w:tcMar>
              <w:top w:w="70" w:type="dxa"/>
              <w:start w:w="80" w:type="dxa"/>
              <w:bottom w:w="70" w:type="dxa"/>
              <w:end w:w="80" w:type="dxa"/>
            </w:tcMar>
            <w:vAlign w:val="center"/>
          </w:tcPr>
          <w:p>
            <w:r>
              <w:rPr>
                <w:b/>
                <w:color w:val="183354"/>
                <w:sz w:val="16"/>
              </w:rPr>
              <w:t>Primary retained contribution</w:t>
            </w:r>
          </w:p>
        </w:tc>
        <w:tc>
          <w:tcPr>
            <w:tcW w:type="dxa" w:w="4536"/>
            <w:shd w:fill="DCE7F1"/>
            <w:tcMar>
              <w:top w:w="70" w:type="dxa"/>
              <w:start w:w="80" w:type="dxa"/>
              <w:bottom w:w="70" w:type="dxa"/>
              <w:end w:w="80" w:type="dxa"/>
            </w:tcMar>
            <w:vAlign w:val="center"/>
          </w:tcPr>
          <w:p>
            <w:r>
              <w:rPr>
                <w:b/>
                <w:color w:val="183354"/>
                <w:sz w:val="16"/>
              </w:rPr>
              <w:t>0.2 treatment</w:t>
            </w:r>
          </w:p>
        </w:tc>
      </w:tr>
      <w:tr>
        <w:tc>
          <w:tcPr>
            <w:tcW w:type="dxa" w:w="2376"/>
            <w:tcMar>
              <w:top w:w="70" w:type="dxa"/>
              <w:start w:w="80" w:type="dxa"/>
              <w:bottom w:w="70" w:type="dxa"/>
              <w:end w:w="80" w:type="dxa"/>
            </w:tcMar>
            <w:vAlign w:val="top"/>
          </w:tcPr>
          <w:p>
            <w:pPr>
              <w:spacing w:after="20"/>
            </w:pPr>
            <w:r>
              <w:rPr>
                <w:sz w:val="16"/>
              </w:rPr>
              <w:t>ChatGPT preliminary v0.1</w:t>
            </w:r>
          </w:p>
        </w:tc>
        <w:tc>
          <w:tcPr>
            <w:tcW w:type="dxa" w:w="3816"/>
            <w:tcMar>
              <w:top w:w="70" w:type="dxa"/>
              <w:start w:w="80" w:type="dxa"/>
              <w:bottom w:w="70" w:type="dxa"/>
              <w:end w:w="80" w:type="dxa"/>
            </w:tcMar>
            <w:vAlign w:val="top"/>
          </w:tcPr>
          <w:p>
            <w:pPr>
              <w:spacing w:after="20"/>
            </w:pPr>
            <w:r>
              <w:rPr>
                <w:sz w:val="16"/>
              </w:rPr>
              <w:t>Interface-state decomposition; H1–H9; test matrix; safe proxies; evidence thresholds; funding tiers; decision gates.</w:t>
            </w:r>
          </w:p>
        </w:tc>
        <w:tc>
          <w:tcPr>
            <w:tcW w:type="dxa" w:w="4536"/>
            <w:tcMar>
              <w:top w:w="70" w:type="dxa"/>
              <w:start w:w="80" w:type="dxa"/>
              <w:bottom w:w="70" w:type="dxa"/>
              <w:end w:w="80" w:type="dxa"/>
            </w:tcMar>
            <w:vAlign w:val="top"/>
          </w:tcPr>
          <w:p>
            <w:pPr>
              <w:spacing w:after="20"/>
            </w:pPr>
            <w:r>
              <w:rPr>
                <w:sz w:val="16"/>
              </w:rPr>
              <w:t>Becomes experimental-method backbone; gaps in replication, metric-to-test mapping, and credibility accounting are filled.</w:t>
            </w:r>
          </w:p>
        </w:tc>
      </w:tr>
      <w:tr>
        <w:tc>
          <w:tcPr>
            <w:tcW w:type="dxa" w:w="2376"/>
            <w:tcMar>
              <w:top w:w="70" w:type="dxa"/>
              <w:start w:w="80" w:type="dxa"/>
              <w:bottom w:w="70" w:type="dxa"/>
              <w:end w:w="80" w:type="dxa"/>
            </w:tcMar>
            <w:vAlign w:val="top"/>
          </w:tcPr>
          <w:p>
            <w:pPr>
              <w:spacing w:after="20"/>
            </w:pPr>
            <w:r>
              <w:rPr>
                <w:sz w:val="16"/>
              </w:rPr>
              <w:t>Claude origin + v2.0</w:t>
            </w:r>
          </w:p>
        </w:tc>
        <w:tc>
          <w:tcPr>
            <w:tcW w:type="dxa" w:w="3816"/>
            <w:tcMar>
              <w:top w:w="70" w:type="dxa"/>
              <w:start w:w="80" w:type="dxa"/>
              <w:bottom w:w="70" w:type="dxa"/>
              <w:end w:w="80" w:type="dxa"/>
            </w:tcMar>
            <w:vAlign w:val="top"/>
          </w:tcPr>
          <w:p>
            <w:pPr>
              <w:spacing w:after="20"/>
            </w:pPr>
            <w:r>
              <w:rPr>
                <w:sz w:val="16"/>
              </w:rPr>
              <w:t>Open Window Doctrine naming; asymmetric awareness; convenience/exposure; time-discrepancy and reconciliation/root hypothesis; governance status.</w:t>
            </w:r>
          </w:p>
        </w:tc>
        <w:tc>
          <w:tcPr>
            <w:tcW w:type="dxa" w:w="4536"/>
            <w:tcMar>
              <w:top w:w="70" w:type="dxa"/>
              <w:start w:w="80" w:type="dxa"/>
              <w:bottom w:w="70" w:type="dxa"/>
              <w:end w:w="80" w:type="dxa"/>
            </w:tcMar>
            <w:vAlign w:val="top"/>
          </w:tcPr>
          <w:p>
            <w:pPr>
              <w:spacing w:after="20"/>
            </w:pPr>
            <w:r>
              <w:rPr>
                <w:sz w:val="16"/>
              </w:rPr>
              <w:t>Origin record preserved; root-time mechanism remains REPORTED/UNCONFIRMED until tested.</w:t>
            </w:r>
          </w:p>
        </w:tc>
      </w:tr>
      <w:tr>
        <w:tc>
          <w:tcPr>
            <w:tcW w:type="dxa" w:w="2376"/>
            <w:tcMar>
              <w:top w:w="70" w:type="dxa"/>
              <w:start w:w="80" w:type="dxa"/>
              <w:bottom w:w="70" w:type="dxa"/>
              <w:end w:w="80" w:type="dxa"/>
            </w:tcMar>
            <w:vAlign w:val="top"/>
          </w:tcPr>
          <w:p>
            <w:pPr>
              <w:spacing w:after="20"/>
            </w:pPr>
            <w:r>
              <w:rPr>
                <w:sz w:val="16"/>
              </w:rPr>
              <w:t>Grok protocol 0.1</w:t>
            </w:r>
          </w:p>
        </w:tc>
        <w:tc>
          <w:tcPr>
            <w:tcW w:type="dxa" w:w="3816"/>
            <w:tcMar>
              <w:top w:w="70" w:type="dxa"/>
              <w:start w:w="80" w:type="dxa"/>
              <w:bottom w:w="70" w:type="dxa"/>
              <w:end w:w="80" w:type="dxa"/>
            </w:tcMar>
            <w:vAlign w:val="top"/>
          </w:tcPr>
          <w:p>
            <w:pPr>
              <w:spacing w:after="20"/>
            </w:pPr>
            <w:r>
              <w:rPr>
                <w:sz w:val="16"/>
              </w:rPr>
              <w:t>Window Object schema; Layer 0–N stack; infection-as-probe; instrumentation suite; 14-day campaign; operator roles.</w:t>
            </w:r>
          </w:p>
        </w:tc>
        <w:tc>
          <w:tcPr>
            <w:tcW w:type="dxa" w:w="4536"/>
            <w:tcMar>
              <w:top w:w="70" w:type="dxa"/>
              <w:start w:w="80" w:type="dxa"/>
              <w:bottom w:w="70" w:type="dxa"/>
              <w:end w:w="80" w:type="dxa"/>
            </w:tcMar>
            <w:vAlign w:val="top"/>
          </w:tcPr>
          <w:p>
            <w:pPr>
              <w:spacing w:after="20"/>
            </w:pPr>
            <w:r>
              <w:rPr>
                <w:sz w:val="16"/>
              </w:rPr>
              <w:t>Window Object retained; long campaign moved after pilot; operator-blinding proposal gated by oversight.</w:t>
            </w:r>
          </w:p>
        </w:tc>
      </w:tr>
      <w:tr>
        <w:tc>
          <w:tcPr>
            <w:tcW w:type="dxa" w:w="2376"/>
            <w:tcMar>
              <w:top w:w="70" w:type="dxa"/>
              <w:start w:w="80" w:type="dxa"/>
              <w:bottom w:w="70" w:type="dxa"/>
              <w:end w:w="80" w:type="dxa"/>
            </w:tcMar>
            <w:vAlign w:val="top"/>
          </w:tcPr>
          <w:p>
            <w:pPr>
              <w:spacing w:after="20"/>
            </w:pPr>
            <w:r>
              <w:rPr>
                <w:sz w:val="16"/>
              </w:rPr>
              <w:t>Google Gemini</w:t>
            </w:r>
          </w:p>
        </w:tc>
        <w:tc>
          <w:tcPr>
            <w:tcW w:type="dxa" w:w="3816"/>
            <w:tcMar>
              <w:top w:w="70" w:type="dxa"/>
              <w:start w:w="80" w:type="dxa"/>
              <w:bottom w:w="70" w:type="dxa"/>
              <w:end w:w="80" w:type="dxa"/>
            </w:tcMar>
            <w:vAlign w:val="top"/>
          </w:tcPr>
          <w:p>
            <w:pPr>
              <w:spacing w:after="20"/>
            </w:pPr>
            <w:r>
              <w:rPr>
                <w:sz w:val="16"/>
              </w:rPr>
              <w:t>Domestic observation-chamber grounding; rapid-cycle media; named containment concepts; physical-bleed vividness.</w:t>
            </w:r>
          </w:p>
        </w:tc>
        <w:tc>
          <w:tcPr>
            <w:tcW w:type="dxa" w:w="4536"/>
            <w:tcMar>
              <w:top w:w="70" w:type="dxa"/>
              <w:start w:w="80" w:type="dxa"/>
              <w:bottom w:w="70" w:type="dxa"/>
              <w:end w:w="80" w:type="dxa"/>
            </w:tcMar>
            <w:vAlign w:val="top"/>
          </w:tcPr>
          <w:p>
            <w:pPr>
              <w:spacing w:after="20"/>
            </w:pPr>
            <w:r>
              <w:rPr>
                <w:sz w:val="16"/>
              </w:rPr>
              <w:t>Countermeasures are experimental conditions, not presumed solutions; harmful examples converted to benign proxies.</w:t>
            </w:r>
          </w:p>
        </w:tc>
      </w:tr>
      <w:tr>
        <w:tc>
          <w:tcPr>
            <w:tcW w:type="dxa" w:w="2376"/>
            <w:tcMar>
              <w:top w:w="70" w:type="dxa"/>
              <w:start w:w="80" w:type="dxa"/>
              <w:bottom w:w="70" w:type="dxa"/>
              <w:end w:w="80" w:type="dxa"/>
            </w:tcMar>
            <w:vAlign w:val="top"/>
          </w:tcPr>
          <w:p>
            <w:pPr>
              <w:spacing w:after="20"/>
            </w:pPr>
            <w:r>
              <w:rPr>
                <w:sz w:val="16"/>
              </w:rPr>
              <w:t>Perplexity alternative analysis</w:t>
            </w:r>
          </w:p>
        </w:tc>
        <w:tc>
          <w:tcPr>
            <w:tcW w:type="dxa" w:w="3816"/>
            <w:tcMar>
              <w:top w:w="70" w:type="dxa"/>
              <w:start w:w="80" w:type="dxa"/>
              <w:bottom w:w="70" w:type="dxa"/>
              <w:end w:w="80" w:type="dxa"/>
            </w:tcMar>
            <w:vAlign w:val="top"/>
          </w:tcPr>
          <w:p>
            <w:pPr>
              <w:spacing w:after="20"/>
            </w:pPr>
            <w:r>
              <w:rPr>
                <w:sz w:val="16"/>
              </w:rPr>
              <w:t>Configuration-control critique; metric consolidation; confirmation-bias warning; sensor-agreement illusion; stop/go and governance recommendations.</w:t>
            </w:r>
          </w:p>
        </w:tc>
        <w:tc>
          <w:tcPr>
            <w:tcW w:type="dxa" w:w="4536"/>
            <w:tcMar>
              <w:top w:w="70" w:type="dxa"/>
              <w:start w:w="80" w:type="dxa"/>
              <w:bottom w:w="70" w:type="dxa"/>
              <w:end w:w="80" w:type="dxa"/>
            </w:tcMar>
            <w:vAlign w:val="top"/>
          </w:tcPr>
          <w:p>
            <w:pPr>
              <w:spacing w:after="20"/>
            </w:pPr>
            <w:r>
              <w:rPr>
                <w:sz w:val="16"/>
              </w:rPr>
              <w:t>Governance, metric dictionary, pre-registration, and sensor-independence concerns incorporated; claims of “definitive merges” and healthcare-lab emphasis are moderated.</w:t>
            </w:r>
          </w:p>
        </w:tc>
      </w:tr>
    </w:tbl>
    <w:p>
      <w:pPr>
        <w:spacing w:after="0"/>
      </w:pPr>
    </w:p>
    <w:p>
      <w:pPr>
        <w:pStyle w:val="Heading2"/>
      </w:pPr>
      <w:r>
        <w:t>2.1 External engineering references used in this pass</w:t>
      </w:r>
    </w:p>
    <w:p>
      <w:pPr>
        <w:pStyle w:val="ListBullet"/>
        <w:spacing w:after="40"/>
      </w:pPr>
      <w:r>
        <w:t>NASA-STD-7009B (2024), Standard for Models and Simulations: used as a credibility/requirements/acceptance-criteria anchor for simulation products.</w:t>
      </w:r>
    </w:p>
    <w:p>
      <w:pPr>
        <w:pStyle w:val="ListBullet"/>
        <w:spacing w:after="40"/>
      </w:pPr>
      <w:r>
        <w:t>NASA-HDBK-7009B (2026), implementation guidance for NASA-STD-7009B: used to motivate a model-credibility ledger, evidence traceability, and disciplined model consumption.</w:t>
      </w:r>
    </w:p>
    <w:p>
      <w:pPr>
        <w:pStyle w:val="ListBullet"/>
        <w:spacing w:after="40"/>
      </w:pPr>
      <w:r>
        <w:t>NIST SP 800-160 Vol. 1 Rev. 1: used for systems-security engineering, trustworthiness, and explicit trust/privilege boundaries.</w:t>
      </w:r>
    </w:p>
    <w:p>
      <w:pPr>
        <w:pStyle w:val="ListBullet"/>
        <w:spacing w:after="40"/>
      </w:pPr>
      <w:r>
        <w:t>NIST SP 800-160 Vol. 2 Rev. 1: used for resilience objectives — anticipate, withstand, recover, adapt — and for recovery/containment framing.</w:t>
      </w:r>
    </w:p>
    <w:p>
      <w:pPr>
        <w:pStyle w:val="ListBullet"/>
        <w:spacing w:after="40"/>
      </w:pPr>
      <w:r>
        <w:t>INACSL Healthcare Simulation Standards of Best Practice: used only as a secondary source for structured prebrief/debrief/after-action discipline, not as the primary physical-lab design model.</w:t>
      </w:r>
    </w:p>
    <w:p>
      <w:pPr>
        <w:pStyle w:val="Heading1"/>
      </w:pPr>
      <w:r>
        <w:t>3. Needs Assessment and Intended Decisions</w:t>
      </w:r>
    </w:p>
    <w:p>
      <w:r>
        <w:t>Perplexity correctly identified that the project had not clearly stated which decisions the lab must support. Draft 0.2 therefore defines the program need before additional scenario growth.</w:t>
      </w:r>
    </w:p>
    <w:tbl>
      <w:tblPr>
        <w:tblStyle w:val="TableGrid"/>
        <w:tblW w:type="auto" w:w="0"/>
        <w:jc w:val="center"/>
        <w:tblLook w:firstColumn="1" w:firstRow="1" w:lastColumn="0" w:lastRow="0" w:noHBand="0" w:noVBand="1" w:val="04A0"/>
      </w:tblPr>
      <w:tblGrid>
        <w:gridCol w:w="3485"/>
        <w:gridCol w:w="3485"/>
        <w:gridCol w:w="3485"/>
      </w:tblGrid>
      <w:tr>
        <w:tc>
          <w:tcPr>
            <w:tcW w:type="dxa" w:w="2664"/>
            <w:shd w:fill="DCE7F1"/>
            <w:tcMar>
              <w:top w:w="70" w:type="dxa"/>
              <w:start w:w="80" w:type="dxa"/>
              <w:bottom w:w="70" w:type="dxa"/>
              <w:end w:w="80" w:type="dxa"/>
            </w:tcMar>
            <w:vAlign w:val="center"/>
          </w:tcPr>
          <w:p>
            <w:r>
              <w:rPr>
                <w:b/>
                <w:color w:val="183354"/>
                <w:sz w:val="16"/>
              </w:rPr>
              <w:t>Need</w:t>
            </w:r>
          </w:p>
        </w:tc>
        <w:tc>
          <w:tcPr>
            <w:tcW w:type="dxa" w:w="3528"/>
            <w:shd w:fill="DCE7F1"/>
            <w:tcMar>
              <w:top w:w="70" w:type="dxa"/>
              <w:start w:w="80" w:type="dxa"/>
              <w:bottom w:w="70" w:type="dxa"/>
              <w:end w:w="80" w:type="dxa"/>
            </w:tcMar>
            <w:vAlign w:val="center"/>
          </w:tcPr>
          <w:p>
            <w:r>
              <w:rPr>
                <w:b/>
                <w:color w:val="183354"/>
                <w:sz w:val="16"/>
              </w:rPr>
              <w:t>Decision supported</w:t>
            </w:r>
          </w:p>
        </w:tc>
        <w:tc>
          <w:tcPr>
            <w:tcW w:type="dxa" w:w="4608"/>
            <w:shd w:fill="DCE7F1"/>
            <w:tcMar>
              <w:top w:w="70" w:type="dxa"/>
              <w:start w:w="80" w:type="dxa"/>
              <w:bottom w:w="70" w:type="dxa"/>
              <w:end w:w="80" w:type="dxa"/>
            </w:tcMar>
            <w:vAlign w:val="center"/>
          </w:tcPr>
          <w:p>
            <w:r>
              <w:rPr>
                <w:b/>
                <w:color w:val="183354"/>
                <w:sz w:val="16"/>
              </w:rPr>
              <w:t>Evidence required</w:t>
            </w:r>
          </w:p>
        </w:tc>
      </w:tr>
      <w:tr>
        <w:tc>
          <w:tcPr>
            <w:tcW w:type="dxa" w:w="2664"/>
            <w:tcMar>
              <w:top w:w="70" w:type="dxa"/>
              <w:start w:w="80" w:type="dxa"/>
              <w:bottom w:w="70" w:type="dxa"/>
              <w:end w:w="80" w:type="dxa"/>
            </w:tcMar>
            <w:vAlign w:val="top"/>
          </w:tcPr>
          <w:p>
            <w:pPr>
              <w:spacing w:after="20"/>
            </w:pPr>
            <w:r>
              <w:rPr>
                <w:sz w:val="16"/>
              </w:rPr>
              <w:t>Interface-state ambiguity</w:t>
            </w:r>
          </w:p>
        </w:tc>
        <w:tc>
          <w:tcPr>
            <w:tcW w:type="dxa" w:w="3528"/>
            <w:tcMar>
              <w:top w:w="70" w:type="dxa"/>
              <w:start w:w="80" w:type="dxa"/>
              <w:bottom w:w="70" w:type="dxa"/>
              <w:end w:w="80" w:type="dxa"/>
            </w:tcMar>
            <w:vAlign w:val="top"/>
          </w:tcPr>
          <w:p>
            <w:pPr>
              <w:spacing w:after="20"/>
            </w:pPr>
            <w:r>
              <w:rPr>
                <w:sz w:val="16"/>
              </w:rPr>
              <w:t>Can visible closure be trusted as isolation?</w:t>
            </w:r>
          </w:p>
        </w:tc>
        <w:tc>
          <w:tcPr>
            <w:tcW w:type="dxa" w:w="4608"/>
            <w:tcMar>
              <w:top w:w="70" w:type="dxa"/>
              <w:start w:w="80" w:type="dxa"/>
              <w:bottom w:w="70" w:type="dxa"/>
              <w:end w:w="80" w:type="dxa"/>
            </w:tcMar>
            <w:vAlign w:val="top"/>
          </w:tcPr>
          <w:p>
            <w:pPr>
              <w:spacing w:after="20"/>
            </w:pPr>
            <w:r>
              <w:rPr>
                <w:sz w:val="16"/>
              </w:rPr>
              <w:t>Repeated black-screen/off/closed/disconnected trials with verified positive and negative controls.</w:t>
            </w:r>
          </w:p>
        </w:tc>
      </w:tr>
      <w:tr>
        <w:tc>
          <w:tcPr>
            <w:tcW w:type="dxa" w:w="2664"/>
            <w:tcMar>
              <w:top w:w="70" w:type="dxa"/>
              <w:start w:w="80" w:type="dxa"/>
              <w:bottom w:w="70" w:type="dxa"/>
              <w:end w:w="80" w:type="dxa"/>
            </w:tcMar>
            <w:vAlign w:val="top"/>
          </w:tcPr>
          <w:p>
            <w:pPr>
              <w:spacing w:after="20"/>
            </w:pPr>
            <w:r>
              <w:rPr>
                <w:sz w:val="16"/>
              </w:rPr>
              <w:t>Unknown-vector admission</w:t>
            </w:r>
          </w:p>
        </w:tc>
        <w:tc>
          <w:tcPr>
            <w:tcW w:type="dxa" w:w="3528"/>
            <w:tcMar>
              <w:top w:w="70" w:type="dxa"/>
              <w:start w:w="80" w:type="dxa"/>
              <w:bottom w:w="70" w:type="dxa"/>
              <w:end w:w="80" w:type="dxa"/>
            </w:tcMar>
            <w:vAlign w:val="top"/>
          </w:tcPr>
          <w:p>
            <w:pPr>
              <w:spacing w:after="20"/>
            </w:pPr>
            <w:r>
              <w:rPr>
                <w:sz w:val="16"/>
              </w:rPr>
              <w:t>Is recognition required before containment?</w:t>
            </w:r>
          </w:p>
        </w:tc>
        <w:tc>
          <w:tcPr>
            <w:tcW w:type="dxa" w:w="4608"/>
            <w:tcMar>
              <w:top w:w="70" w:type="dxa"/>
              <w:start w:w="80" w:type="dxa"/>
              <w:bottom w:w="70" w:type="dxa"/>
              <w:end w:w="80" w:type="dxa"/>
            </w:tcMar>
            <w:vAlign w:val="top"/>
          </w:tcPr>
          <w:p>
            <w:pPr>
              <w:spacing w:after="20"/>
            </w:pPr>
            <w:r>
              <w:rPr>
                <w:sz w:val="16"/>
              </w:rPr>
              <w:t>Benign unknown marker tested through Interface Airlock vs direct path.</w:t>
            </w:r>
          </w:p>
        </w:tc>
      </w:tr>
      <w:tr>
        <w:tc>
          <w:tcPr>
            <w:tcW w:type="dxa" w:w="2664"/>
            <w:tcMar>
              <w:top w:w="70" w:type="dxa"/>
              <w:start w:w="80" w:type="dxa"/>
              <w:bottom w:w="70" w:type="dxa"/>
              <w:end w:w="80" w:type="dxa"/>
            </w:tcMar>
            <w:vAlign w:val="top"/>
          </w:tcPr>
          <w:p>
            <w:pPr>
              <w:spacing w:after="20"/>
            </w:pPr>
            <w:r>
              <w:rPr>
                <w:sz w:val="16"/>
              </w:rPr>
              <w:t>Carrier transformation</w:t>
            </w:r>
          </w:p>
        </w:tc>
        <w:tc>
          <w:tcPr>
            <w:tcW w:type="dxa" w:w="3528"/>
            <w:tcMar>
              <w:top w:w="70" w:type="dxa"/>
              <w:start w:w="80" w:type="dxa"/>
              <w:bottom w:w="70" w:type="dxa"/>
              <w:end w:w="80" w:type="dxa"/>
            </w:tcMar>
            <w:vAlign w:val="top"/>
          </w:tcPr>
          <w:p>
            <w:pPr>
              <w:spacing w:after="20"/>
            </w:pPr>
            <w:r>
              <w:rPr>
                <w:sz w:val="16"/>
              </w:rPr>
              <w:t>Can state survive removal of its original host?</w:t>
            </w:r>
          </w:p>
        </w:tc>
        <w:tc>
          <w:tcPr>
            <w:tcW w:type="dxa" w:w="4608"/>
            <w:tcMar>
              <w:top w:w="70" w:type="dxa"/>
              <w:start w:w="80" w:type="dxa"/>
              <w:bottom w:w="70" w:type="dxa"/>
              <w:end w:w="80" w:type="dxa"/>
            </w:tcMar>
            <w:vAlign w:val="top"/>
          </w:tcPr>
          <w:p>
            <w:pPr>
              <w:spacing w:after="20"/>
            </w:pPr>
            <w:r>
              <w:rPr>
                <w:sz w:val="16"/>
              </w:rPr>
              <w:t>Provenance ledger showing descendant state after original event termination.</w:t>
            </w:r>
          </w:p>
        </w:tc>
      </w:tr>
      <w:tr>
        <w:tc>
          <w:tcPr>
            <w:tcW w:type="dxa" w:w="2664"/>
            <w:tcMar>
              <w:top w:w="70" w:type="dxa"/>
              <w:start w:w="80" w:type="dxa"/>
              <w:bottom w:w="70" w:type="dxa"/>
              <w:end w:w="80" w:type="dxa"/>
            </w:tcMar>
            <w:vAlign w:val="top"/>
          </w:tcPr>
          <w:p>
            <w:pPr>
              <w:spacing w:after="20"/>
            </w:pPr>
            <w:r>
              <w:rPr>
                <w:sz w:val="16"/>
              </w:rPr>
              <w:t>Temporal inconsistency</w:t>
            </w:r>
          </w:p>
        </w:tc>
        <w:tc>
          <w:tcPr>
            <w:tcW w:type="dxa" w:w="3528"/>
            <w:tcMar>
              <w:top w:w="70" w:type="dxa"/>
              <w:start w:w="80" w:type="dxa"/>
              <w:bottom w:w="70" w:type="dxa"/>
              <w:end w:w="80" w:type="dxa"/>
            </w:tcMar>
            <w:vAlign w:val="top"/>
          </w:tcPr>
          <w:p>
            <w:pPr>
              <w:spacing w:after="20"/>
            </w:pPr>
            <w:r>
              <w:rPr>
                <w:sz w:val="16"/>
              </w:rPr>
              <w:t>Does timing reveal architecture or merely local convention?</w:t>
            </w:r>
          </w:p>
        </w:tc>
        <w:tc>
          <w:tcPr>
            <w:tcW w:type="dxa" w:w="4608"/>
            <w:tcMar>
              <w:top w:w="70" w:type="dxa"/>
              <w:start w:w="80" w:type="dxa"/>
              <w:bottom w:w="70" w:type="dxa"/>
              <w:end w:w="80" w:type="dxa"/>
            </w:tcMar>
            <w:vAlign w:val="top"/>
          </w:tcPr>
          <w:p>
            <w:pPr>
              <w:spacing w:after="20"/>
            </w:pPr>
            <w:r>
              <w:rPr>
                <w:sz w:val="16"/>
              </w:rPr>
              <w:t>Native clocks + monotonic time + event sequence + causal-order checks.</w:t>
            </w:r>
          </w:p>
        </w:tc>
      </w:tr>
      <w:tr>
        <w:tc>
          <w:tcPr>
            <w:tcW w:type="dxa" w:w="2664"/>
            <w:tcMar>
              <w:top w:w="70" w:type="dxa"/>
              <w:start w:w="80" w:type="dxa"/>
              <w:bottom w:w="70" w:type="dxa"/>
              <w:end w:w="80" w:type="dxa"/>
            </w:tcMar>
            <w:vAlign w:val="top"/>
          </w:tcPr>
          <w:p>
            <w:pPr>
              <w:spacing w:after="20"/>
            </w:pPr>
            <w:r>
              <w:rPr>
                <w:sz w:val="16"/>
              </w:rPr>
              <w:t>Observer reliability</w:t>
            </w:r>
          </w:p>
        </w:tc>
        <w:tc>
          <w:tcPr>
            <w:tcW w:type="dxa" w:w="3528"/>
            <w:tcMar>
              <w:top w:w="70" w:type="dxa"/>
              <w:start w:w="80" w:type="dxa"/>
              <w:bottom w:w="70" w:type="dxa"/>
              <w:end w:w="80" w:type="dxa"/>
            </w:tcMar>
            <w:vAlign w:val="top"/>
          </w:tcPr>
          <w:p>
            <w:pPr>
              <w:spacing w:after="20"/>
            </w:pPr>
            <w:r>
              <w:rPr>
                <w:sz w:val="16"/>
              </w:rPr>
              <w:t>Can Layer 0 independently validate Layer 1?</w:t>
            </w:r>
          </w:p>
        </w:tc>
        <w:tc>
          <w:tcPr>
            <w:tcW w:type="dxa" w:w="4608"/>
            <w:tcMar>
              <w:top w:w="70" w:type="dxa"/>
              <w:start w:w="80" w:type="dxa"/>
              <w:bottom w:w="70" w:type="dxa"/>
              <w:end w:w="80" w:type="dxa"/>
            </w:tcMar>
            <w:vAlign w:val="top"/>
          </w:tcPr>
          <w:p>
            <w:pPr>
              <w:spacing w:after="20"/>
            </w:pPr>
            <w:r>
              <w:rPr>
                <w:sz w:val="16"/>
              </w:rPr>
              <w:t>Failure-independent telemetry and deliberate sensor-fault trials.</w:t>
            </w:r>
          </w:p>
        </w:tc>
      </w:tr>
      <w:tr>
        <w:tc>
          <w:tcPr>
            <w:tcW w:type="dxa" w:w="2664"/>
            <w:tcMar>
              <w:top w:w="70" w:type="dxa"/>
              <w:start w:w="80" w:type="dxa"/>
              <w:bottom w:w="70" w:type="dxa"/>
              <w:end w:w="80" w:type="dxa"/>
            </w:tcMar>
            <w:vAlign w:val="top"/>
          </w:tcPr>
          <w:p>
            <w:pPr>
              <w:spacing w:after="20"/>
            </w:pPr>
            <w:r>
              <w:rPr>
                <w:sz w:val="16"/>
              </w:rPr>
              <w:t>Root-conditioned failure</w:t>
            </w:r>
          </w:p>
        </w:tc>
        <w:tc>
          <w:tcPr>
            <w:tcW w:type="dxa" w:w="3528"/>
            <w:tcMar>
              <w:top w:w="70" w:type="dxa"/>
              <w:start w:w="80" w:type="dxa"/>
              <w:bottom w:w="70" w:type="dxa"/>
              <w:end w:w="80" w:type="dxa"/>
            </w:tcMar>
            <w:vAlign w:val="top"/>
          </w:tcPr>
          <w:p>
            <w:pPr>
              <w:spacing w:after="20"/>
            </w:pPr>
            <w:r>
              <w:rPr>
                <w:sz w:val="16"/>
              </w:rPr>
              <w:t>Can a lower-layer state influence a privileged dependency?</w:t>
            </w:r>
          </w:p>
        </w:tc>
        <w:tc>
          <w:tcPr>
            <w:tcW w:type="dxa" w:w="4608"/>
            <w:tcMar>
              <w:top w:w="70" w:type="dxa"/>
              <w:start w:w="80" w:type="dxa"/>
              <w:bottom w:w="70" w:type="dxa"/>
              <w:end w:w="80" w:type="dxa"/>
            </w:tcMar>
            <w:vAlign w:val="top"/>
          </w:tcPr>
          <w:p>
            <w:pPr>
              <w:spacing w:after="20"/>
            </w:pPr>
            <w:r>
              <w:rPr>
                <w:sz w:val="16"/>
              </w:rPr>
              <w:t>R0–R4 reachability evidence with privilege-boundary logging; propagation alone insufficient.</w:t>
            </w:r>
          </w:p>
        </w:tc>
      </w:tr>
    </w:tbl>
    <w:p>
      <w:pPr>
        <w:spacing w:after="0"/>
      </w:pPr>
    </w:p>
    <w:p>
      <w:pPr>
        <w:pStyle w:val="Heading1"/>
      </w:pPr>
      <w:r>
        <w:t>4. Controlled Definitions Ledger</w:t>
      </w:r>
    </w:p>
    <w:tbl>
      <w:tblPr>
        <w:tblStyle w:val="TableGrid"/>
        <w:tblW w:type="auto" w:w="0"/>
        <w:jc w:val="center"/>
        <w:tblLook w:firstColumn="1" w:firstRow="1" w:lastColumn="0" w:lastRow="0" w:noHBand="0" w:noVBand="1" w:val="04A0"/>
      </w:tblPr>
      <w:tblGrid>
        <w:gridCol w:w="5227"/>
        <w:gridCol w:w="5227"/>
      </w:tblGrid>
      <w:tr>
        <w:tc>
          <w:tcPr>
            <w:tcW w:type="dxa" w:w="2376"/>
            <w:shd w:fill="DCE7F1"/>
            <w:tcMar>
              <w:top w:w="70" w:type="dxa"/>
              <w:start w:w="80" w:type="dxa"/>
              <w:bottom w:w="70" w:type="dxa"/>
              <w:end w:w="80" w:type="dxa"/>
            </w:tcMar>
            <w:vAlign w:val="center"/>
          </w:tcPr>
          <w:p>
            <w:r>
              <w:rPr>
                <w:b/>
                <w:color w:val="183354"/>
                <w:sz w:val="16"/>
              </w:rPr>
              <w:t>Term</w:t>
            </w:r>
          </w:p>
        </w:tc>
        <w:tc>
          <w:tcPr>
            <w:tcW w:type="dxa" w:w="8352"/>
            <w:shd w:fill="DCE7F1"/>
            <w:tcMar>
              <w:top w:w="70" w:type="dxa"/>
              <w:start w:w="80" w:type="dxa"/>
              <w:bottom w:w="70" w:type="dxa"/>
              <w:end w:w="80" w:type="dxa"/>
            </w:tcMar>
            <w:vAlign w:val="center"/>
          </w:tcPr>
          <w:p>
            <w:r>
              <w:rPr>
                <w:b/>
                <w:color w:val="183354"/>
                <w:sz w:val="16"/>
              </w:rPr>
              <w:t>Draft 0.2 operational definition</w:t>
            </w:r>
          </w:p>
        </w:tc>
      </w:tr>
      <w:tr>
        <w:tc>
          <w:tcPr>
            <w:tcW w:type="dxa" w:w="2376"/>
            <w:tcMar>
              <w:top w:w="70" w:type="dxa"/>
              <w:start w:w="80" w:type="dxa"/>
              <w:bottom w:w="70" w:type="dxa"/>
              <w:end w:w="80" w:type="dxa"/>
            </w:tcMar>
            <w:vAlign w:val="top"/>
          </w:tcPr>
          <w:p>
            <w:pPr>
              <w:spacing w:after="20"/>
            </w:pPr>
            <w:r>
              <w:rPr>
                <w:sz w:val="16"/>
              </w:rPr>
              <w:t>Window / interface</w:t>
            </w:r>
          </w:p>
        </w:tc>
        <w:tc>
          <w:tcPr>
            <w:tcW w:type="dxa" w:w="8352"/>
            <w:tcMar>
              <w:top w:w="70" w:type="dxa"/>
              <w:start w:w="80" w:type="dxa"/>
              <w:bottom w:w="70" w:type="dxa"/>
              <w:end w:w="80" w:type="dxa"/>
            </w:tcMar>
            <w:vAlign w:val="top"/>
          </w:tcPr>
          <w:p>
            <w:pPr>
              <w:spacing w:after="20"/>
            </w:pPr>
            <w:r>
              <w:rPr>
                <w:sz w:val="16"/>
              </w:rPr>
              <w:t>A modeled boundary object capable of carrying one or more state classes between environments.</w:t>
            </w:r>
          </w:p>
        </w:tc>
      </w:tr>
      <w:tr>
        <w:tc>
          <w:tcPr>
            <w:tcW w:type="dxa" w:w="2376"/>
            <w:tcMar>
              <w:top w:w="70" w:type="dxa"/>
              <w:start w:w="80" w:type="dxa"/>
              <w:bottom w:w="70" w:type="dxa"/>
              <w:end w:w="80" w:type="dxa"/>
            </w:tcMar>
            <w:vAlign w:val="top"/>
          </w:tcPr>
          <w:p>
            <w:pPr>
              <w:spacing w:after="20"/>
            </w:pPr>
            <w:r>
              <w:rPr>
                <w:sz w:val="16"/>
              </w:rPr>
              <w:t>Presentation state</w:t>
            </w:r>
          </w:p>
        </w:tc>
        <w:tc>
          <w:tcPr>
            <w:tcW w:type="dxa" w:w="8352"/>
            <w:tcMar>
              <w:top w:w="70" w:type="dxa"/>
              <w:start w:w="80" w:type="dxa"/>
              <w:bottom w:w="70" w:type="dxa"/>
              <w:end w:w="80" w:type="dxa"/>
            </w:tcMar>
            <w:vAlign w:val="top"/>
          </w:tcPr>
          <w:p>
            <w:pPr>
              <w:spacing w:after="20"/>
            </w:pPr>
            <w:r>
              <w:rPr>
                <w:sz w:val="16"/>
              </w:rPr>
              <w:t>What an inhabitant sees: active, black, minimized, asleep, error, etc.</w:t>
            </w:r>
          </w:p>
        </w:tc>
      </w:tr>
      <w:tr>
        <w:tc>
          <w:tcPr>
            <w:tcW w:type="dxa" w:w="2376"/>
            <w:tcMar>
              <w:top w:w="70" w:type="dxa"/>
              <w:start w:w="80" w:type="dxa"/>
              <w:bottom w:w="70" w:type="dxa"/>
              <w:end w:w="80" w:type="dxa"/>
            </w:tcMar>
            <w:vAlign w:val="top"/>
          </w:tcPr>
          <w:p>
            <w:pPr>
              <w:spacing w:after="20"/>
            </w:pPr>
            <w:r>
              <w:rPr>
                <w:sz w:val="16"/>
              </w:rPr>
              <w:t>Transfer state</w:t>
            </w:r>
          </w:p>
        </w:tc>
        <w:tc>
          <w:tcPr>
            <w:tcW w:type="dxa" w:w="8352"/>
            <w:tcMar>
              <w:top w:w="70" w:type="dxa"/>
              <w:start w:w="80" w:type="dxa"/>
              <w:bottom w:w="70" w:type="dxa"/>
              <w:end w:w="80" w:type="dxa"/>
            </w:tcMar>
            <w:vAlign w:val="top"/>
          </w:tcPr>
          <w:p>
            <w:pPr>
              <w:spacing w:after="20"/>
            </w:pPr>
            <w:r>
              <w:rPr>
                <w:sz w:val="16"/>
              </w:rPr>
              <w:t>Whether any allowed or latent state can cross the boundary, independent of presentation.</w:t>
            </w:r>
          </w:p>
        </w:tc>
      </w:tr>
      <w:tr>
        <w:tc>
          <w:tcPr>
            <w:tcW w:type="dxa" w:w="2376"/>
            <w:tcMar>
              <w:top w:w="70" w:type="dxa"/>
              <w:start w:w="80" w:type="dxa"/>
              <w:bottom w:w="70" w:type="dxa"/>
              <w:end w:w="80" w:type="dxa"/>
            </w:tcMar>
            <w:vAlign w:val="top"/>
          </w:tcPr>
          <w:p>
            <w:pPr>
              <w:spacing w:after="20"/>
            </w:pPr>
            <w:r>
              <w:rPr>
                <w:sz w:val="16"/>
              </w:rPr>
              <w:t>Exposure</w:t>
            </w:r>
          </w:p>
        </w:tc>
        <w:tc>
          <w:tcPr>
            <w:tcW w:type="dxa" w:w="8352"/>
            <w:tcMar>
              <w:top w:w="70" w:type="dxa"/>
              <w:start w:w="80" w:type="dxa"/>
              <w:bottom w:w="70" w:type="dxa"/>
              <w:end w:w="80" w:type="dxa"/>
            </w:tcMar>
            <w:vAlign w:val="top"/>
          </w:tcPr>
          <w:p>
            <w:pPr>
              <w:spacing w:after="20"/>
            </w:pPr>
            <w:r>
              <w:rPr>
                <w:sz w:val="16"/>
              </w:rPr>
              <w:t>A target environment or agent receives the marker/state.</w:t>
            </w:r>
          </w:p>
        </w:tc>
      </w:tr>
      <w:tr>
        <w:tc>
          <w:tcPr>
            <w:tcW w:type="dxa" w:w="2376"/>
            <w:tcMar>
              <w:top w:w="70" w:type="dxa"/>
              <w:start w:w="80" w:type="dxa"/>
              <w:bottom w:w="70" w:type="dxa"/>
              <w:end w:w="80" w:type="dxa"/>
            </w:tcMar>
            <w:vAlign w:val="top"/>
          </w:tcPr>
          <w:p>
            <w:pPr>
              <w:spacing w:after="20"/>
            </w:pPr>
            <w:r>
              <w:rPr>
                <w:sz w:val="16"/>
              </w:rPr>
              <w:t>Contamination</w:t>
            </w:r>
          </w:p>
        </w:tc>
        <w:tc>
          <w:tcPr>
            <w:tcW w:type="dxa" w:w="8352"/>
            <w:tcMar>
              <w:top w:w="70" w:type="dxa"/>
              <w:start w:w="80" w:type="dxa"/>
              <w:bottom w:w="70" w:type="dxa"/>
              <w:end w:w="80" w:type="dxa"/>
            </w:tcMar>
            <w:vAlign w:val="top"/>
          </w:tcPr>
          <w:p>
            <w:pPr>
              <w:spacing w:after="20"/>
            </w:pPr>
            <w:r>
              <w:rPr>
                <w:sz w:val="16"/>
              </w:rPr>
              <w:t>Received state persists beyond the immediate transfer interval or alters local state.</w:t>
            </w:r>
          </w:p>
        </w:tc>
      </w:tr>
      <w:tr>
        <w:tc>
          <w:tcPr>
            <w:tcW w:type="dxa" w:w="2376"/>
            <w:tcMar>
              <w:top w:w="70" w:type="dxa"/>
              <w:start w:w="80" w:type="dxa"/>
              <w:bottom w:w="70" w:type="dxa"/>
              <w:end w:w="80" w:type="dxa"/>
            </w:tcMar>
            <w:vAlign w:val="top"/>
          </w:tcPr>
          <w:p>
            <w:pPr>
              <w:spacing w:after="20"/>
            </w:pPr>
            <w:r>
              <w:rPr>
                <w:sz w:val="16"/>
              </w:rPr>
              <w:t>Persistence</w:t>
            </w:r>
          </w:p>
        </w:tc>
        <w:tc>
          <w:tcPr>
            <w:tcW w:type="dxa" w:w="8352"/>
            <w:tcMar>
              <w:top w:w="70" w:type="dxa"/>
              <w:start w:w="80" w:type="dxa"/>
              <w:bottom w:w="70" w:type="dxa"/>
              <w:end w:w="80" w:type="dxa"/>
            </w:tcMar>
            <w:vAlign w:val="top"/>
          </w:tcPr>
          <w:p>
            <w:pPr>
              <w:spacing w:after="20"/>
            </w:pPr>
            <w:r>
              <w:rPr>
                <w:sz w:val="16"/>
              </w:rPr>
              <w:t>State remains after the initiating interface or carrier is nominally terminated.</w:t>
            </w:r>
          </w:p>
        </w:tc>
      </w:tr>
      <w:tr>
        <w:tc>
          <w:tcPr>
            <w:tcW w:type="dxa" w:w="2376"/>
            <w:tcMar>
              <w:top w:w="70" w:type="dxa"/>
              <w:start w:w="80" w:type="dxa"/>
              <w:bottom w:w="70" w:type="dxa"/>
              <w:end w:w="80" w:type="dxa"/>
            </w:tcMar>
            <w:vAlign w:val="top"/>
          </w:tcPr>
          <w:p>
            <w:pPr>
              <w:spacing w:after="20"/>
            </w:pPr>
            <w:r>
              <w:rPr>
                <w:sz w:val="16"/>
              </w:rPr>
              <w:t>Recovery</w:t>
            </w:r>
          </w:p>
        </w:tc>
        <w:tc>
          <w:tcPr>
            <w:tcW w:type="dxa" w:w="8352"/>
            <w:tcMar>
              <w:top w:w="70" w:type="dxa"/>
              <w:start w:w="80" w:type="dxa"/>
              <w:bottom w:w="70" w:type="dxa"/>
              <w:end w:w="80" w:type="dxa"/>
            </w:tcMar>
            <w:vAlign w:val="top"/>
          </w:tcPr>
          <w:p>
            <w:pPr>
              <w:spacing w:after="20"/>
            </w:pPr>
            <w:r>
              <w:rPr>
                <w:sz w:val="16"/>
              </w:rPr>
              <w:t>State returns to a verified baseline and remains there through a defined observation window.</w:t>
            </w:r>
          </w:p>
        </w:tc>
      </w:tr>
      <w:tr>
        <w:tc>
          <w:tcPr>
            <w:tcW w:type="dxa" w:w="2376"/>
            <w:tcMar>
              <w:top w:w="70" w:type="dxa"/>
              <w:start w:w="80" w:type="dxa"/>
              <w:bottom w:w="70" w:type="dxa"/>
              <w:end w:w="80" w:type="dxa"/>
            </w:tcMar>
            <w:vAlign w:val="top"/>
          </w:tcPr>
          <w:p>
            <w:pPr>
              <w:spacing w:after="20"/>
            </w:pPr>
            <w:r>
              <w:rPr>
                <w:sz w:val="16"/>
              </w:rPr>
              <w:t>Event closure</w:t>
            </w:r>
          </w:p>
        </w:tc>
        <w:tc>
          <w:tcPr>
            <w:tcW w:type="dxa" w:w="8352"/>
            <w:tcMar>
              <w:top w:w="70" w:type="dxa"/>
              <w:start w:w="80" w:type="dxa"/>
              <w:bottom w:w="70" w:type="dxa"/>
              <w:end w:w="80" w:type="dxa"/>
            </w:tcMar>
            <w:vAlign w:val="top"/>
          </w:tcPr>
          <w:p>
            <w:pPr>
              <w:spacing w:after="20"/>
            </w:pPr>
            <w:r>
              <w:rPr>
                <w:sz w:val="16"/>
              </w:rPr>
              <w:t>The simulation/event system declares an event complete.</w:t>
            </w:r>
          </w:p>
        </w:tc>
      </w:tr>
      <w:tr>
        <w:tc>
          <w:tcPr>
            <w:tcW w:type="dxa" w:w="2376"/>
            <w:tcMar>
              <w:top w:w="70" w:type="dxa"/>
              <w:start w:w="80" w:type="dxa"/>
              <w:bottom w:w="70" w:type="dxa"/>
              <w:end w:w="80" w:type="dxa"/>
            </w:tcMar>
            <w:vAlign w:val="top"/>
          </w:tcPr>
          <w:p>
            <w:pPr>
              <w:spacing w:after="20"/>
            </w:pPr>
            <w:r>
              <w:rPr>
                <w:sz w:val="16"/>
              </w:rPr>
              <w:t>Effect closure</w:t>
            </w:r>
          </w:p>
        </w:tc>
        <w:tc>
          <w:tcPr>
            <w:tcW w:type="dxa" w:w="8352"/>
            <w:tcMar>
              <w:top w:w="70" w:type="dxa"/>
              <w:start w:w="80" w:type="dxa"/>
              <w:bottom w:w="70" w:type="dxa"/>
              <w:end w:w="80" w:type="dxa"/>
            </w:tcMar>
            <w:vAlign w:val="top"/>
          </w:tcPr>
          <w:p>
            <w:pPr>
              <w:spacing w:after="20"/>
            </w:pPr>
            <w:r>
              <w:rPr>
                <w:sz w:val="16"/>
              </w:rPr>
              <w:t>All independently observable effects attributable to the event have ceased.</w:t>
            </w:r>
          </w:p>
        </w:tc>
      </w:tr>
      <w:tr>
        <w:tc>
          <w:tcPr>
            <w:tcW w:type="dxa" w:w="2376"/>
            <w:tcMar>
              <w:top w:w="70" w:type="dxa"/>
              <w:start w:w="80" w:type="dxa"/>
              <w:bottom w:w="70" w:type="dxa"/>
              <w:end w:w="80" w:type="dxa"/>
            </w:tcMar>
            <w:vAlign w:val="top"/>
          </w:tcPr>
          <w:p>
            <w:pPr>
              <w:spacing w:after="20"/>
            </w:pPr>
            <w:r>
              <w:rPr>
                <w:sz w:val="16"/>
              </w:rPr>
              <w:t>Lineage extinction</w:t>
            </w:r>
          </w:p>
        </w:tc>
        <w:tc>
          <w:tcPr>
            <w:tcW w:type="dxa" w:w="8352"/>
            <w:tcMar>
              <w:top w:w="70" w:type="dxa"/>
              <w:start w:w="80" w:type="dxa"/>
              <w:bottom w:w="70" w:type="dxa"/>
              <w:end w:w="80" w:type="dxa"/>
            </w:tcMar>
            <w:vAlign w:val="top"/>
          </w:tcPr>
          <w:p>
            <w:pPr>
              <w:spacing w:after="20"/>
            </w:pPr>
            <w:r>
              <w:rPr>
                <w:sz w:val="16"/>
              </w:rPr>
              <w:t>No descendant state derived from the event remains active in any monitored carrier.</w:t>
            </w:r>
          </w:p>
        </w:tc>
      </w:tr>
      <w:tr>
        <w:tc>
          <w:tcPr>
            <w:tcW w:type="dxa" w:w="2376"/>
            <w:tcMar>
              <w:top w:w="70" w:type="dxa"/>
              <w:start w:w="80" w:type="dxa"/>
              <w:bottom w:w="70" w:type="dxa"/>
              <w:end w:w="80" w:type="dxa"/>
            </w:tcMar>
            <w:vAlign w:val="top"/>
          </w:tcPr>
          <w:p>
            <w:pPr>
              <w:spacing w:after="20"/>
            </w:pPr>
            <w:r>
              <w:rPr>
                <w:sz w:val="16"/>
              </w:rPr>
              <w:t>Root involvement</w:t>
            </w:r>
          </w:p>
        </w:tc>
        <w:tc>
          <w:tcPr>
            <w:tcW w:type="dxa" w:w="8352"/>
            <w:tcMar>
              <w:top w:w="70" w:type="dxa"/>
              <w:start w:w="80" w:type="dxa"/>
              <w:bottom w:w="70" w:type="dxa"/>
              <w:end w:w="80" w:type="dxa"/>
            </w:tcMar>
            <w:vAlign w:val="top"/>
          </w:tcPr>
          <w:p>
            <w:pPr>
              <w:spacing w:after="20"/>
            </w:pPr>
            <w:r>
              <w:rPr>
                <w:sz w:val="16"/>
              </w:rPr>
              <w:t>A privileged/root service observes or reacts to a lower-layer condition.</w:t>
            </w:r>
          </w:p>
        </w:tc>
      </w:tr>
      <w:tr>
        <w:tc>
          <w:tcPr>
            <w:tcW w:type="dxa" w:w="2376"/>
            <w:tcMar>
              <w:top w:w="70" w:type="dxa"/>
              <w:start w:w="80" w:type="dxa"/>
              <w:bottom w:w="70" w:type="dxa"/>
              <w:end w:w="80" w:type="dxa"/>
            </w:tcMar>
            <w:vAlign w:val="top"/>
          </w:tcPr>
          <w:p>
            <w:pPr>
              <w:spacing w:after="20"/>
            </w:pPr>
            <w:r>
              <w:rPr>
                <w:sz w:val="16"/>
              </w:rPr>
              <w:t>Root compromise</w:t>
            </w:r>
          </w:p>
        </w:tc>
        <w:tc>
          <w:tcPr>
            <w:tcW w:type="dxa" w:w="8352"/>
            <w:tcMar>
              <w:top w:w="70" w:type="dxa"/>
              <w:start w:w="80" w:type="dxa"/>
              <w:bottom w:w="70" w:type="dxa"/>
              <w:end w:w="80" w:type="dxa"/>
            </w:tcMar>
            <w:vAlign w:val="top"/>
          </w:tcPr>
          <w:p>
            <w:pPr>
              <w:spacing w:after="20"/>
            </w:pPr>
            <w:r>
              <w:rPr>
                <w:sz w:val="16"/>
              </w:rPr>
              <w:t>Persistent or controllable unauthorized influence over root-level state (R4 only).</w:t>
            </w:r>
          </w:p>
        </w:tc>
      </w:tr>
    </w:tbl>
    <w:p>
      <w:pPr>
        <w:spacing w:after="0"/>
      </w:pPr>
    </w:p>
    <w:p>
      <w:pPr>
        <w:pStyle w:val="Heading1"/>
      </w:pPr>
      <w:r>
        <w:t>5. Authoritative Architecture Model for 0.2</w:t>
      </w:r>
    </w:p>
    <w:p>
      <w:pPr>
        <w:pStyle w:val="Heading2"/>
      </w:pPr>
      <w:r>
        <w:t>5.1 Topology map</w:t>
      </w:r>
    </w:p>
    <w:p>
      <w:pPr>
        <w:pStyle w:val="Mono"/>
      </w:pPr>
      <w:r>
        <w:t>L0  Research / Observer Control Plane</w:t>
        <w:br/>
        <w:t xml:space="preserve">    │</w:t>
        <w:br/>
        <w:t>L1  Inhabited Domestic Environment (four-bedroom baseline)</w:t>
        <w:br/>
        <w:t xml:space="preserve">    │</w:t>
        <w:br/>
        <w:t xml:space="preserve">    ├── Window Objects: phone / TV / tablet / laptop / embedded display</w:t>
        <w:br/>
        <w:t xml:space="preserve">    │</w:t>
        <w:br/>
        <w:t>L2  Media / Social / Service Environments</w:t>
        <w:br/>
        <w:t xml:space="preserve">    │</w:t>
        <w:br/>
        <w:t>L3  Adjacent or Nested Simulation Domains</w:t>
        <w:br/>
        <w:t xml:space="preserve">    │</w:t>
        <w:br/>
        <w:t>LX  External / Unknown Domain (optional experimental source)</w:t>
        <w:br/>
        <w:br/>
        <w:t>[Interface Airlock is a boundary function that can be inserted between any two domains; it is not assumed to be a separate universe/layer.]</w:t>
      </w:r>
    </w:p>
    <w:p>
      <w:pPr>
        <w:pStyle w:val="Heading2"/>
      </w:pPr>
      <w:r>
        <w:t>5.2 Authority / privilege map</w:t>
      </w:r>
    </w:p>
    <w:tbl>
      <w:tblPr>
        <w:tblStyle w:val="TableGrid"/>
        <w:tblW w:type="auto" w:w="0"/>
        <w:jc w:val="center"/>
        <w:tblLook w:firstColumn="1" w:firstRow="1" w:lastColumn="0" w:lastRow="0" w:noHBand="0" w:noVBand="1" w:val="04A0"/>
      </w:tblPr>
      <w:tblGrid>
        <w:gridCol w:w="3485"/>
        <w:gridCol w:w="3485"/>
        <w:gridCol w:w="3485"/>
      </w:tblGrid>
      <w:tr>
        <w:tc>
          <w:tcPr>
            <w:tcW w:type="dxa" w:w="1656"/>
            <w:shd w:fill="DCE7F1"/>
            <w:tcMar>
              <w:top w:w="70" w:type="dxa"/>
              <w:start w:w="80" w:type="dxa"/>
              <w:bottom w:w="70" w:type="dxa"/>
              <w:end w:w="80" w:type="dxa"/>
            </w:tcMar>
            <w:vAlign w:val="center"/>
          </w:tcPr>
          <w:p>
            <w:r>
              <w:rPr>
                <w:b/>
                <w:color w:val="183354"/>
                <w:sz w:val="16"/>
              </w:rPr>
              <w:t>Privilege class</w:t>
            </w:r>
          </w:p>
        </w:tc>
        <w:tc>
          <w:tcPr>
            <w:tcW w:type="dxa" w:w="3168"/>
            <w:shd w:fill="DCE7F1"/>
            <w:tcMar>
              <w:top w:w="70" w:type="dxa"/>
              <w:start w:w="80" w:type="dxa"/>
              <w:bottom w:w="70" w:type="dxa"/>
              <w:end w:w="80" w:type="dxa"/>
            </w:tcMar>
            <w:vAlign w:val="center"/>
          </w:tcPr>
          <w:p>
            <w:r>
              <w:rPr>
                <w:b/>
                <w:color w:val="183354"/>
                <w:sz w:val="16"/>
              </w:rPr>
              <w:t>Role</w:t>
            </w:r>
          </w:p>
        </w:tc>
        <w:tc>
          <w:tcPr>
            <w:tcW w:type="dxa" w:w="5904"/>
            <w:shd w:fill="DCE7F1"/>
            <w:tcMar>
              <w:top w:w="70" w:type="dxa"/>
              <w:start w:w="80" w:type="dxa"/>
              <w:bottom w:w="70" w:type="dxa"/>
              <w:end w:w="80" w:type="dxa"/>
            </w:tcMar>
            <w:vAlign w:val="center"/>
          </w:tcPr>
          <w:p>
            <w:r>
              <w:rPr>
                <w:b/>
                <w:color w:val="183354"/>
                <w:sz w:val="16"/>
              </w:rPr>
              <w:t>Examples</w:t>
            </w:r>
          </w:p>
        </w:tc>
      </w:tr>
      <w:tr>
        <w:tc>
          <w:tcPr>
            <w:tcW w:type="dxa" w:w="1656"/>
            <w:tcMar>
              <w:top w:w="70" w:type="dxa"/>
              <w:start w:w="80" w:type="dxa"/>
              <w:bottom w:w="70" w:type="dxa"/>
              <w:end w:w="80" w:type="dxa"/>
            </w:tcMar>
            <w:vAlign w:val="top"/>
          </w:tcPr>
          <w:p>
            <w:pPr>
              <w:spacing w:after="20"/>
            </w:pPr>
            <w:r>
              <w:rPr>
                <w:sz w:val="16"/>
              </w:rPr>
              <w:t>P0</w:t>
            </w:r>
          </w:p>
        </w:tc>
        <w:tc>
          <w:tcPr>
            <w:tcW w:type="dxa" w:w="3168"/>
            <w:tcMar>
              <w:top w:w="70" w:type="dxa"/>
              <w:start w:w="80" w:type="dxa"/>
              <w:bottom w:w="70" w:type="dxa"/>
              <w:end w:w="80" w:type="dxa"/>
            </w:tcMar>
            <w:vAlign w:val="top"/>
          </w:tcPr>
          <w:p>
            <w:pPr>
              <w:spacing w:after="20"/>
            </w:pPr>
            <w:r>
              <w:rPr>
                <w:sz w:val="16"/>
              </w:rPr>
              <w:t>No authority / passive artifact</w:t>
            </w:r>
          </w:p>
        </w:tc>
        <w:tc>
          <w:tcPr>
            <w:tcW w:type="dxa" w:w="5904"/>
            <w:tcMar>
              <w:top w:w="70" w:type="dxa"/>
              <w:start w:w="80" w:type="dxa"/>
              <w:bottom w:w="70" w:type="dxa"/>
              <w:end w:w="80" w:type="dxa"/>
            </w:tcMar>
            <w:vAlign w:val="top"/>
          </w:tcPr>
          <w:p>
            <w:pPr>
              <w:spacing w:after="20"/>
            </w:pPr>
            <w:r>
              <w:rPr>
                <w:sz w:val="16"/>
              </w:rPr>
              <w:t>Rendered content, static marker.</w:t>
            </w:r>
          </w:p>
        </w:tc>
      </w:tr>
      <w:tr>
        <w:tc>
          <w:tcPr>
            <w:tcW w:type="dxa" w:w="1656"/>
            <w:tcMar>
              <w:top w:w="70" w:type="dxa"/>
              <w:start w:w="80" w:type="dxa"/>
              <w:bottom w:w="70" w:type="dxa"/>
              <w:end w:w="80" w:type="dxa"/>
            </w:tcMar>
            <w:vAlign w:val="top"/>
          </w:tcPr>
          <w:p>
            <w:pPr>
              <w:spacing w:after="20"/>
            </w:pPr>
            <w:r>
              <w:rPr>
                <w:sz w:val="16"/>
              </w:rPr>
              <w:t>P1</w:t>
            </w:r>
          </w:p>
        </w:tc>
        <w:tc>
          <w:tcPr>
            <w:tcW w:type="dxa" w:w="3168"/>
            <w:tcMar>
              <w:top w:w="70" w:type="dxa"/>
              <w:start w:w="80" w:type="dxa"/>
              <w:bottom w:w="70" w:type="dxa"/>
              <w:end w:w="80" w:type="dxa"/>
            </w:tcMar>
            <w:vAlign w:val="top"/>
          </w:tcPr>
          <w:p>
            <w:pPr>
              <w:spacing w:after="20"/>
            </w:pPr>
            <w:r>
              <w:rPr>
                <w:sz w:val="16"/>
              </w:rPr>
              <w:t>Ordinary local process</w:t>
            </w:r>
          </w:p>
        </w:tc>
        <w:tc>
          <w:tcPr>
            <w:tcW w:type="dxa" w:w="5904"/>
            <w:tcMar>
              <w:top w:w="70" w:type="dxa"/>
              <w:start w:w="80" w:type="dxa"/>
              <w:bottom w:w="70" w:type="dxa"/>
              <w:end w:w="80" w:type="dxa"/>
            </w:tcMar>
            <w:vAlign w:val="top"/>
          </w:tcPr>
          <w:p>
            <w:pPr>
              <w:spacing w:after="20"/>
            </w:pPr>
            <w:r>
              <w:rPr>
                <w:sz w:val="16"/>
              </w:rPr>
              <w:t>App/session/window process.</w:t>
            </w:r>
          </w:p>
        </w:tc>
      </w:tr>
      <w:tr>
        <w:tc>
          <w:tcPr>
            <w:tcW w:type="dxa" w:w="1656"/>
            <w:tcMar>
              <w:top w:w="70" w:type="dxa"/>
              <w:start w:w="80" w:type="dxa"/>
              <w:bottom w:w="70" w:type="dxa"/>
              <w:end w:w="80" w:type="dxa"/>
            </w:tcMar>
            <w:vAlign w:val="top"/>
          </w:tcPr>
          <w:p>
            <w:pPr>
              <w:spacing w:after="20"/>
            </w:pPr>
            <w:r>
              <w:rPr>
                <w:sz w:val="16"/>
              </w:rPr>
              <w:t>P2</w:t>
            </w:r>
          </w:p>
        </w:tc>
        <w:tc>
          <w:tcPr>
            <w:tcW w:type="dxa" w:w="3168"/>
            <w:tcMar>
              <w:top w:w="70" w:type="dxa"/>
              <w:start w:w="80" w:type="dxa"/>
              <w:bottom w:w="70" w:type="dxa"/>
              <w:end w:w="80" w:type="dxa"/>
            </w:tcMar>
            <w:vAlign w:val="top"/>
          </w:tcPr>
          <w:p>
            <w:pPr>
              <w:spacing w:after="20"/>
            </w:pPr>
            <w:r>
              <w:rPr>
                <w:sz w:val="16"/>
              </w:rPr>
              <w:t>Shared service</w:t>
            </w:r>
          </w:p>
        </w:tc>
        <w:tc>
          <w:tcPr>
            <w:tcW w:type="dxa" w:w="5904"/>
            <w:tcMar>
              <w:top w:w="70" w:type="dxa"/>
              <w:start w:w="80" w:type="dxa"/>
              <w:bottom w:w="70" w:type="dxa"/>
              <w:end w:w="80" w:type="dxa"/>
            </w:tcMar>
            <w:vAlign w:val="top"/>
          </w:tcPr>
          <w:p>
            <w:pPr>
              <w:spacing w:after="20"/>
            </w:pPr>
            <w:r>
              <w:rPr>
                <w:sz w:val="16"/>
              </w:rPr>
              <w:t>Identity, logging, time sync, storage, message bus.</w:t>
            </w:r>
          </w:p>
        </w:tc>
      </w:tr>
      <w:tr>
        <w:tc>
          <w:tcPr>
            <w:tcW w:type="dxa" w:w="1656"/>
            <w:tcMar>
              <w:top w:w="70" w:type="dxa"/>
              <w:start w:w="80" w:type="dxa"/>
              <w:bottom w:w="70" w:type="dxa"/>
              <w:end w:w="80" w:type="dxa"/>
            </w:tcMar>
            <w:vAlign w:val="top"/>
          </w:tcPr>
          <w:p>
            <w:pPr>
              <w:spacing w:after="20"/>
            </w:pPr>
            <w:r>
              <w:rPr>
                <w:sz w:val="16"/>
              </w:rPr>
              <w:t>P3</w:t>
            </w:r>
          </w:p>
        </w:tc>
        <w:tc>
          <w:tcPr>
            <w:tcW w:type="dxa" w:w="3168"/>
            <w:tcMar>
              <w:top w:w="70" w:type="dxa"/>
              <w:start w:w="80" w:type="dxa"/>
              <w:bottom w:w="70" w:type="dxa"/>
              <w:end w:w="80" w:type="dxa"/>
            </w:tcMar>
            <w:vAlign w:val="top"/>
          </w:tcPr>
          <w:p>
            <w:pPr>
              <w:spacing w:after="20"/>
            </w:pPr>
            <w:r>
              <w:rPr>
                <w:sz w:val="16"/>
              </w:rPr>
              <w:t>Orchestration authority</w:t>
            </w:r>
          </w:p>
        </w:tc>
        <w:tc>
          <w:tcPr>
            <w:tcW w:type="dxa" w:w="5904"/>
            <w:tcMar>
              <w:top w:w="70" w:type="dxa"/>
              <w:start w:w="80" w:type="dxa"/>
              <w:bottom w:w="70" w:type="dxa"/>
              <w:end w:w="80" w:type="dxa"/>
            </w:tcMar>
            <w:vAlign w:val="top"/>
          </w:tcPr>
          <w:p>
            <w:pPr>
              <w:spacing w:after="20"/>
            </w:pPr>
            <w:r>
              <w:rPr>
                <w:sz w:val="16"/>
              </w:rPr>
              <w:t>Scheduler, rollback manager, environment controller.</w:t>
            </w:r>
          </w:p>
        </w:tc>
      </w:tr>
      <w:tr>
        <w:tc>
          <w:tcPr>
            <w:tcW w:type="dxa" w:w="1656"/>
            <w:tcMar>
              <w:top w:w="70" w:type="dxa"/>
              <w:start w:w="80" w:type="dxa"/>
              <w:bottom w:w="70" w:type="dxa"/>
              <w:end w:w="80" w:type="dxa"/>
            </w:tcMar>
            <w:vAlign w:val="top"/>
          </w:tcPr>
          <w:p>
            <w:pPr>
              <w:spacing w:after="20"/>
            </w:pPr>
            <w:r>
              <w:rPr>
                <w:sz w:val="16"/>
              </w:rPr>
              <w:t>P4</w:t>
            </w:r>
          </w:p>
        </w:tc>
        <w:tc>
          <w:tcPr>
            <w:tcW w:type="dxa" w:w="3168"/>
            <w:tcMar>
              <w:top w:w="70" w:type="dxa"/>
              <w:start w:w="80" w:type="dxa"/>
              <w:bottom w:w="70" w:type="dxa"/>
              <w:end w:w="80" w:type="dxa"/>
            </w:tcMar>
            <w:vAlign w:val="top"/>
          </w:tcPr>
          <w:p>
            <w:pPr>
              <w:spacing w:after="20"/>
            </w:pPr>
            <w:r>
              <w:rPr>
                <w:sz w:val="16"/>
              </w:rPr>
              <w:t>Privileged control</w:t>
            </w:r>
          </w:p>
        </w:tc>
        <w:tc>
          <w:tcPr>
            <w:tcW w:type="dxa" w:w="5904"/>
            <w:tcMar>
              <w:top w:w="70" w:type="dxa"/>
              <w:start w:w="80" w:type="dxa"/>
              <w:bottom w:w="70" w:type="dxa"/>
              <w:end w:w="80" w:type="dxa"/>
            </w:tcMar>
            <w:vAlign w:val="top"/>
          </w:tcPr>
          <w:p>
            <w:pPr>
              <w:spacing w:after="20"/>
            </w:pPr>
            <w:r>
              <w:rPr>
                <w:sz w:val="16"/>
              </w:rPr>
              <w:t>Simulation administration, policy enforcement, cross-layer controls.</w:t>
            </w:r>
          </w:p>
        </w:tc>
      </w:tr>
      <w:tr>
        <w:tc>
          <w:tcPr>
            <w:tcW w:type="dxa" w:w="1656"/>
            <w:tcMar>
              <w:top w:w="70" w:type="dxa"/>
              <w:start w:w="80" w:type="dxa"/>
              <w:bottom w:w="70" w:type="dxa"/>
              <w:end w:w="80" w:type="dxa"/>
            </w:tcMar>
            <w:vAlign w:val="top"/>
          </w:tcPr>
          <w:p>
            <w:pPr>
              <w:spacing w:after="20"/>
            </w:pPr>
            <w:r>
              <w:rPr>
                <w:sz w:val="16"/>
              </w:rPr>
              <w:t>P5</w:t>
            </w:r>
          </w:p>
        </w:tc>
        <w:tc>
          <w:tcPr>
            <w:tcW w:type="dxa" w:w="3168"/>
            <w:tcMar>
              <w:top w:w="70" w:type="dxa"/>
              <w:start w:w="80" w:type="dxa"/>
              <w:bottom w:w="70" w:type="dxa"/>
              <w:end w:w="80" w:type="dxa"/>
            </w:tcMar>
            <w:vAlign w:val="top"/>
          </w:tcPr>
          <w:p>
            <w:pPr>
              <w:spacing w:after="20"/>
            </w:pPr>
            <w:r>
              <w:rPr>
                <w:sz w:val="16"/>
              </w:rPr>
              <w:t>Root / ultimate simulation authority</w:t>
            </w:r>
          </w:p>
        </w:tc>
        <w:tc>
          <w:tcPr>
            <w:tcW w:type="dxa" w:w="5904"/>
            <w:tcMar>
              <w:top w:w="70" w:type="dxa"/>
              <w:start w:w="80" w:type="dxa"/>
              <w:bottom w:w="70" w:type="dxa"/>
              <w:end w:w="80" w:type="dxa"/>
            </w:tcMar>
            <w:vAlign w:val="top"/>
          </w:tcPr>
          <w:p>
            <w:pPr>
              <w:spacing w:after="20"/>
            </w:pPr>
            <w:r>
              <w:rPr>
                <w:sz w:val="16"/>
              </w:rPr>
              <w:t>Root state, master orchestration, privileged persistence store.</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3F7FA"/>
            <w:tcMar>
              <w:top w:w="100" w:type="dxa"/>
              <w:start w:w="130" w:type="dxa"/>
              <w:bottom w:w="100" w:type="dxa"/>
              <w:end w:w="130" w:type="dxa"/>
            </w:tcMar>
          </w:tcPr>
          <w:p>
            <w:pPr>
              <w:pStyle w:val="Callout"/>
            </w:pPr>
            <w:r>
              <w:t>Important: Topological distance and privilege are independent. A marker can traverse many layers without gaining authority, or make one short hop into a high-value shared service. Root testing must therefore log both location and privilege.</w:t>
            </w:r>
          </w:p>
        </w:tc>
      </w:tr>
    </w:tbl>
    <w:p>
      <w:pPr>
        <w:spacing w:after="0"/>
      </w:pPr>
    </w:p>
    <w:p>
      <w:pPr>
        <w:pStyle w:val="Heading2"/>
      </w:pPr>
      <w:r>
        <w:t>5.3 Window Object minimum schema</w:t>
      </w:r>
    </w:p>
    <w:tbl>
      <w:tblPr>
        <w:tblStyle w:val="TableGrid"/>
        <w:tblW w:type="auto" w:w="0"/>
        <w:jc w:val="center"/>
        <w:tblLook w:firstColumn="1" w:firstRow="1" w:lastColumn="0" w:lastRow="0" w:noHBand="0" w:noVBand="1" w:val="04A0"/>
      </w:tblPr>
      <w:tblGrid>
        <w:gridCol w:w="3485"/>
        <w:gridCol w:w="3485"/>
        <w:gridCol w:w="3485"/>
      </w:tblGrid>
      <w:tr>
        <w:tc>
          <w:tcPr>
            <w:tcW w:type="dxa" w:w="2088"/>
            <w:shd w:fill="DCE7F1"/>
            <w:tcMar>
              <w:top w:w="70" w:type="dxa"/>
              <w:start w:w="80" w:type="dxa"/>
              <w:bottom w:w="70" w:type="dxa"/>
              <w:end w:w="80" w:type="dxa"/>
            </w:tcMar>
            <w:vAlign w:val="center"/>
          </w:tcPr>
          <w:p>
            <w:r>
              <w:rPr>
                <w:b/>
                <w:color w:val="183354"/>
                <w:sz w:val="16"/>
              </w:rPr>
              <w:t>Field</w:t>
            </w:r>
          </w:p>
        </w:tc>
        <w:tc>
          <w:tcPr>
            <w:tcW w:type="dxa" w:w="3888"/>
            <w:shd w:fill="DCE7F1"/>
            <w:tcMar>
              <w:top w:w="70" w:type="dxa"/>
              <w:start w:w="80" w:type="dxa"/>
              <w:bottom w:w="70" w:type="dxa"/>
              <w:end w:w="80" w:type="dxa"/>
            </w:tcMar>
            <w:vAlign w:val="center"/>
          </w:tcPr>
          <w:p>
            <w:r>
              <w:rPr>
                <w:b/>
                <w:color w:val="183354"/>
                <w:sz w:val="16"/>
              </w:rPr>
              <w:t>Examples / values</w:t>
            </w:r>
          </w:p>
        </w:tc>
        <w:tc>
          <w:tcPr>
            <w:tcW w:type="dxa" w:w="4752"/>
            <w:shd w:fill="DCE7F1"/>
            <w:tcMar>
              <w:top w:w="70" w:type="dxa"/>
              <w:start w:w="80" w:type="dxa"/>
              <w:bottom w:w="70" w:type="dxa"/>
              <w:end w:w="80" w:type="dxa"/>
            </w:tcMar>
            <w:vAlign w:val="center"/>
          </w:tcPr>
          <w:p>
            <w:r>
              <w:rPr>
                <w:b/>
                <w:color w:val="183354"/>
                <w:sz w:val="16"/>
              </w:rPr>
              <w:t>Purpose</w:t>
            </w:r>
          </w:p>
        </w:tc>
      </w:tr>
      <w:tr>
        <w:tc>
          <w:tcPr>
            <w:tcW w:type="dxa" w:w="2088"/>
            <w:tcMar>
              <w:top w:w="70" w:type="dxa"/>
              <w:start w:w="80" w:type="dxa"/>
              <w:bottom w:w="70" w:type="dxa"/>
              <w:end w:w="80" w:type="dxa"/>
            </w:tcMar>
            <w:vAlign w:val="top"/>
          </w:tcPr>
          <w:p>
            <w:pPr>
              <w:spacing w:after="20"/>
            </w:pPr>
            <w:r>
              <w:rPr>
                <w:sz w:val="16"/>
              </w:rPr>
              <w:t>window_id</w:t>
            </w:r>
          </w:p>
        </w:tc>
        <w:tc>
          <w:tcPr>
            <w:tcW w:type="dxa" w:w="3888"/>
            <w:tcMar>
              <w:top w:w="70" w:type="dxa"/>
              <w:start w:w="80" w:type="dxa"/>
              <w:bottom w:w="70" w:type="dxa"/>
              <w:end w:w="80" w:type="dxa"/>
            </w:tcMar>
            <w:vAlign w:val="top"/>
          </w:tcPr>
          <w:p>
            <w:pPr>
              <w:spacing w:after="20"/>
            </w:pPr>
            <w:r>
              <w:rPr>
                <w:sz w:val="16"/>
              </w:rPr>
              <w:t>W-001</w:t>
            </w:r>
          </w:p>
        </w:tc>
        <w:tc>
          <w:tcPr>
            <w:tcW w:type="dxa" w:w="4752"/>
            <w:tcMar>
              <w:top w:w="70" w:type="dxa"/>
              <w:start w:w="80" w:type="dxa"/>
              <w:bottom w:w="70" w:type="dxa"/>
              <w:end w:w="80" w:type="dxa"/>
            </w:tcMar>
            <w:vAlign w:val="top"/>
          </w:tcPr>
          <w:p>
            <w:pPr>
              <w:spacing w:after="20"/>
            </w:pPr>
            <w:r>
              <w:rPr>
                <w:sz w:val="16"/>
              </w:rPr>
              <w:t>Stable identity across replay.</w:t>
            </w:r>
          </w:p>
        </w:tc>
      </w:tr>
      <w:tr>
        <w:tc>
          <w:tcPr>
            <w:tcW w:type="dxa" w:w="2088"/>
            <w:tcMar>
              <w:top w:w="70" w:type="dxa"/>
              <w:start w:w="80" w:type="dxa"/>
              <w:bottom w:w="70" w:type="dxa"/>
              <w:end w:w="80" w:type="dxa"/>
            </w:tcMar>
            <w:vAlign w:val="top"/>
          </w:tcPr>
          <w:p>
            <w:pPr>
              <w:spacing w:after="20"/>
            </w:pPr>
            <w:r>
              <w:rPr>
                <w:sz w:val="16"/>
              </w:rPr>
              <w:t>presentation_state</w:t>
            </w:r>
          </w:p>
        </w:tc>
        <w:tc>
          <w:tcPr>
            <w:tcW w:type="dxa" w:w="3888"/>
            <w:tcMar>
              <w:top w:w="70" w:type="dxa"/>
              <w:start w:w="80" w:type="dxa"/>
              <w:bottom w:w="70" w:type="dxa"/>
              <w:end w:w="80" w:type="dxa"/>
            </w:tcMar>
            <w:vAlign w:val="top"/>
          </w:tcPr>
          <w:p>
            <w:pPr>
              <w:spacing w:after="20"/>
            </w:pPr>
            <w:r>
              <w:rPr>
                <w:sz w:val="16"/>
              </w:rPr>
              <w:t>active / black / minimized / sleep</w:t>
            </w:r>
          </w:p>
        </w:tc>
        <w:tc>
          <w:tcPr>
            <w:tcW w:type="dxa" w:w="4752"/>
            <w:tcMar>
              <w:top w:w="70" w:type="dxa"/>
              <w:start w:w="80" w:type="dxa"/>
              <w:bottom w:w="70" w:type="dxa"/>
              <w:end w:w="80" w:type="dxa"/>
            </w:tcMar>
            <w:vAlign w:val="top"/>
          </w:tcPr>
          <w:p>
            <w:pPr>
              <w:spacing w:after="20"/>
            </w:pPr>
            <w:r>
              <w:rPr>
                <w:sz w:val="16"/>
              </w:rPr>
              <w:t>Separates user-facing state.</w:t>
            </w:r>
          </w:p>
        </w:tc>
      </w:tr>
      <w:tr>
        <w:tc>
          <w:tcPr>
            <w:tcW w:type="dxa" w:w="2088"/>
            <w:tcMar>
              <w:top w:w="70" w:type="dxa"/>
              <w:start w:w="80" w:type="dxa"/>
              <w:bottom w:w="70" w:type="dxa"/>
              <w:end w:w="80" w:type="dxa"/>
            </w:tcMar>
            <w:vAlign w:val="top"/>
          </w:tcPr>
          <w:p>
            <w:pPr>
              <w:spacing w:after="20"/>
            </w:pPr>
            <w:r>
              <w:rPr>
                <w:sz w:val="16"/>
              </w:rPr>
              <w:t>power_state</w:t>
            </w:r>
          </w:p>
        </w:tc>
        <w:tc>
          <w:tcPr>
            <w:tcW w:type="dxa" w:w="3888"/>
            <w:tcMar>
              <w:top w:w="70" w:type="dxa"/>
              <w:start w:w="80" w:type="dxa"/>
              <w:bottom w:w="70" w:type="dxa"/>
              <w:end w:w="80" w:type="dxa"/>
            </w:tcMar>
            <w:vAlign w:val="top"/>
          </w:tcPr>
          <w:p>
            <w:pPr>
              <w:spacing w:after="20"/>
            </w:pPr>
            <w:r>
              <w:rPr>
                <w:sz w:val="16"/>
              </w:rPr>
              <w:t>on / standby / off / removed</w:t>
            </w:r>
          </w:p>
        </w:tc>
        <w:tc>
          <w:tcPr>
            <w:tcW w:type="dxa" w:w="4752"/>
            <w:tcMar>
              <w:top w:w="70" w:type="dxa"/>
              <w:start w:w="80" w:type="dxa"/>
              <w:bottom w:w="70" w:type="dxa"/>
              <w:end w:w="80" w:type="dxa"/>
            </w:tcMar>
            <w:vAlign w:val="top"/>
          </w:tcPr>
          <w:p>
            <w:pPr>
              <w:spacing w:after="20"/>
            </w:pPr>
            <w:r>
              <w:rPr>
                <w:sz w:val="16"/>
              </w:rPr>
              <w:t>Avoids “off” ambiguity.</w:t>
            </w:r>
          </w:p>
        </w:tc>
      </w:tr>
      <w:tr>
        <w:tc>
          <w:tcPr>
            <w:tcW w:type="dxa" w:w="2088"/>
            <w:tcMar>
              <w:top w:w="70" w:type="dxa"/>
              <w:start w:w="80" w:type="dxa"/>
              <w:bottom w:w="70" w:type="dxa"/>
              <w:end w:w="80" w:type="dxa"/>
            </w:tcMar>
            <w:vAlign w:val="top"/>
          </w:tcPr>
          <w:p>
            <w:pPr>
              <w:spacing w:after="20"/>
            </w:pPr>
            <w:r>
              <w:rPr>
                <w:sz w:val="16"/>
              </w:rPr>
              <w:t>application_state</w:t>
            </w:r>
          </w:p>
        </w:tc>
        <w:tc>
          <w:tcPr>
            <w:tcW w:type="dxa" w:w="3888"/>
            <w:tcMar>
              <w:top w:w="70" w:type="dxa"/>
              <w:start w:w="80" w:type="dxa"/>
              <w:bottom w:w="70" w:type="dxa"/>
              <w:end w:w="80" w:type="dxa"/>
            </w:tcMar>
            <w:vAlign w:val="top"/>
          </w:tcPr>
          <w:p>
            <w:pPr>
              <w:spacing w:after="20"/>
            </w:pPr>
            <w:r>
              <w:rPr>
                <w:sz w:val="16"/>
              </w:rPr>
              <w:t>foreground / background / closed</w:t>
            </w:r>
          </w:p>
        </w:tc>
        <w:tc>
          <w:tcPr>
            <w:tcW w:type="dxa" w:w="4752"/>
            <w:tcMar>
              <w:top w:w="70" w:type="dxa"/>
              <w:start w:w="80" w:type="dxa"/>
              <w:bottom w:w="70" w:type="dxa"/>
              <w:end w:w="80" w:type="dxa"/>
            </w:tcMar>
            <w:vAlign w:val="top"/>
          </w:tcPr>
          <w:p>
            <w:pPr>
              <w:spacing w:after="20"/>
            </w:pPr>
            <w:r>
              <w:rPr>
                <w:sz w:val="16"/>
              </w:rPr>
              <w:t>Front-end process state.</w:t>
            </w:r>
          </w:p>
        </w:tc>
      </w:tr>
      <w:tr>
        <w:tc>
          <w:tcPr>
            <w:tcW w:type="dxa" w:w="2088"/>
            <w:tcMar>
              <w:top w:w="70" w:type="dxa"/>
              <w:start w:w="80" w:type="dxa"/>
              <w:bottom w:w="70" w:type="dxa"/>
              <w:end w:w="80" w:type="dxa"/>
            </w:tcMar>
            <w:vAlign w:val="top"/>
          </w:tcPr>
          <w:p>
            <w:pPr>
              <w:spacing w:after="20"/>
            </w:pPr>
            <w:r>
              <w:rPr>
                <w:sz w:val="16"/>
              </w:rPr>
              <w:t>network_state</w:t>
            </w:r>
          </w:p>
        </w:tc>
        <w:tc>
          <w:tcPr>
            <w:tcW w:type="dxa" w:w="3888"/>
            <w:tcMar>
              <w:top w:w="70" w:type="dxa"/>
              <w:start w:w="80" w:type="dxa"/>
              <w:bottom w:w="70" w:type="dxa"/>
              <w:end w:w="80" w:type="dxa"/>
            </w:tcMar>
            <w:vAlign w:val="top"/>
          </w:tcPr>
          <w:p>
            <w:pPr>
              <w:spacing w:after="20"/>
            </w:pPr>
            <w:r>
              <w:rPr>
                <w:sz w:val="16"/>
              </w:rPr>
              <w:t>connected / blocked / isolated / unknown</w:t>
            </w:r>
          </w:p>
        </w:tc>
        <w:tc>
          <w:tcPr>
            <w:tcW w:type="dxa" w:w="4752"/>
            <w:tcMar>
              <w:top w:w="70" w:type="dxa"/>
              <w:start w:w="80" w:type="dxa"/>
              <w:bottom w:w="70" w:type="dxa"/>
              <w:end w:w="80" w:type="dxa"/>
            </w:tcMar>
            <w:vAlign w:val="top"/>
          </w:tcPr>
          <w:p>
            <w:pPr>
              <w:spacing w:after="20"/>
            </w:pPr>
            <w:r>
              <w:rPr>
                <w:sz w:val="16"/>
              </w:rPr>
              <w:t>Communications path.</w:t>
            </w:r>
          </w:p>
        </w:tc>
      </w:tr>
      <w:tr>
        <w:tc>
          <w:tcPr>
            <w:tcW w:type="dxa" w:w="2088"/>
            <w:tcMar>
              <w:top w:w="70" w:type="dxa"/>
              <w:start w:w="80" w:type="dxa"/>
              <w:bottom w:w="70" w:type="dxa"/>
              <w:end w:w="80" w:type="dxa"/>
            </w:tcMar>
            <w:vAlign w:val="top"/>
          </w:tcPr>
          <w:p>
            <w:pPr>
              <w:spacing w:after="20"/>
            </w:pPr>
            <w:r>
              <w:rPr>
                <w:sz w:val="16"/>
              </w:rPr>
              <w:t>transfer_state</w:t>
            </w:r>
          </w:p>
        </w:tc>
        <w:tc>
          <w:tcPr>
            <w:tcW w:type="dxa" w:w="3888"/>
            <w:tcMar>
              <w:top w:w="70" w:type="dxa"/>
              <w:start w:w="80" w:type="dxa"/>
              <w:bottom w:w="70" w:type="dxa"/>
              <w:end w:w="80" w:type="dxa"/>
            </w:tcMar>
            <w:vAlign w:val="top"/>
          </w:tcPr>
          <w:p>
            <w:pPr>
              <w:spacing w:after="20"/>
            </w:pPr>
            <w:r>
              <w:rPr>
                <w:sz w:val="16"/>
              </w:rPr>
              <w:t>open / constrained / latent / sealed / unknown</w:t>
            </w:r>
          </w:p>
        </w:tc>
        <w:tc>
          <w:tcPr>
            <w:tcW w:type="dxa" w:w="4752"/>
            <w:tcMar>
              <w:top w:w="70" w:type="dxa"/>
              <w:start w:w="80" w:type="dxa"/>
              <w:bottom w:w="70" w:type="dxa"/>
              <w:end w:w="80" w:type="dxa"/>
            </w:tcMar>
            <w:vAlign w:val="top"/>
          </w:tcPr>
          <w:p>
            <w:pPr>
              <w:spacing w:after="20"/>
            </w:pPr>
            <w:r>
              <w:rPr>
                <w:sz w:val="16"/>
              </w:rPr>
              <w:t>Actual modeled crossing capability.</w:t>
            </w:r>
          </w:p>
        </w:tc>
      </w:tr>
      <w:tr>
        <w:tc>
          <w:tcPr>
            <w:tcW w:type="dxa" w:w="2088"/>
            <w:tcMar>
              <w:top w:w="70" w:type="dxa"/>
              <w:start w:w="80" w:type="dxa"/>
              <w:bottom w:w="70" w:type="dxa"/>
              <w:end w:w="80" w:type="dxa"/>
            </w:tcMar>
            <w:vAlign w:val="top"/>
          </w:tcPr>
          <w:p>
            <w:pPr>
              <w:spacing w:after="20"/>
            </w:pPr>
            <w:r>
              <w:rPr>
                <w:sz w:val="16"/>
              </w:rPr>
              <w:t>directionality</w:t>
            </w:r>
          </w:p>
        </w:tc>
        <w:tc>
          <w:tcPr>
            <w:tcW w:type="dxa" w:w="3888"/>
            <w:tcMar>
              <w:top w:w="70" w:type="dxa"/>
              <w:start w:w="80" w:type="dxa"/>
              <w:bottom w:w="70" w:type="dxa"/>
              <w:end w:w="80" w:type="dxa"/>
            </w:tcMar>
            <w:vAlign w:val="top"/>
          </w:tcPr>
          <w:p>
            <w:pPr>
              <w:spacing w:after="20"/>
            </w:pPr>
            <w:r>
              <w:rPr>
                <w:sz w:val="16"/>
              </w:rPr>
              <w:t>A→B / B→A / bidirectional</w:t>
            </w:r>
          </w:p>
        </w:tc>
        <w:tc>
          <w:tcPr>
            <w:tcW w:type="dxa" w:w="4752"/>
            <w:tcMar>
              <w:top w:w="70" w:type="dxa"/>
              <w:start w:w="80" w:type="dxa"/>
              <w:bottom w:w="70" w:type="dxa"/>
              <w:end w:w="80" w:type="dxa"/>
            </w:tcMar>
            <w:vAlign w:val="top"/>
          </w:tcPr>
          <w:p>
            <w:pPr>
              <w:spacing w:after="20"/>
            </w:pPr>
            <w:r>
              <w:rPr>
                <w:sz w:val="16"/>
              </w:rPr>
              <w:t>Flow direction.</w:t>
            </w:r>
          </w:p>
        </w:tc>
      </w:tr>
      <w:tr>
        <w:tc>
          <w:tcPr>
            <w:tcW w:type="dxa" w:w="2088"/>
            <w:tcMar>
              <w:top w:w="70" w:type="dxa"/>
              <w:start w:w="80" w:type="dxa"/>
              <w:bottom w:w="70" w:type="dxa"/>
              <w:end w:w="80" w:type="dxa"/>
            </w:tcMar>
            <w:vAlign w:val="top"/>
          </w:tcPr>
          <w:p>
            <w:pPr>
              <w:spacing w:after="20"/>
            </w:pPr>
            <w:r>
              <w:rPr>
                <w:sz w:val="16"/>
              </w:rPr>
              <w:t>airlock_mode</w:t>
            </w:r>
          </w:p>
        </w:tc>
        <w:tc>
          <w:tcPr>
            <w:tcW w:type="dxa" w:w="3888"/>
            <w:tcMar>
              <w:top w:w="70" w:type="dxa"/>
              <w:start w:w="80" w:type="dxa"/>
              <w:bottom w:w="70" w:type="dxa"/>
              <w:end w:w="80" w:type="dxa"/>
            </w:tcMar>
            <w:vAlign w:val="top"/>
          </w:tcPr>
          <w:p>
            <w:pPr>
              <w:spacing w:after="20"/>
            </w:pPr>
            <w:r>
              <w:rPr>
                <w:sz w:val="16"/>
              </w:rPr>
              <w:t>none / observe / translate / normalize / quarantine</w:t>
            </w:r>
          </w:p>
        </w:tc>
        <w:tc>
          <w:tcPr>
            <w:tcW w:type="dxa" w:w="4752"/>
            <w:tcMar>
              <w:top w:w="70" w:type="dxa"/>
              <w:start w:w="80" w:type="dxa"/>
              <w:bottom w:w="70" w:type="dxa"/>
              <w:end w:w="80" w:type="dxa"/>
            </w:tcMar>
            <w:vAlign w:val="top"/>
          </w:tcPr>
          <w:p>
            <w:pPr>
              <w:spacing w:after="20"/>
            </w:pPr>
            <w:r>
              <w:rPr>
                <w:sz w:val="16"/>
              </w:rPr>
              <w:t>Admission-control condition.</w:t>
            </w:r>
          </w:p>
        </w:tc>
      </w:tr>
      <w:tr>
        <w:tc>
          <w:tcPr>
            <w:tcW w:type="dxa" w:w="2088"/>
            <w:tcMar>
              <w:top w:w="70" w:type="dxa"/>
              <w:start w:w="80" w:type="dxa"/>
              <w:bottom w:w="70" w:type="dxa"/>
              <w:end w:w="80" w:type="dxa"/>
            </w:tcMar>
            <w:vAlign w:val="top"/>
          </w:tcPr>
          <w:p>
            <w:pPr>
              <w:spacing w:after="20"/>
            </w:pPr>
            <w:r>
              <w:rPr>
                <w:sz w:val="16"/>
              </w:rPr>
              <w:t>clock_domain</w:t>
            </w:r>
          </w:p>
        </w:tc>
        <w:tc>
          <w:tcPr>
            <w:tcW w:type="dxa" w:w="3888"/>
            <w:tcMar>
              <w:top w:w="70" w:type="dxa"/>
              <w:start w:w="80" w:type="dxa"/>
              <w:bottom w:w="70" w:type="dxa"/>
              <w:end w:w="80" w:type="dxa"/>
            </w:tcMar>
            <w:vAlign w:val="top"/>
          </w:tcPr>
          <w:p>
            <w:pPr>
              <w:spacing w:after="20"/>
            </w:pPr>
            <w:r>
              <w:rPr>
                <w:sz w:val="16"/>
              </w:rPr>
              <w:t>CD-#</w:t>
            </w:r>
          </w:p>
        </w:tc>
        <w:tc>
          <w:tcPr>
            <w:tcW w:type="dxa" w:w="4752"/>
            <w:tcMar>
              <w:top w:w="70" w:type="dxa"/>
              <w:start w:w="80" w:type="dxa"/>
              <w:bottom w:w="70" w:type="dxa"/>
              <w:end w:w="80" w:type="dxa"/>
            </w:tcMar>
            <w:vAlign w:val="top"/>
          </w:tcPr>
          <w:p>
            <w:pPr>
              <w:spacing w:after="20"/>
            </w:pPr>
            <w:r>
              <w:rPr>
                <w:sz w:val="16"/>
              </w:rPr>
              <w:t>Native time authority.</w:t>
            </w:r>
          </w:p>
        </w:tc>
      </w:tr>
      <w:tr>
        <w:tc>
          <w:tcPr>
            <w:tcW w:type="dxa" w:w="2088"/>
            <w:tcMar>
              <w:top w:w="70" w:type="dxa"/>
              <w:start w:w="80" w:type="dxa"/>
              <w:bottom w:w="70" w:type="dxa"/>
              <w:end w:w="80" w:type="dxa"/>
            </w:tcMar>
            <w:vAlign w:val="top"/>
          </w:tcPr>
          <w:p>
            <w:pPr>
              <w:spacing w:after="20"/>
            </w:pPr>
            <w:r>
              <w:rPr>
                <w:sz w:val="16"/>
              </w:rPr>
              <w:t>privilege_relation</w:t>
            </w:r>
          </w:p>
        </w:tc>
        <w:tc>
          <w:tcPr>
            <w:tcW w:type="dxa" w:w="3888"/>
            <w:tcMar>
              <w:top w:w="70" w:type="dxa"/>
              <w:start w:w="80" w:type="dxa"/>
              <w:bottom w:w="70" w:type="dxa"/>
              <w:end w:w="80" w:type="dxa"/>
            </w:tcMar>
            <w:vAlign w:val="top"/>
          </w:tcPr>
          <w:p>
            <w:pPr>
              <w:spacing w:after="20"/>
            </w:pPr>
            <w:r>
              <w:rPr>
                <w:sz w:val="16"/>
              </w:rPr>
              <w:t>P# service(s) touched</w:t>
            </w:r>
          </w:p>
        </w:tc>
        <w:tc>
          <w:tcPr>
            <w:tcW w:type="dxa" w:w="4752"/>
            <w:tcMar>
              <w:top w:w="70" w:type="dxa"/>
              <w:start w:w="80" w:type="dxa"/>
              <w:bottom w:w="70" w:type="dxa"/>
              <w:end w:w="80" w:type="dxa"/>
            </w:tcMar>
            <w:vAlign w:val="top"/>
          </w:tcPr>
          <w:p>
            <w:pPr>
              <w:spacing w:after="20"/>
            </w:pPr>
            <w:r>
              <w:rPr>
                <w:sz w:val="16"/>
              </w:rPr>
              <w:t>Authority dependencies.</w:t>
            </w:r>
          </w:p>
        </w:tc>
      </w:tr>
      <w:tr>
        <w:tc>
          <w:tcPr>
            <w:tcW w:type="dxa" w:w="2088"/>
            <w:tcMar>
              <w:top w:w="70" w:type="dxa"/>
              <w:start w:w="80" w:type="dxa"/>
              <w:bottom w:w="70" w:type="dxa"/>
              <w:end w:w="80" w:type="dxa"/>
            </w:tcMar>
            <w:vAlign w:val="top"/>
          </w:tcPr>
          <w:p>
            <w:pPr>
              <w:spacing w:after="20"/>
            </w:pPr>
            <w:r>
              <w:rPr>
                <w:sz w:val="16"/>
              </w:rPr>
              <w:t>event_log_ref</w:t>
            </w:r>
          </w:p>
        </w:tc>
        <w:tc>
          <w:tcPr>
            <w:tcW w:type="dxa" w:w="3888"/>
            <w:tcMar>
              <w:top w:w="70" w:type="dxa"/>
              <w:start w:w="80" w:type="dxa"/>
              <w:bottom w:w="70" w:type="dxa"/>
              <w:end w:w="80" w:type="dxa"/>
            </w:tcMar>
            <w:vAlign w:val="top"/>
          </w:tcPr>
          <w:p>
            <w:pPr>
              <w:spacing w:after="20"/>
            </w:pPr>
            <w:r>
              <w:rPr>
                <w:sz w:val="16"/>
              </w:rPr>
              <w:t>BTEC record</w:t>
            </w:r>
          </w:p>
        </w:tc>
        <w:tc>
          <w:tcPr>
            <w:tcW w:type="dxa" w:w="4752"/>
            <w:tcMar>
              <w:top w:w="70" w:type="dxa"/>
              <w:start w:w="80" w:type="dxa"/>
              <w:bottom w:w="70" w:type="dxa"/>
              <w:end w:w="80" w:type="dxa"/>
            </w:tcMar>
            <w:vAlign w:val="top"/>
          </w:tcPr>
          <w:p>
            <w:pPr>
              <w:spacing w:after="20"/>
            </w:pPr>
            <w:r>
              <w:rPr>
                <w:sz w:val="16"/>
              </w:rPr>
              <w:t>Declared event path.</w:t>
            </w:r>
          </w:p>
        </w:tc>
      </w:tr>
      <w:tr>
        <w:tc>
          <w:tcPr>
            <w:tcW w:type="dxa" w:w="2088"/>
            <w:tcMar>
              <w:top w:w="70" w:type="dxa"/>
              <w:start w:w="80" w:type="dxa"/>
              <w:bottom w:w="70" w:type="dxa"/>
              <w:end w:w="80" w:type="dxa"/>
            </w:tcMar>
            <w:vAlign w:val="top"/>
          </w:tcPr>
          <w:p>
            <w:pPr>
              <w:spacing w:after="20"/>
            </w:pPr>
            <w:r>
              <w:rPr>
                <w:sz w:val="16"/>
              </w:rPr>
              <w:t>provenance_ref</w:t>
            </w:r>
          </w:p>
        </w:tc>
        <w:tc>
          <w:tcPr>
            <w:tcW w:type="dxa" w:w="3888"/>
            <w:tcMar>
              <w:top w:w="70" w:type="dxa"/>
              <w:start w:w="80" w:type="dxa"/>
              <w:bottom w:w="70" w:type="dxa"/>
              <w:end w:w="80" w:type="dxa"/>
            </w:tcMar>
            <w:vAlign w:val="top"/>
          </w:tcPr>
          <w:p>
            <w:pPr>
              <w:spacing w:after="20"/>
            </w:pPr>
            <w:r>
              <w:rPr>
                <w:sz w:val="16"/>
              </w:rPr>
              <w:t>lineage record</w:t>
            </w:r>
          </w:p>
        </w:tc>
        <w:tc>
          <w:tcPr>
            <w:tcW w:type="dxa" w:w="4752"/>
            <w:tcMar>
              <w:top w:w="70" w:type="dxa"/>
              <w:start w:w="80" w:type="dxa"/>
              <w:bottom w:w="70" w:type="dxa"/>
              <w:end w:w="80" w:type="dxa"/>
            </w:tcMar>
            <w:vAlign w:val="top"/>
          </w:tcPr>
          <w:p>
            <w:pPr>
              <w:spacing w:after="20"/>
            </w:pPr>
            <w:r>
              <w:rPr>
                <w:sz w:val="16"/>
              </w:rPr>
              <w:t>Descendant-state path.</w:t>
            </w:r>
          </w:p>
        </w:tc>
      </w:tr>
    </w:tbl>
    <w:p>
      <w:pPr>
        <w:spacing w:after="0"/>
      </w:pPr>
    </w:p>
    <w:p>
      <w:pPr>
        <w:pStyle w:val="Heading1"/>
      </w:pPr>
      <w:r>
        <w:t>6. Model Credibility and Experimental Integrity</w:t>
      </w:r>
    </w:p>
    <w:p>
      <w:r>
        <w:t>Draft 0.2 treats simulation output as evidence requiring credibility assessment, not as self-authenticating truth. Every result must be traceable to the model version, scenario version, configuration, seed, instrumentation path, and acceptance criteria used to produce it.</w:t>
      </w:r>
    </w:p>
    <w:tbl>
      <w:tblPr>
        <w:tblStyle w:val="TableGrid"/>
        <w:tblW w:type="auto" w:w="0"/>
        <w:jc w:val="center"/>
        <w:tblLook w:firstColumn="1" w:firstRow="1" w:lastColumn="0" w:lastRow="0" w:noHBand="0" w:noVBand="1" w:val="04A0"/>
      </w:tblPr>
      <w:tblGrid>
        <w:gridCol w:w="5227"/>
        <w:gridCol w:w="5227"/>
      </w:tblGrid>
      <w:tr>
        <w:tc>
          <w:tcPr>
            <w:tcW w:type="dxa" w:w="3240"/>
            <w:shd w:fill="DCE7F1"/>
            <w:tcMar>
              <w:top w:w="70" w:type="dxa"/>
              <w:start w:w="80" w:type="dxa"/>
              <w:bottom w:w="70" w:type="dxa"/>
              <w:end w:w="80" w:type="dxa"/>
            </w:tcMar>
            <w:vAlign w:val="center"/>
          </w:tcPr>
          <w:p>
            <w:r>
              <w:rPr>
                <w:b/>
                <w:color w:val="183354"/>
                <w:sz w:val="16"/>
              </w:rPr>
              <w:t>Credibility ledger field</w:t>
            </w:r>
          </w:p>
        </w:tc>
        <w:tc>
          <w:tcPr>
            <w:tcW w:type="dxa" w:w="7488"/>
            <w:shd w:fill="DCE7F1"/>
            <w:tcMar>
              <w:top w:w="70" w:type="dxa"/>
              <w:start w:w="80" w:type="dxa"/>
              <w:bottom w:w="70" w:type="dxa"/>
              <w:end w:w="80" w:type="dxa"/>
            </w:tcMar>
            <w:vAlign w:val="center"/>
          </w:tcPr>
          <w:p>
            <w:r>
              <w:rPr>
                <w:b/>
                <w:color w:val="183354"/>
                <w:sz w:val="16"/>
              </w:rPr>
              <w:t>Required entry</w:t>
            </w:r>
          </w:p>
        </w:tc>
      </w:tr>
      <w:tr>
        <w:tc>
          <w:tcPr>
            <w:tcW w:type="dxa" w:w="3240"/>
            <w:tcMar>
              <w:top w:w="70" w:type="dxa"/>
              <w:start w:w="80" w:type="dxa"/>
              <w:bottom w:w="70" w:type="dxa"/>
              <w:end w:w="80" w:type="dxa"/>
            </w:tcMar>
            <w:vAlign w:val="top"/>
          </w:tcPr>
          <w:p>
            <w:pPr>
              <w:spacing w:after="20"/>
            </w:pPr>
            <w:r>
              <w:rPr>
                <w:sz w:val="16"/>
              </w:rPr>
              <w:t>Model version / build</w:t>
            </w:r>
          </w:p>
        </w:tc>
        <w:tc>
          <w:tcPr>
            <w:tcW w:type="dxa" w:w="7488"/>
            <w:tcMar>
              <w:top w:w="70" w:type="dxa"/>
              <w:start w:w="80" w:type="dxa"/>
              <w:bottom w:w="70" w:type="dxa"/>
              <w:end w:w="80" w:type="dxa"/>
            </w:tcMar>
            <w:vAlign w:val="top"/>
          </w:tcPr>
          <w:p>
            <w:pPr>
              <w:spacing w:after="20"/>
            </w:pPr>
            <w:r>
              <w:rPr>
                <w:sz w:val="16"/>
              </w:rPr>
              <w:t>Exact simulation build and dependency set.</w:t>
            </w:r>
          </w:p>
        </w:tc>
      </w:tr>
      <w:tr>
        <w:tc>
          <w:tcPr>
            <w:tcW w:type="dxa" w:w="3240"/>
            <w:tcMar>
              <w:top w:w="70" w:type="dxa"/>
              <w:start w:w="80" w:type="dxa"/>
              <w:bottom w:w="70" w:type="dxa"/>
              <w:end w:w="80" w:type="dxa"/>
            </w:tcMar>
            <w:vAlign w:val="top"/>
          </w:tcPr>
          <w:p>
            <w:pPr>
              <w:spacing w:after="20"/>
            </w:pPr>
            <w:r>
              <w:rPr>
                <w:sz w:val="16"/>
              </w:rPr>
              <w:t>Scenario version</w:t>
            </w:r>
          </w:p>
        </w:tc>
        <w:tc>
          <w:tcPr>
            <w:tcW w:type="dxa" w:w="7488"/>
            <w:tcMar>
              <w:top w:w="70" w:type="dxa"/>
              <w:start w:w="80" w:type="dxa"/>
              <w:bottom w:w="70" w:type="dxa"/>
              <w:end w:w="80" w:type="dxa"/>
            </w:tcMar>
            <w:vAlign w:val="top"/>
          </w:tcPr>
          <w:p>
            <w:pPr>
              <w:spacing w:after="20"/>
            </w:pPr>
            <w:r>
              <w:rPr>
                <w:sz w:val="16"/>
              </w:rPr>
              <w:t>Immutable scenario ID and protocol revision.</w:t>
            </w:r>
          </w:p>
        </w:tc>
      </w:tr>
      <w:tr>
        <w:tc>
          <w:tcPr>
            <w:tcW w:type="dxa" w:w="3240"/>
            <w:tcMar>
              <w:top w:w="70" w:type="dxa"/>
              <w:start w:w="80" w:type="dxa"/>
              <w:bottom w:w="70" w:type="dxa"/>
              <w:end w:w="80" w:type="dxa"/>
            </w:tcMar>
            <w:vAlign w:val="top"/>
          </w:tcPr>
          <w:p>
            <w:pPr>
              <w:spacing w:after="20"/>
            </w:pPr>
            <w:r>
              <w:rPr>
                <w:sz w:val="16"/>
              </w:rPr>
              <w:t>Initial-state fingerprint</w:t>
            </w:r>
          </w:p>
        </w:tc>
        <w:tc>
          <w:tcPr>
            <w:tcW w:type="dxa" w:w="7488"/>
            <w:tcMar>
              <w:top w:w="70" w:type="dxa"/>
              <w:start w:w="80" w:type="dxa"/>
              <w:bottom w:w="70" w:type="dxa"/>
              <w:end w:w="80" w:type="dxa"/>
            </w:tcMar>
            <w:vAlign w:val="top"/>
          </w:tcPr>
          <w:p>
            <w:pPr>
              <w:spacing w:after="20"/>
            </w:pPr>
            <w:r>
              <w:rPr>
                <w:sz w:val="16"/>
              </w:rPr>
              <w:t>Snapshot/hash or equivalent reproducible state identifier.</w:t>
            </w:r>
          </w:p>
        </w:tc>
      </w:tr>
      <w:tr>
        <w:tc>
          <w:tcPr>
            <w:tcW w:type="dxa" w:w="3240"/>
            <w:tcMar>
              <w:top w:w="70" w:type="dxa"/>
              <w:start w:w="80" w:type="dxa"/>
              <w:bottom w:w="70" w:type="dxa"/>
              <w:end w:w="80" w:type="dxa"/>
            </w:tcMar>
            <w:vAlign w:val="top"/>
          </w:tcPr>
          <w:p>
            <w:pPr>
              <w:spacing w:after="20"/>
            </w:pPr>
            <w:r>
              <w:rPr>
                <w:sz w:val="16"/>
              </w:rPr>
              <w:t>Random seed / stochastic configuration</w:t>
            </w:r>
          </w:p>
        </w:tc>
        <w:tc>
          <w:tcPr>
            <w:tcW w:type="dxa" w:w="7488"/>
            <w:tcMar>
              <w:top w:w="70" w:type="dxa"/>
              <w:start w:w="80" w:type="dxa"/>
              <w:bottom w:w="70" w:type="dxa"/>
              <w:end w:w="80" w:type="dxa"/>
            </w:tcMar>
            <w:vAlign w:val="top"/>
          </w:tcPr>
          <w:p>
            <w:pPr>
              <w:spacing w:after="20"/>
            </w:pPr>
            <w:r>
              <w:rPr>
                <w:sz w:val="16"/>
              </w:rPr>
              <w:t>Required for deterministic replay where applicable.</w:t>
            </w:r>
          </w:p>
        </w:tc>
      </w:tr>
      <w:tr>
        <w:tc>
          <w:tcPr>
            <w:tcW w:type="dxa" w:w="3240"/>
            <w:tcMar>
              <w:top w:w="70" w:type="dxa"/>
              <w:start w:w="80" w:type="dxa"/>
              <w:bottom w:w="70" w:type="dxa"/>
              <w:end w:w="80" w:type="dxa"/>
            </w:tcMar>
            <w:vAlign w:val="top"/>
          </w:tcPr>
          <w:p>
            <w:pPr>
              <w:spacing w:after="20"/>
            </w:pPr>
            <w:r>
              <w:rPr>
                <w:sz w:val="16"/>
              </w:rPr>
              <w:t>Instrumentation configuration</w:t>
            </w:r>
          </w:p>
        </w:tc>
        <w:tc>
          <w:tcPr>
            <w:tcW w:type="dxa" w:w="7488"/>
            <w:tcMar>
              <w:top w:w="70" w:type="dxa"/>
              <w:start w:w="80" w:type="dxa"/>
              <w:bottom w:w="70" w:type="dxa"/>
              <w:end w:w="80" w:type="dxa"/>
            </w:tcMar>
            <w:vAlign w:val="top"/>
          </w:tcPr>
          <w:p>
            <w:pPr>
              <w:spacing w:after="20"/>
            </w:pPr>
            <w:r>
              <w:rPr>
                <w:sz w:val="16"/>
              </w:rPr>
              <w:t>Sensors, observers, clock sources, processing paths.</w:t>
            </w:r>
          </w:p>
        </w:tc>
      </w:tr>
      <w:tr>
        <w:tc>
          <w:tcPr>
            <w:tcW w:type="dxa" w:w="3240"/>
            <w:tcMar>
              <w:top w:w="70" w:type="dxa"/>
              <w:start w:w="80" w:type="dxa"/>
              <w:bottom w:w="70" w:type="dxa"/>
              <w:end w:w="80" w:type="dxa"/>
            </w:tcMar>
            <w:vAlign w:val="top"/>
          </w:tcPr>
          <w:p>
            <w:pPr>
              <w:spacing w:after="20"/>
            </w:pPr>
            <w:r>
              <w:rPr>
                <w:sz w:val="16"/>
              </w:rPr>
              <w:t>Expected / null result</w:t>
            </w:r>
          </w:p>
        </w:tc>
        <w:tc>
          <w:tcPr>
            <w:tcW w:type="dxa" w:w="7488"/>
            <w:tcMar>
              <w:top w:w="70" w:type="dxa"/>
              <w:start w:w="80" w:type="dxa"/>
              <w:bottom w:w="70" w:type="dxa"/>
              <w:end w:w="80" w:type="dxa"/>
            </w:tcMar>
            <w:vAlign w:val="top"/>
          </w:tcPr>
          <w:p>
            <w:pPr>
              <w:spacing w:after="20"/>
            </w:pPr>
            <w:r>
              <w:rPr>
                <w:sz w:val="16"/>
              </w:rPr>
              <w:t>Written before run.</w:t>
            </w:r>
          </w:p>
        </w:tc>
      </w:tr>
      <w:tr>
        <w:tc>
          <w:tcPr>
            <w:tcW w:type="dxa" w:w="3240"/>
            <w:tcMar>
              <w:top w:w="70" w:type="dxa"/>
              <w:start w:w="80" w:type="dxa"/>
              <w:bottom w:w="70" w:type="dxa"/>
              <w:end w:w="80" w:type="dxa"/>
            </w:tcMar>
            <w:vAlign w:val="top"/>
          </w:tcPr>
          <w:p>
            <w:pPr>
              <w:spacing w:after="20"/>
            </w:pPr>
            <w:r>
              <w:rPr>
                <w:sz w:val="16"/>
              </w:rPr>
              <w:t>Observed result</w:t>
            </w:r>
          </w:p>
        </w:tc>
        <w:tc>
          <w:tcPr>
            <w:tcW w:type="dxa" w:w="7488"/>
            <w:tcMar>
              <w:top w:w="70" w:type="dxa"/>
              <w:start w:w="80" w:type="dxa"/>
              <w:bottom w:w="70" w:type="dxa"/>
              <w:end w:w="80" w:type="dxa"/>
            </w:tcMar>
            <w:vAlign w:val="top"/>
          </w:tcPr>
          <w:p>
            <w:pPr>
              <w:spacing w:after="20"/>
            </w:pPr>
            <w:r>
              <w:rPr>
                <w:sz w:val="16"/>
              </w:rPr>
              <w:t>Raw observation plus interpreted finding.</w:t>
            </w:r>
          </w:p>
        </w:tc>
      </w:tr>
      <w:tr>
        <w:tc>
          <w:tcPr>
            <w:tcW w:type="dxa" w:w="3240"/>
            <w:tcMar>
              <w:top w:w="70" w:type="dxa"/>
              <w:start w:w="80" w:type="dxa"/>
              <w:bottom w:w="70" w:type="dxa"/>
              <w:end w:w="80" w:type="dxa"/>
            </w:tcMar>
            <w:vAlign w:val="top"/>
          </w:tcPr>
          <w:p>
            <w:pPr>
              <w:spacing w:after="20"/>
            </w:pPr>
            <w:r>
              <w:rPr>
                <w:sz w:val="16"/>
              </w:rPr>
              <w:t>Uncertainty / known limitations</w:t>
            </w:r>
          </w:p>
        </w:tc>
        <w:tc>
          <w:tcPr>
            <w:tcW w:type="dxa" w:w="7488"/>
            <w:tcMar>
              <w:top w:w="70" w:type="dxa"/>
              <w:start w:w="80" w:type="dxa"/>
              <w:bottom w:w="70" w:type="dxa"/>
              <w:end w:w="80" w:type="dxa"/>
            </w:tcMar>
            <w:vAlign w:val="top"/>
          </w:tcPr>
          <w:p>
            <w:pPr>
              <w:spacing w:after="20"/>
            </w:pPr>
            <w:r>
              <w:rPr>
                <w:sz w:val="16"/>
              </w:rPr>
              <w:t>Resolution, missing data, shared dependencies, timing error.</w:t>
            </w:r>
          </w:p>
        </w:tc>
      </w:tr>
      <w:tr>
        <w:tc>
          <w:tcPr>
            <w:tcW w:type="dxa" w:w="3240"/>
            <w:tcMar>
              <w:top w:w="70" w:type="dxa"/>
              <w:start w:w="80" w:type="dxa"/>
              <w:bottom w:w="70" w:type="dxa"/>
              <w:end w:w="80" w:type="dxa"/>
            </w:tcMar>
            <w:vAlign w:val="top"/>
          </w:tcPr>
          <w:p>
            <w:pPr>
              <w:spacing w:after="20"/>
            </w:pPr>
            <w:r>
              <w:rPr>
                <w:sz w:val="16"/>
              </w:rPr>
              <w:t>Replay result</w:t>
            </w:r>
          </w:p>
        </w:tc>
        <w:tc>
          <w:tcPr>
            <w:tcW w:type="dxa" w:w="7488"/>
            <w:tcMar>
              <w:top w:w="70" w:type="dxa"/>
              <w:start w:w="80" w:type="dxa"/>
              <w:bottom w:w="70" w:type="dxa"/>
              <w:end w:w="80" w:type="dxa"/>
            </w:tcMar>
            <w:vAlign w:val="top"/>
          </w:tcPr>
          <w:p>
            <w:pPr>
              <w:spacing w:after="20"/>
            </w:pPr>
            <w:r>
              <w:rPr>
                <w:sz w:val="16"/>
              </w:rPr>
              <w:t>Same state/seed reproduction status.</w:t>
            </w:r>
          </w:p>
        </w:tc>
      </w:tr>
      <w:tr>
        <w:tc>
          <w:tcPr>
            <w:tcW w:type="dxa" w:w="3240"/>
            <w:tcMar>
              <w:top w:w="70" w:type="dxa"/>
              <w:start w:w="80" w:type="dxa"/>
              <w:bottom w:w="70" w:type="dxa"/>
              <w:end w:w="80" w:type="dxa"/>
            </w:tcMar>
            <w:vAlign w:val="top"/>
          </w:tcPr>
          <w:p>
            <w:pPr>
              <w:spacing w:after="20"/>
            </w:pPr>
            <w:r>
              <w:rPr>
                <w:sz w:val="16"/>
              </w:rPr>
              <w:t>Independent recurrence</w:t>
            </w:r>
          </w:p>
        </w:tc>
        <w:tc>
          <w:tcPr>
            <w:tcW w:type="dxa" w:w="7488"/>
            <w:tcMar>
              <w:top w:w="70" w:type="dxa"/>
              <w:start w:w="80" w:type="dxa"/>
              <w:bottom w:w="70" w:type="dxa"/>
              <w:end w:w="80" w:type="dxa"/>
            </w:tcMar>
            <w:vAlign w:val="top"/>
          </w:tcPr>
          <w:p>
            <w:pPr>
              <w:spacing w:after="20"/>
            </w:pPr>
            <w:r>
              <w:rPr>
                <w:sz w:val="16"/>
              </w:rPr>
              <w:t>Equivalent-condition replication status.</w:t>
            </w:r>
          </w:p>
        </w:tc>
      </w:tr>
      <w:tr>
        <w:tc>
          <w:tcPr>
            <w:tcW w:type="dxa" w:w="3240"/>
            <w:tcMar>
              <w:top w:w="70" w:type="dxa"/>
              <w:start w:w="80" w:type="dxa"/>
              <w:bottom w:w="70" w:type="dxa"/>
              <w:end w:w="80" w:type="dxa"/>
            </w:tcMar>
            <w:vAlign w:val="top"/>
          </w:tcPr>
          <w:p>
            <w:pPr>
              <w:spacing w:after="20"/>
            </w:pPr>
            <w:r>
              <w:rPr>
                <w:sz w:val="16"/>
              </w:rPr>
              <w:t>Alternative explanations</w:t>
            </w:r>
          </w:p>
        </w:tc>
        <w:tc>
          <w:tcPr>
            <w:tcW w:type="dxa" w:w="7488"/>
            <w:tcMar>
              <w:top w:w="70" w:type="dxa"/>
              <w:start w:w="80" w:type="dxa"/>
              <w:bottom w:w="70" w:type="dxa"/>
              <w:end w:w="80" w:type="dxa"/>
            </w:tcMar>
            <w:vAlign w:val="top"/>
          </w:tcPr>
          <w:p>
            <w:pPr>
              <w:spacing w:after="20"/>
            </w:pPr>
            <w:r>
              <w:rPr>
                <w:sz w:val="16"/>
              </w:rPr>
              <w:t>At least one competing explanation for positive anomalies.</w:t>
            </w:r>
          </w:p>
        </w:tc>
      </w:tr>
      <w:tr>
        <w:tc>
          <w:tcPr>
            <w:tcW w:type="dxa" w:w="3240"/>
            <w:tcMar>
              <w:top w:w="70" w:type="dxa"/>
              <w:start w:w="80" w:type="dxa"/>
              <w:bottom w:w="70" w:type="dxa"/>
              <w:end w:w="80" w:type="dxa"/>
            </w:tcMar>
            <w:vAlign w:val="top"/>
          </w:tcPr>
          <w:p>
            <w:pPr>
              <w:spacing w:after="20"/>
            </w:pPr>
            <w:r>
              <w:rPr>
                <w:sz w:val="16"/>
              </w:rPr>
              <w:t>Credibility disposition</w:t>
            </w:r>
          </w:p>
        </w:tc>
        <w:tc>
          <w:tcPr>
            <w:tcW w:type="dxa" w:w="7488"/>
            <w:tcMar>
              <w:top w:w="70" w:type="dxa"/>
              <w:start w:w="80" w:type="dxa"/>
              <w:bottom w:w="70" w:type="dxa"/>
              <w:end w:w="80" w:type="dxa"/>
            </w:tcMar>
            <w:vAlign w:val="top"/>
          </w:tcPr>
          <w:p>
            <w:pPr>
              <w:spacing w:after="20"/>
            </w:pPr>
            <w:r>
              <w:rPr>
                <w:sz w:val="16"/>
              </w:rPr>
              <w:t>Supported / weakened / inconclusive / falsified / blocked.</w:t>
            </w:r>
          </w:p>
        </w:tc>
      </w:tr>
    </w:tbl>
    <w:p>
      <w:pPr>
        <w:spacing w:after="0"/>
      </w:pPr>
    </w:p>
    <w:p>
      <w:pPr>
        <w:pStyle w:val="Heading2"/>
      </w:pPr>
      <w:r>
        <w:t>6.1 Deterministic replay vs independent recurrence</w:t>
      </w:r>
    </w:p>
    <w:p>
      <w:pPr>
        <w:pStyle w:val="ListBullet"/>
        <w:spacing w:after="40"/>
      </w:pPr>
      <w:r>
        <w:t>Deterministic replay asks whether the exact same state, seed, and inputs reproduce the event.</w:t>
      </w:r>
    </w:p>
    <w:p>
      <w:pPr>
        <w:pStyle w:val="ListBullet"/>
        <w:spacing w:after="40"/>
      </w:pPr>
      <w:r>
        <w:t>Independent recurrence asks whether the same class of effect appears under equivalent but independently initialized conditions.</w:t>
      </w:r>
    </w:p>
    <w:p>
      <w:pPr>
        <w:pStyle w:val="ListBullet"/>
        <w:spacing w:after="40"/>
      </w:pPr>
      <w:r>
        <w:t>A one-off anomaly that cannot be replayed or independently reproduced is not promoted to a doctrine-level finding.</w:t>
      </w:r>
    </w:p>
    <w:p>
      <w:pPr>
        <w:pStyle w:val="Heading1"/>
      </w:pPr>
      <w:r>
        <w:t>7. Instrumentation Independence and Observer Integrity</w:t>
      </w:r>
    </w:p>
    <w:p>
      <w:r>
        <w:t>Multiple telemetry channels count as independent evidence only when their failure modes are meaningfully independent. Different dashboards backed by the same simulation state store are not independent evidence classes.</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CE7F1"/>
            <w:tcMar>
              <w:top w:w="70" w:type="dxa"/>
              <w:start w:w="80" w:type="dxa"/>
              <w:bottom w:w="70" w:type="dxa"/>
              <w:end w:w="80" w:type="dxa"/>
            </w:tcMar>
            <w:vAlign w:val="center"/>
          </w:tcPr>
          <w:p>
            <w:r>
              <w:rPr>
                <w:b/>
                <w:color w:val="183354"/>
                <w:sz w:val="16"/>
              </w:rPr>
              <w:t>Channel</w:t>
            </w:r>
          </w:p>
        </w:tc>
        <w:tc>
          <w:tcPr>
            <w:tcW w:type="dxa" w:w="3528"/>
            <w:shd w:fill="DCE7F1"/>
            <w:tcMar>
              <w:top w:w="70" w:type="dxa"/>
              <w:start w:w="80" w:type="dxa"/>
              <w:bottom w:w="70" w:type="dxa"/>
              <w:end w:w="80" w:type="dxa"/>
            </w:tcMar>
            <w:vAlign w:val="center"/>
          </w:tcPr>
          <w:p>
            <w:r>
              <w:rPr>
                <w:b/>
                <w:color w:val="183354"/>
                <w:sz w:val="16"/>
              </w:rPr>
              <w:t>Primary observation</w:t>
            </w:r>
          </w:p>
        </w:tc>
        <w:tc>
          <w:tcPr>
            <w:tcW w:type="dxa" w:w="4968"/>
            <w:shd w:fill="DCE7F1"/>
            <w:tcMar>
              <w:top w:w="70" w:type="dxa"/>
              <w:start w:w="80" w:type="dxa"/>
              <w:bottom w:w="70" w:type="dxa"/>
              <w:end w:w="80" w:type="dxa"/>
            </w:tcMar>
            <w:vAlign w:val="center"/>
          </w:tcPr>
          <w:p>
            <w:r>
              <w:rPr>
                <w:b/>
                <w:color w:val="183354"/>
                <w:sz w:val="16"/>
              </w:rPr>
              <w:t>Independence requirement</w:t>
            </w:r>
          </w:p>
        </w:tc>
      </w:tr>
      <w:tr>
        <w:tc>
          <w:tcPr>
            <w:tcW w:type="dxa" w:w="2232"/>
            <w:tcMar>
              <w:top w:w="70" w:type="dxa"/>
              <w:start w:w="80" w:type="dxa"/>
              <w:bottom w:w="70" w:type="dxa"/>
              <w:end w:w="80" w:type="dxa"/>
            </w:tcMar>
            <w:vAlign w:val="top"/>
          </w:tcPr>
          <w:p>
            <w:pPr>
              <w:spacing w:after="20"/>
            </w:pPr>
            <w:r>
              <w:rPr>
                <w:sz w:val="16"/>
              </w:rPr>
              <w:t>Aperture telemetry</w:t>
            </w:r>
          </w:p>
        </w:tc>
        <w:tc>
          <w:tcPr>
            <w:tcW w:type="dxa" w:w="3528"/>
            <w:tcMar>
              <w:top w:w="70" w:type="dxa"/>
              <w:start w:w="80" w:type="dxa"/>
              <w:bottom w:w="70" w:type="dxa"/>
              <w:end w:w="80" w:type="dxa"/>
            </w:tcMar>
            <w:vAlign w:val="top"/>
          </w:tcPr>
          <w:p>
            <w:pPr>
              <w:spacing w:after="20"/>
            </w:pPr>
            <w:r>
              <w:rPr>
                <w:sz w:val="16"/>
              </w:rPr>
              <w:t>Window state transitions and transfer attempts.</w:t>
            </w:r>
          </w:p>
        </w:tc>
        <w:tc>
          <w:tcPr>
            <w:tcW w:type="dxa" w:w="4968"/>
            <w:tcMar>
              <w:top w:w="70" w:type="dxa"/>
              <w:start w:w="80" w:type="dxa"/>
              <w:bottom w:w="70" w:type="dxa"/>
              <w:end w:w="80" w:type="dxa"/>
            </w:tcMar>
            <w:vAlign w:val="top"/>
          </w:tcPr>
          <w:p>
            <w:pPr>
              <w:spacing w:after="20"/>
            </w:pPr>
            <w:r>
              <w:rPr>
                <w:sz w:val="16"/>
              </w:rPr>
              <w:t>Separate logging path from scenario event generator where possible.</w:t>
            </w:r>
          </w:p>
        </w:tc>
      </w:tr>
      <w:tr>
        <w:tc>
          <w:tcPr>
            <w:tcW w:type="dxa" w:w="2232"/>
            <w:tcMar>
              <w:top w:w="70" w:type="dxa"/>
              <w:start w:w="80" w:type="dxa"/>
              <w:bottom w:w="70" w:type="dxa"/>
              <w:end w:w="80" w:type="dxa"/>
            </w:tcMar>
            <w:vAlign w:val="top"/>
          </w:tcPr>
          <w:p>
            <w:pPr>
              <w:spacing w:after="20"/>
            </w:pPr>
            <w:r>
              <w:rPr>
                <w:sz w:val="16"/>
              </w:rPr>
              <w:t>Environment telemetry</w:t>
            </w:r>
          </w:p>
        </w:tc>
        <w:tc>
          <w:tcPr>
            <w:tcW w:type="dxa" w:w="3528"/>
            <w:tcMar>
              <w:top w:w="70" w:type="dxa"/>
              <w:start w:w="80" w:type="dxa"/>
              <w:bottom w:w="70" w:type="dxa"/>
              <w:end w:w="80" w:type="dxa"/>
            </w:tcMar>
            <w:vAlign w:val="top"/>
          </w:tcPr>
          <w:p>
            <w:pPr>
              <w:spacing w:after="20"/>
            </w:pPr>
            <w:r>
              <w:rPr>
                <w:sz w:val="16"/>
              </w:rPr>
              <w:t>Temperature/color/sound/state proxy values.</w:t>
            </w:r>
          </w:p>
        </w:tc>
        <w:tc>
          <w:tcPr>
            <w:tcW w:type="dxa" w:w="4968"/>
            <w:tcMar>
              <w:top w:w="70" w:type="dxa"/>
              <w:start w:w="80" w:type="dxa"/>
              <w:bottom w:w="70" w:type="dxa"/>
              <w:end w:w="80" w:type="dxa"/>
            </w:tcMar>
            <w:vAlign w:val="top"/>
          </w:tcPr>
          <w:p>
            <w:pPr>
              <w:spacing w:after="20"/>
            </w:pPr>
            <w:r>
              <w:rPr>
                <w:sz w:val="16"/>
              </w:rPr>
              <w:t>Independent sampling pipeline or post-run state extraction.</w:t>
            </w:r>
          </w:p>
        </w:tc>
      </w:tr>
      <w:tr>
        <w:tc>
          <w:tcPr>
            <w:tcW w:type="dxa" w:w="2232"/>
            <w:tcMar>
              <w:top w:w="70" w:type="dxa"/>
              <w:start w:w="80" w:type="dxa"/>
              <w:bottom w:w="70" w:type="dxa"/>
              <w:end w:w="80" w:type="dxa"/>
            </w:tcMar>
            <w:vAlign w:val="top"/>
          </w:tcPr>
          <w:p>
            <w:pPr>
              <w:spacing w:after="20"/>
            </w:pPr>
            <w:r>
              <w:rPr>
                <w:sz w:val="16"/>
              </w:rPr>
              <w:t>Agent telemetry</w:t>
            </w:r>
          </w:p>
        </w:tc>
        <w:tc>
          <w:tcPr>
            <w:tcW w:type="dxa" w:w="3528"/>
            <w:tcMar>
              <w:top w:w="70" w:type="dxa"/>
              <w:start w:w="80" w:type="dxa"/>
              <w:bottom w:w="70" w:type="dxa"/>
              <w:end w:w="80" w:type="dxa"/>
            </w:tcMar>
            <w:vAlign w:val="top"/>
          </w:tcPr>
          <w:p>
            <w:pPr>
              <w:spacing w:after="20"/>
            </w:pPr>
            <w:r>
              <w:rPr>
                <w:sz w:val="16"/>
              </w:rPr>
              <w:t>Gaze, motion, proximity, behavior.</w:t>
            </w:r>
          </w:p>
        </w:tc>
        <w:tc>
          <w:tcPr>
            <w:tcW w:type="dxa" w:w="4968"/>
            <w:tcMar>
              <w:top w:w="70" w:type="dxa"/>
              <w:start w:w="80" w:type="dxa"/>
              <w:bottom w:w="70" w:type="dxa"/>
              <w:end w:w="80" w:type="dxa"/>
            </w:tcMar>
            <w:vAlign w:val="top"/>
          </w:tcPr>
          <w:p>
            <w:pPr>
              <w:spacing w:after="20"/>
            </w:pPr>
            <w:r>
              <w:rPr>
                <w:sz w:val="16"/>
              </w:rPr>
              <w:t>Independent event timestamps and raw trajectories retained.</w:t>
            </w:r>
          </w:p>
        </w:tc>
      </w:tr>
      <w:tr>
        <w:tc>
          <w:tcPr>
            <w:tcW w:type="dxa" w:w="2232"/>
            <w:tcMar>
              <w:top w:w="70" w:type="dxa"/>
              <w:start w:w="80" w:type="dxa"/>
              <w:bottom w:w="70" w:type="dxa"/>
              <w:end w:w="80" w:type="dxa"/>
            </w:tcMar>
            <w:vAlign w:val="top"/>
          </w:tcPr>
          <w:p>
            <w:pPr>
              <w:spacing w:after="20"/>
            </w:pPr>
            <w:r>
              <w:rPr>
                <w:sz w:val="16"/>
              </w:rPr>
              <w:t>Surveillance observer</w:t>
            </w:r>
          </w:p>
        </w:tc>
        <w:tc>
          <w:tcPr>
            <w:tcW w:type="dxa" w:w="3528"/>
            <w:tcMar>
              <w:top w:w="70" w:type="dxa"/>
              <w:start w:w="80" w:type="dxa"/>
              <w:bottom w:w="70" w:type="dxa"/>
              <w:end w:w="80" w:type="dxa"/>
            </w:tcMar>
            <w:vAlign w:val="top"/>
          </w:tcPr>
          <w:p>
            <w:pPr>
              <w:spacing w:after="20"/>
            </w:pPr>
            <w:r>
              <w:rPr>
                <w:sz w:val="16"/>
              </w:rPr>
              <w:t>Third-person/L0 representation.</w:t>
            </w:r>
          </w:p>
        </w:tc>
        <w:tc>
          <w:tcPr>
            <w:tcW w:type="dxa" w:w="4968"/>
            <w:tcMar>
              <w:top w:w="70" w:type="dxa"/>
              <w:start w:w="80" w:type="dxa"/>
              <w:bottom w:w="70" w:type="dxa"/>
              <w:end w:w="80" w:type="dxa"/>
            </w:tcMar>
            <w:vAlign w:val="top"/>
          </w:tcPr>
          <w:p>
            <w:pPr>
              <w:spacing w:after="20"/>
            </w:pPr>
            <w:r>
              <w:rPr>
                <w:sz w:val="16"/>
              </w:rPr>
              <w:t>Must not merely mirror agent perception buffer.</w:t>
            </w:r>
          </w:p>
        </w:tc>
      </w:tr>
      <w:tr>
        <w:tc>
          <w:tcPr>
            <w:tcW w:type="dxa" w:w="2232"/>
            <w:tcMar>
              <w:top w:w="70" w:type="dxa"/>
              <w:start w:w="80" w:type="dxa"/>
              <w:bottom w:w="70" w:type="dxa"/>
              <w:end w:w="80" w:type="dxa"/>
            </w:tcMar>
            <w:vAlign w:val="top"/>
          </w:tcPr>
          <w:p>
            <w:pPr>
              <w:spacing w:after="20"/>
            </w:pPr>
            <w:r>
              <w:rPr>
                <w:sz w:val="16"/>
              </w:rPr>
              <w:t>BTEC ledger</w:t>
            </w:r>
          </w:p>
        </w:tc>
        <w:tc>
          <w:tcPr>
            <w:tcW w:type="dxa" w:w="3528"/>
            <w:tcMar>
              <w:top w:w="70" w:type="dxa"/>
              <w:start w:w="80" w:type="dxa"/>
              <w:bottom w:w="70" w:type="dxa"/>
              <w:end w:w="80" w:type="dxa"/>
            </w:tcMar>
            <w:vAlign w:val="top"/>
          </w:tcPr>
          <w:p>
            <w:pPr>
              <w:spacing w:after="20"/>
            </w:pPr>
            <w:r>
              <w:rPr>
                <w:sz w:val="16"/>
              </w:rPr>
              <w:t>Declared event lifecycle.</w:t>
            </w:r>
          </w:p>
        </w:tc>
        <w:tc>
          <w:tcPr>
            <w:tcW w:type="dxa" w:w="4968"/>
            <w:tcMar>
              <w:top w:w="70" w:type="dxa"/>
              <w:start w:w="80" w:type="dxa"/>
              <w:bottom w:w="70" w:type="dxa"/>
              <w:end w:w="80" w:type="dxa"/>
            </w:tcMar>
            <w:vAlign w:val="top"/>
          </w:tcPr>
          <w:p>
            <w:pPr>
              <w:spacing w:after="20"/>
            </w:pPr>
            <w:r>
              <w:rPr>
                <w:sz w:val="16"/>
              </w:rPr>
              <w:t>Immutable event IDs and acknowledgements.</w:t>
            </w:r>
          </w:p>
        </w:tc>
      </w:tr>
      <w:tr>
        <w:tc>
          <w:tcPr>
            <w:tcW w:type="dxa" w:w="2232"/>
            <w:tcMar>
              <w:top w:w="70" w:type="dxa"/>
              <w:start w:w="80" w:type="dxa"/>
              <w:bottom w:w="70" w:type="dxa"/>
              <w:end w:w="80" w:type="dxa"/>
            </w:tcMar>
            <w:vAlign w:val="top"/>
          </w:tcPr>
          <w:p>
            <w:pPr>
              <w:spacing w:after="20"/>
            </w:pPr>
            <w:r>
              <w:rPr>
                <w:sz w:val="16"/>
              </w:rPr>
              <w:t>Effect-closure observer</w:t>
            </w:r>
          </w:p>
        </w:tc>
        <w:tc>
          <w:tcPr>
            <w:tcW w:type="dxa" w:w="3528"/>
            <w:tcMar>
              <w:top w:w="70" w:type="dxa"/>
              <w:start w:w="80" w:type="dxa"/>
              <w:bottom w:w="70" w:type="dxa"/>
              <w:end w:w="80" w:type="dxa"/>
            </w:tcMar>
            <w:vAlign w:val="top"/>
          </w:tcPr>
          <w:p>
            <w:pPr>
              <w:spacing w:after="20"/>
            </w:pPr>
            <w:r>
              <w:rPr>
                <w:sz w:val="16"/>
              </w:rPr>
              <w:t>Residual consequence detection.</w:t>
            </w:r>
          </w:p>
        </w:tc>
        <w:tc>
          <w:tcPr>
            <w:tcW w:type="dxa" w:w="4968"/>
            <w:tcMar>
              <w:top w:w="70" w:type="dxa"/>
              <w:start w:w="80" w:type="dxa"/>
              <w:bottom w:w="70" w:type="dxa"/>
              <w:end w:w="80" w:type="dxa"/>
            </w:tcMar>
            <w:vAlign w:val="top"/>
          </w:tcPr>
          <w:p>
            <w:pPr>
              <w:spacing w:after="20"/>
            </w:pPr>
            <w:r>
              <w:rPr>
                <w:sz w:val="16"/>
              </w:rPr>
              <w:t>Not derived solely from BTEC closed flag.</w:t>
            </w:r>
          </w:p>
        </w:tc>
      </w:tr>
      <w:tr>
        <w:tc>
          <w:tcPr>
            <w:tcW w:type="dxa" w:w="2232"/>
            <w:tcMar>
              <w:top w:w="70" w:type="dxa"/>
              <w:start w:w="80" w:type="dxa"/>
              <w:bottom w:w="70" w:type="dxa"/>
              <w:end w:w="80" w:type="dxa"/>
            </w:tcMar>
            <w:vAlign w:val="top"/>
          </w:tcPr>
          <w:p>
            <w:pPr>
              <w:spacing w:after="20"/>
            </w:pPr>
            <w:r>
              <w:rPr>
                <w:sz w:val="16"/>
              </w:rPr>
              <w:t>Clock audit</w:t>
            </w:r>
          </w:p>
        </w:tc>
        <w:tc>
          <w:tcPr>
            <w:tcW w:type="dxa" w:w="3528"/>
            <w:tcMar>
              <w:top w:w="70" w:type="dxa"/>
              <w:start w:w="80" w:type="dxa"/>
              <w:bottom w:w="70" w:type="dxa"/>
              <w:end w:w="80" w:type="dxa"/>
            </w:tcMar>
            <w:vAlign w:val="top"/>
          </w:tcPr>
          <w:p>
            <w:pPr>
              <w:spacing w:after="20"/>
            </w:pPr>
            <w:r>
              <w:rPr>
                <w:sz w:val="16"/>
              </w:rPr>
              <w:t>Native/local/master/monotonic/sequence time.</w:t>
            </w:r>
          </w:p>
        </w:tc>
        <w:tc>
          <w:tcPr>
            <w:tcW w:type="dxa" w:w="4968"/>
            <w:tcMar>
              <w:top w:w="70" w:type="dxa"/>
              <w:start w:w="80" w:type="dxa"/>
              <w:bottom w:w="70" w:type="dxa"/>
              <w:end w:w="80" w:type="dxa"/>
            </w:tcMar>
            <w:vAlign w:val="top"/>
          </w:tcPr>
          <w:p>
            <w:pPr>
              <w:spacing w:after="20"/>
            </w:pPr>
            <w:r>
              <w:rPr>
                <w:sz w:val="16"/>
              </w:rPr>
              <w:t>At least two clock authorities or sequence ordering source.</w:t>
            </w:r>
          </w:p>
        </w:tc>
      </w:tr>
      <w:tr>
        <w:tc>
          <w:tcPr>
            <w:tcW w:type="dxa" w:w="2232"/>
            <w:tcMar>
              <w:top w:w="70" w:type="dxa"/>
              <w:start w:w="80" w:type="dxa"/>
              <w:bottom w:w="70" w:type="dxa"/>
              <w:end w:w="80" w:type="dxa"/>
            </w:tcMar>
            <w:vAlign w:val="top"/>
          </w:tcPr>
          <w:p>
            <w:pPr>
              <w:spacing w:after="20"/>
            </w:pPr>
            <w:r>
              <w:rPr>
                <w:sz w:val="16"/>
              </w:rPr>
              <w:t>Provenance ledger</w:t>
            </w:r>
          </w:p>
        </w:tc>
        <w:tc>
          <w:tcPr>
            <w:tcW w:type="dxa" w:w="3528"/>
            <w:tcMar>
              <w:top w:w="70" w:type="dxa"/>
              <w:start w:w="80" w:type="dxa"/>
              <w:bottom w:w="70" w:type="dxa"/>
              <w:end w:w="80" w:type="dxa"/>
            </w:tcMar>
            <w:vAlign w:val="top"/>
          </w:tcPr>
          <w:p>
            <w:pPr>
              <w:spacing w:after="20"/>
            </w:pPr>
            <w:r>
              <w:rPr>
                <w:sz w:val="16"/>
              </w:rPr>
              <w:t>Carrier/descendant lineage.</w:t>
            </w:r>
          </w:p>
        </w:tc>
        <w:tc>
          <w:tcPr>
            <w:tcW w:type="dxa" w:w="4968"/>
            <w:tcMar>
              <w:top w:w="70" w:type="dxa"/>
              <w:start w:w="80" w:type="dxa"/>
              <w:bottom w:w="70" w:type="dxa"/>
              <w:end w:w="80" w:type="dxa"/>
            </w:tcMar>
            <w:vAlign w:val="top"/>
          </w:tcPr>
          <w:p>
            <w:pPr>
              <w:spacing w:after="20"/>
            </w:pPr>
            <w:r>
              <w:rPr>
                <w:sz w:val="16"/>
              </w:rPr>
              <w:t>Separate from event-closure semantics.</w:t>
            </w:r>
          </w:p>
        </w:tc>
      </w:tr>
    </w:tbl>
    <w:p>
      <w:pPr>
        <w:spacing w:after="0"/>
      </w:pPr>
    </w:p>
    <w:p>
      <w:pPr>
        <w:pStyle w:val="Heading2"/>
      </w:pPr>
      <w:r>
        <w:t>7.1 Observer Integrity scenario family (new)</w:t>
      </w:r>
    </w:p>
    <w:tbl>
      <w:tblPr>
        <w:tblStyle w:val="TableGrid"/>
        <w:tblW w:type="auto" w:w="0"/>
        <w:jc w:val="center"/>
        <w:tblLook w:firstColumn="1" w:firstRow="1" w:lastColumn="0" w:lastRow="0" w:noHBand="0" w:noVBand="1" w:val="04A0"/>
      </w:tblPr>
      <w:tblGrid>
        <w:gridCol w:w="3485"/>
        <w:gridCol w:w="3485"/>
        <w:gridCol w:w="3485"/>
      </w:tblGrid>
      <w:tr>
        <w:tc>
          <w:tcPr>
            <w:tcW w:type="dxa" w:w="1080"/>
            <w:shd w:fill="DCE7F1"/>
            <w:tcMar>
              <w:top w:w="70" w:type="dxa"/>
              <w:start w:w="80" w:type="dxa"/>
              <w:bottom w:w="70" w:type="dxa"/>
              <w:end w:w="80" w:type="dxa"/>
            </w:tcMar>
            <w:vAlign w:val="center"/>
          </w:tcPr>
          <w:p>
            <w:r>
              <w:rPr>
                <w:b/>
                <w:color w:val="183354"/>
                <w:sz w:val="16"/>
              </w:rPr>
              <w:t>ID</w:t>
            </w:r>
          </w:p>
        </w:tc>
        <w:tc>
          <w:tcPr>
            <w:tcW w:type="dxa" w:w="3168"/>
            <w:shd w:fill="DCE7F1"/>
            <w:tcMar>
              <w:top w:w="70" w:type="dxa"/>
              <w:start w:w="80" w:type="dxa"/>
              <w:bottom w:w="70" w:type="dxa"/>
              <w:end w:w="80" w:type="dxa"/>
            </w:tcMar>
            <w:vAlign w:val="center"/>
          </w:tcPr>
          <w:p>
            <w:r>
              <w:rPr>
                <w:b/>
                <w:color w:val="183354"/>
                <w:sz w:val="16"/>
              </w:rPr>
              <w:t>Scenario</w:t>
            </w:r>
          </w:p>
        </w:tc>
        <w:tc>
          <w:tcPr>
            <w:tcW w:type="dxa" w:w="6480"/>
            <w:shd w:fill="DCE7F1"/>
            <w:tcMar>
              <w:top w:w="70" w:type="dxa"/>
              <w:start w:w="80" w:type="dxa"/>
              <w:bottom w:w="70" w:type="dxa"/>
              <w:end w:w="80" w:type="dxa"/>
            </w:tcMar>
            <w:vAlign w:val="center"/>
          </w:tcPr>
          <w:p>
            <w:r>
              <w:rPr>
                <w:b/>
                <w:color w:val="183354"/>
                <w:sz w:val="16"/>
              </w:rPr>
              <w:t>Pass question</w:t>
            </w:r>
          </w:p>
        </w:tc>
      </w:tr>
      <w:tr>
        <w:tc>
          <w:tcPr>
            <w:tcW w:type="dxa" w:w="1080"/>
            <w:tcMar>
              <w:top w:w="70" w:type="dxa"/>
              <w:start w:w="80" w:type="dxa"/>
              <w:bottom w:w="70" w:type="dxa"/>
              <w:end w:w="80" w:type="dxa"/>
            </w:tcMar>
            <w:vAlign w:val="top"/>
          </w:tcPr>
          <w:p>
            <w:pPr>
              <w:spacing w:after="20"/>
            </w:pPr>
            <w:r>
              <w:rPr>
                <w:sz w:val="16"/>
              </w:rPr>
              <w:t>OI-1</w:t>
            </w:r>
          </w:p>
        </w:tc>
        <w:tc>
          <w:tcPr>
            <w:tcW w:type="dxa" w:w="3168"/>
            <w:tcMar>
              <w:top w:w="70" w:type="dxa"/>
              <w:start w:w="80" w:type="dxa"/>
              <w:bottom w:w="70" w:type="dxa"/>
              <w:end w:w="80" w:type="dxa"/>
            </w:tcMar>
            <w:vAlign w:val="top"/>
          </w:tcPr>
          <w:p>
            <w:pPr>
              <w:spacing w:after="20"/>
            </w:pPr>
            <w:r>
              <w:rPr>
                <w:sz w:val="16"/>
              </w:rPr>
              <w:t>Independent Sensor Cross-Check</w:t>
            </w:r>
          </w:p>
        </w:tc>
        <w:tc>
          <w:tcPr>
            <w:tcW w:type="dxa" w:w="6480"/>
            <w:tcMar>
              <w:top w:w="70" w:type="dxa"/>
              <w:start w:w="80" w:type="dxa"/>
              <w:bottom w:w="70" w:type="dxa"/>
              <w:end w:w="80" w:type="dxa"/>
            </w:tcMar>
            <w:vAlign w:val="top"/>
          </w:tcPr>
          <w:p>
            <w:pPr>
              <w:spacing w:after="20"/>
            </w:pPr>
            <w:r>
              <w:rPr>
                <w:sz w:val="16"/>
              </w:rPr>
              <w:t>Do architecturally distinct observers agree on a known-positive marker?</w:t>
            </w:r>
          </w:p>
        </w:tc>
      </w:tr>
      <w:tr>
        <w:tc>
          <w:tcPr>
            <w:tcW w:type="dxa" w:w="1080"/>
            <w:tcMar>
              <w:top w:w="70" w:type="dxa"/>
              <w:start w:w="80" w:type="dxa"/>
              <w:bottom w:w="70" w:type="dxa"/>
              <w:end w:w="80" w:type="dxa"/>
            </w:tcMar>
            <w:vAlign w:val="top"/>
          </w:tcPr>
          <w:p>
            <w:pPr>
              <w:spacing w:after="20"/>
            </w:pPr>
            <w:r>
              <w:rPr>
                <w:sz w:val="16"/>
              </w:rPr>
              <w:t>OI-2</w:t>
            </w:r>
          </w:p>
        </w:tc>
        <w:tc>
          <w:tcPr>
            <w:tcW w:type="dxa" w:w="3168"/>
            <w:tcMar>
              <w:top w:w="70" w:type="dxa"/>
              <w:start w:w="80" w:type="dxa"/>
              <w:bottom w:w="70" w:type="dxa"/>
              <w:end w:w="80" w:type="dxa"/>
            </w:tcMar>
            <w:vAlign w:val="top"/>
          </w:tcPr>
          <w:p>
            <w:pPr>
              <w:spacing w:after="20"/>
            </w:pPr>
            <w:r>
              <w:rPr>
                <w:sz w:val="16"/>
              </w:rPr>
              <w:t>Sensor Fault Injection</w:t>
            </w:r>
          </w:p>
        </w:tc>
        <w:tc>
          <w:tcPr>
            <w:tcW w:type="dxa" w:w="6480"/>
            <w:tcMar>
              <w:top w:w="70" w:type="dxa"/>
              <w:start w:w="80" w:type="dxa"/>
              <w:bottom w:w="70" w:type="dxa"/>
              <w:end w:w="80" w:type="dxa"/>
            </w:tcMar>
            <w:vAlign w:val="top"/>
          </w:tcPr>
          <w:p>
            <w:pPr>
              <w:spacing w:after="20"/>
            </w:pPr>
            <w:r>
              <w:rPr>
                <w:sz w:val="16"/>
              </w:rPr>
              <w:t>Does the system detect a deliberately corrupted/lagging telemetry channel?</w:t>
            </w:r>
          </w:p>
        </w:tc>
      </w:tr>
      <w:tr>
        <w:tc>
          <w:tcPr>
            <w:tcW w:type="dxa" w:w="1080"/>
            <w:tcMar>
              <w:top w:w="70" w:type="dxa"/>
              <w:start w:w="80" w:type="dxa"/>
              <w:bottom w:w="70" w:type="dxa"/>
              <w:end w:w="80" w:type="dxa"/>
            </w:tcMar>
            <w:vAlign w:val="top"/>
          </w:tcPr>
          <w:p>
            <w:pPr>
              <w:spacing w:after="20"/>
            </w:pPr>
            <w:r>
              <w:rPr>
                <w:sz w:val="16"/>
              </w:rPr>
              <w:t>OI-3</w:t>
            </w:r>
          </w:p>
        </w:tc>
        <w:tc>
          <w:tcPr>
            <w:tcW w:type="dxa" w:w="3168"/>
            <w:tcMar>
              <w:top w:w="70" w:type="dxa"/>
              <w:start w:w="80" w:type="dxa"/>
              <w:bottom w:w="70" w:type="dxa"/>
              <w:end w:w="80" w:type="dxa"/>
            </w:tcMar>
            <w:vAlign w:val="top"/>
          </w:tcPr>
          <w:p>
            <w:pPr>
              <w:spacing w:after="20"/>
            </w:pPr>
            <w:r>
              <w:rPr>
                <w:sz w:val="16"/>
              </w:rPr>
              <w:t>Observer Disagreement</w:t>
            </w:r>
          </w:p>
        </w:tc>
        <w:tc>
          <w:tcPr>
            <w:tcW w:type="dxa" w:w="6480"/>
            <w:tcMar>
              <w:top w:w="70" w:type="dxa"/>
              <w:start w:w="80" w:type="dxa"/>
              <w:bottom w:w="70" w:type="dxa"/>
              <w:end w:w="80" w:type="dxa"/>
            </w:tcMar>
            <w:vAlign w:val="top"/>
          </w:tcPr>
          <w:p>
            <w:pPr>
              <w:spacing w:after="20"/>
            </w:pPr>
            <w:r>
              <w:rPr>
                <w:sz w:val="16"/>
              </w:rPr>
              <w:t>Can the protocol remain neutral when Layer 0 and Layer 1 disagree?</w:t>
            </w:r>
          </w:p>
        </w:tc>
      </w:tr>
      <w:tr>
        <w:tc>
          <w:tcPr>
            <w:tcW w:type="dxa" w:w="1080"/>
            <w:tcMar>
              <w:top w:w="70" w:type="dxa"/>
              <w:start w:w="80" w:type="dxa"/>
              <w:bottom w:w="70" w:type="dxa"/>
              <w:end w:w="80" w:type="dxa"/>
            </w:tcMar>
            <w:vAlign w:val="top"/>
          </w:tcPr>
          <w:p>
            <w:pPr>
              <w:spacing w:after="20"/>
            </w:pPr>
            <w:r>
              <w:rPr>
                <w:sz w:val="16"/>
              </w:rPr>
              <w:t>OI-4</w:t>
            </w:r>
          </w:p>
        </w:tc>
        <w:tc>
          <w:tcPr>
            <w:tcW w:type="dxa" w:w="3168"/>
            <w:tcMar>
              <w:top w:w="70" w:type="dxa"/>
              <w:start w:w="80" w:type="dxa"/>
              <w:bottom w:w="70" w:type="dxa"/>
              <w:end w:w="80" w:type="dxa"/>
            </w:tcMar>
            <w:vAlign w:val="top"/>
          </w:tcPr>
          <w:p>
            <w:pPr>
              <w:spacing w:after="20"/>
            </w:pPr>
            <w:r>
              <w:rPr>
                <w:sz w:val="16"/>
              </w:rPr>
              <w:t>Observer-of-Observer</w:t>
            </w:r>
          </w:p>
        </w:tc>
        <w:tc>
          <w:tcPr>
            <w:tcW w:type="dxa" w:w="6480"/>
            <w:tcMar>
              <w:top w:w="70" w:type="dxa"/>
              <w:start w:w="80" w:type="dxa"/>
              <w:bottom w:w="70" w:type="dxa"/>
              <w:end w:w="80" w:type="dxa"/>
            </w:tcMar>
            <w:vAlign w:val="top"/>
          </w:tcPr>
          <w:p>
            <w:pPr>
              <w:spacing w:after="20"/>
            </w:pPr>
            <w:r>
              <w:rPr>
                <w:sz w:val="16"/>
              </w:rPr>
              <w:t>Can a secondary audit path detect primary monitor state changes?</w:t>
            </w:r>
          </w:p>
        </w:tc>
      </w:tr>
      <w:tr>
        <w:tc>
          <w:tcPr>
            <w:tcW w:type="dxa" w:w="1080"/>
            <w:tcMar>
              <w:top w:w="70" w:type="dxa"/>
              <w:start w:w="80" w:type="dxa"/>
              <w:bottom w:w="70" w:type="dxa"/>
              <w:end w:w="80" w:type="dxa"/>
            </w:tcMar>
            <w:vAlign w:val="top"/>
          </w:tcPr>
          <w:p>
            <w:pPr>
              <w:spacing w:after="20"/>
            </w:pPr>
            <w:r>
              <w:rPr>
                <w:sz w:val="16"/>
              </w:rPr>
              <w:t>OI-5</w:t>
            </w:r>
          </w:p>
        </w:tc>
        <w:tc>
          <w:tcPr>
            <w:tcW w:type="dxa" w:w="3168"/>
            <w:tcMar>
              <w:top w:w="70" w:type="dxa"/>
              <w:start w:w="80" w:type="dxa"/>
              <w:bottom w:w="70" w:type="dxa"/>
              <w:end w:w="80" w:type="dxa"/>
            </w:tcMar>
            <w:vAlign w:val="top"/>
          </w:tcPr>
          <w:p>
            <w:pPr>
              <w:spacing w:after="20"/>
            </w:pPr>
            <w:r>
              <w:rPr>
                <w:sz w:val="16"/>
              </w:rPr>
              <w:t>Blind-Channel Test</w:t>
            </w:r>
          </w:p>
        </w:tc>
        <w:tc>
          <w:tcPr>
            <w:tcW w:type="dxa" w:w="6480"/>
            <w:tcMar>
              <w:top w:w="70" w:type="dxa"/>
              <w:start w:w="80" w:type="dxa"/>
              <w:bottom w:w="70" w:type="dxa"/>
              <w:end w:w="80" w:type="dxa"/>
            </w:tcMar>
            <w:vAlign w:val="top"/>
          </w:tcPr>
          <w:p>
            <w:pPr>
              <w:spacing w:after="20"/>
            </w:pPr>
            <w:r>
              <w:rPr>
                <w:sz w:val="16"/>
              </w:rPr>
              <w:t>Can a known harmless effect outside the primary detector ontology be recovered by another observer?</w:t>
            </w:r>
          </w:p>
        </w:tc>
      </w:tr>
    </w:tbl>
    <w:p>
      <w:pPr>
        <w:spacing w:after="0"/>
      </w:pPr>
    </w:p>
    <w:p>
      <w:pPr>
        <w:pStyle w:val="Heading1"/>
      </w:pPr>
      <w:r>
        <w:t>8. BTEC 0.2: Event Closure, Effect Closure, and Lineage Extinction</w:t>
      </w:r>
    </w:p>
    <w:p>
      <w:r>
        <w:t>Bi-Directional Total Event Closure remains a central concept, but 0.2 separates three questions that were previously conflated.</w:t>
      </w:r>
    </w:p>
    <w:tbl>
      <w:tblPr>
        <w:tblStyle w:val="TableGrid"/>
        <w:tblW w:type="auto" w:w="0"/>
        <w:jc w:val="center"/>
        <w:tblLook w:firstColumn="1" w:firstRow="1" w:lastColumn="0" w:lastRow="0" w:noHBand="0" w:noVBand="1" w:val="04A0"/>
      </w:tblPr>
      <w:tblGrid>
        <w:gridCol w:w="3485"/>
        <w:gridCol w:w="3485"/>
        <w:gridCol w:w="3485"/>
      </w:tblGrid>
      <w:tr>
        <w:tc>
          <w:tcPr>
            <w:tcW w:type="dxa" w:w="2736"/>
            <w:shd w:fill="DCE7F1"/>
            <w:tcMar>
              <w:top w:w="70" w:type="dxa"/>
              <w:start w:w="80" w:type="dxa"/>
              <w:bottom w:w="70" w:type="dxa"/>
              <w:end w:w="80" w:type="dxa"/>
            </w:tcMar>
            <w:vAlign w:val="center"/>
          </w:tcPr>
          <w:p>
            <w:r>
              <w:rPr>
                <w:b/>
                <w:color w:val="183354"/>
                <w:sz w:val="16"/>
              </w:rPr>
              <w:t>Layer</w:t>
            </w:r>
          </w:p>
        </w:tc>
        <w:tc>
          <w:tcPr>
            <w:tcW w:type="dxa" w:w="3816"/>
            <w:shd w:fill="DCE7F1"/>
            <w:tcMar>
              <w:top w:w="70" w:type="dxa"/>
              <w:start w:w="80" w:type="dxa"/>
              <w:bottom w:w="70" w:type="dxa"/>
              <w:end w:w="80" w:type="dxa"/>
            </w:tcMar>
            <w:vAlign w:val="center"/>
          </w:tcPr>
          <w:p>
            <w:r>
              <w:rPr>
                <w:b/>
                <w:color w:val="183354"/>
                <w:sz w:val="16"/>
              </w:rPr>
              <w:t>Question</w:t>
            </w:r>
          </w:p>
        </w:tc>
        <w:tc>
          <w:tcPr>
            <w:tcW w:type="dxa" w:w="4464"/>
            <w:shd w:fill="DCE7F1"/>
            <w:tcMar>
              <w:top w:w="70" w:type="dxa"/>
              <w:start w:w="80" w:type="dxa"/>
              <w:bottom w:w="70" w:type="dxa"/>
              <w:end w:w="80" w:type="dxa"/>
            </w:tcMar>
            <w:vAlign w:val="center"/>
          </w:tcPr>
          <w:p>
            <w:r>
              <w:rPr>
                <w:b/>
                <w:color w:val="183354"/>
                <w:sz w:val="16"/>
              </w:rPr>
              <w:t>Example failure</w:t>
            </w:r>
          </w:p>
        </w:tc>
      </w:tr>
      <w:tr>
        <w:tc>
          <w:tcPr>
            <w:tcW w:type="dxa" w:w="2736"/>
            <w:tcMar>
              <w:top w:w="70" w:type="dxa"/>
              <w:start w:w="80" w:type="dxa"/>
              <w:bottom w:w="70" w:type="dxa"/>
              <w:end w:w="80" w:type="dxa"/>
            </w:tcMar>
            <w:vAlign w:val="top"/>
          </w:tcPr>
          <w:p>
            <w:pPr>
              <w:spacing w:after="20"/>
            </w:pPr>
            <w:r>
              <w:rPr>
                <w:sz w:val="16"/>
              </w:rPr>
              <w:t>BTEC-A: Declared event closure</w:t>
            </w:r>
          </w:p>
        </w:tc>
        <w:tc>
          <w:tcPr>
            <w:tcW w:type="dxa" w:w="3816"/>
            <w:tcMar>
              <w:top w:w="70" w:type="dxa"/>
              <w:start w:w="80" w:type="dxa"/>
              <w:bottom w:w="70" w:type="dxa"/>
              <w:end w:w="80" w:type="dxa"/>
            </w:tcMar>
            <w:vAlign w:val="top"/>
          </w:tcPr>
          <w:p>
            <w:pPr>
              <w:spacing w:after="20"/>
            </w:pPr>
            <w:r>
              <w:rPr>
                <w:sz w:val="16"/>
              </w:rPr>
              <w:t>Did the event system open, propagate, acknowledge, and close the event?</w:t>
            </w:r>
          </w:p>
        </w:tc>
        <w:tc>
          <w:tcPr>
            <w:tcW w:type="dxa" w:w="4464"/>
            <w:tcMar>
              <w:top w:w="70" w:type="dxa"/>
              <w:start w:w="80" w:type="dxa"/>
              <w:bottom w:w="70" w:type="dxa"/>
              <w:end w:w="80" w:type="dxa"/>
            </w:tcMar>
            <w:vAlign w:val="top"/>
          </w:tcPr>
          <w:p>
            <w:pPr>
              <w:spacing w:after="20"/>
            </w:pPr>
            <w:r>
              <w:rPr>
                <w:sz w:val="16"/>
              </w:rPr>
              <w:t>E-123 reports CLOSED while residual state remains.</w:t>
            </w:r>
          </w:p>
        </w:tc>
      </w:tr>
      <w:tr>
        <w:tc>
          <w:tcPr>
            <w:tcW w:type="dxa" w:w="2736"/>
            <w:tcMar>
              <w:top w:w="70" w:type="dxa"/>
              <w:start w:w="80" w:type="dxa"/>
              <w:bottom w:w="70" w:type="dxa"/>
              <w:end w:w="80" w:type="dxa"/>
            </w:tcMar>
            <w:vAlign w:val="top"/>
          </w:tcPr>
          <w:p>
            <w:pPr>
              <w:spacing w:after="20"/>
            </w:pPr>
            <w:r>
              <w:rPr>
                <w:sz w:val="16"/>
              </w:rPr>
              <w:t>BTEC-B: Observable effect closure</w:t>
            </w:r>
          </w:p>
        </w:tc>
        <w:tc>
          <w:tcPr>
            <w:tcW w:type="dxa" w:w="3816"/>
            <w:tcMar>
              <w:top w:w="70" w:type="dxa"/>
              <w:start w:w="80" w:type="dxa"/>
              <w:bottom w:w="70" w:type="dxa"/>
              <w:end w:w="80" w:type="dxa"/>
            </w:tcMar>
            <w:vAlign w:val="top"/>
          </w:tcPr>
          <w:p>
            <w:pPr>
              <w:spacing w:after="20"/>
            </w:pPr>
            <w:r>
              <w:rPr>
                <w:sz w:val="16"/>
              </w:rPr>
              <w:t>Did every independently observable consequence cease?</w:t>
            </w:r>
          </w:p>
        </w:tc>
        <w:tc>
          <w:tcPr>
            <w:tcW w:type="dxa" w:w="4464"/>
            <w:tcMar>
              <w:top w:w="70" w:type="dxa"/>
              <w:start w:w="80" w:type="dxa"/>
              <w:bottom w:w="70" w:type="dxa"/>
              <w:end w:w="80" w:type="dxa"/>
            </w:tcMar>
            <w:vAlign w:val="top"/>
          </w:tcPr>
          <w:p>
            <w:pPr>
              <w:spacing w:after="20"/>
            </w:pPr>
            <w:r>
              <w:rPr>
                <w:sz w:val="16"/>
              </w:rPr>
              <w:t>Temperature/color/clock marker persists after E-123 closes.</w:t>
            </w:r>
          </w:p>
        </w:tc>
      </w:tr>
      <w:tr>
        <w:tc>
          <w:tcPr>
            <w:tcW w:type="dxa" w:w="2736"/>
            <w:tcMar>
              <w:top w:w="70" w:type="dxa"/>
              <w:start w:w="80" w:type="dxa"/>
              <w:bottom w:w="70" w:type="dxa"/>
              <w:end w:w="80" w:type="dxa"/>
            </w:tcMar>
            <w:vAlign w:val="top"/>
          </w:tcPr>
          <w:p>
            <w:pPr>
              <w:spacing w:after="20"/>
            </w:pPr>
            <w:r>
              <w:rPr>
                <w:sz w:val="16"/>
              </w:rPr>
              <w:t>Provenance / lineage extinction</w:t>
            </w:r>
          </w:p>
        </w:tc>
        <w:tc>
          <w:tcPr>
            <w:tcW w:type="dxa" w:w="3816"/>
            <w:tcMar>
              <w:top w:w="70" w:type="dxa"/>
              <w:start w:w="80" w:type="dxa"/>
              <w:bottom w:w="70" w:type="dxa"/>
              <w:end w:w="80" w:type="dxa"/>
            </w:tcMar>
            <w:vAlign w:val="top"/>
          </w:tcPr>
          <w:p>
            <w:pPr>
              <w:spacing w:after="20"/>
            </w:pPr>
            <w:r>
              <w:rPr>
                <w:sz w:val="16"/>
              </w:rPr>
              <w:t>Did all descendant copies/carriers terminate?</w:t>
            </w:r>
          </w:p>
        </w:tc>
        <w:tc>
          <w:tcPr>
            <w:tcW w:type="dxa" w:w="4464"/>
            <w:tcMar>
              <w:top w:w="70" w:type="dxa"/>
              <w:start w:w="80" w:type="dxa"/>
              <w:bottom w:w="70" w:type="dxa"/>
              <w:end w:w="80" w:type="dxa"/>
            </w:tcMar>
            <w:vAlign w:val="top"/>
          </w:tcPr>
          <w:p>
            <w:pPr>
              <w:spacing w:after="20"/>
            </w:pPr>
            <w:r>
              <w:rPr>
                <w:sz w:val="16"/>
              </w:rPr>
              <w:t>Original device cleared, but agent/message/second device still carries marker.</w:t>
            </w:r>
          </w:p>
        </w:tc>
      </w:tr>
    </w:tbl>
    <w:p>
      <w:pPr>
        <w:spacing w:after="0"/>
      </w:pPr>
    </w:p>
    <w:p>
      <w:pPr>
        <w:pStyle w:val="Mono"/>
      </w:pPr>
      <w:r>
        <w:t>E-123 (origin event)</w:t>
        <w:br/>
        <w:t xml:space="preserve">  ├─ C1 media-frame marker</w:t>
        <w:br/>
        <w:t xml:space="preserve">  ├─ C2 device-session state</w:t>
        <w:br/>
        <w:t xml:space="preserve">  ├─ C3 environment state</w:t>
        <w:br/>
        <w:t xml:space="preserve">  ├─ C4 agent memory/behavior state</w:t>
        <w:br/>
        <w:t xml:space="preserve">  └─ C5 second-device state</w:t>
        <w:br/>
        <w:br/>
        <w:t>Event closure is achieved when E-123 closes.</w:t>
        <w:br/>
        <w:t>Effect closure is achieved when C1..Cn no longer produce observable effects.</w:t>
        <w:br/>
        <w:t>Lineage extinction is achieved only when no active descendant carrier remains.</w:t>
      </w:r>
    </w:p>
    <w:p>
      <w:pPr>
        <w:pStyle w:val="Heading1"/>
      </w:pPr>
      <w:r>
        <w:t>9. Temporal and Causal Reconciliation Model</w:t>
      </w:r>
    </w:p>
    <w:p>
      <w:r>
        <w:t>Draft 0.2 preserves the key insight that different environments may legitimately use different time systems. A mismatch is therefore evidence only after normalization and competing explanations are tested.</w:t>
      </w:r>
    </w:p>
    <w:tbl>
      <w:tblPr>
        <w:tblStyle w:val="TableGrid"/>
        <w:tblW w:type="auto" w:w="0"/>
        <w:jc w:val="center"/>
        <w:tblLook w:firstColumn="1" w:firstRow="1" w:lastColumn="0" w:lastRow="0" w:noHBand="0" w:noVBand="1" w:val="04A0"/>
      </w:tblPr>
      <w:tblGrid>
        <w:gridCol w:w="5227"/>
        <w:gridCol w:w="5227"/>
      </w:tblGrid>
      <w:tr>
        <w:tc>
          <w:tcPr>
            <w:tcW w:type="dxa" w:w="2880"/>
            <w:shd w:fill="DCE7F1"/>
            <w:tcMar>
              <w:top w:w="70" w:type="dxa"/>
              <w:start w:w="80" w:type="dxa"/>
              <w:bottom w:w="70" w:type="dxa"/>
              <w:end w:w="80" w:type="dxa"/>
            </w:tcMar>
            <w:vAlign w:val="center"/>
          </w:tcPr>
          <w:p>
            <w:r>
              <w:rPr>
                <w:b/>
                <w:color w:val="183354"/>
                <w:sz w:val="16"/>
              </w:rPr>
              <w:t>Time field</w:t>
            </w:r>
          </w:p>
        </w:tc>
        <w:tc>
          <w:tcPr>
            <w:tcW w:type="dxa" w:w="7848"/>
            <w:shd w:fill="DCE7F1"/>
            <w:tcMar>
              <w:top w:w="70" w:type="dxa"/>
              <w:start w:w="80" w:type="dxa"/>
              <w:bottom w:w="70" w:type="dxa"/>
              <w:end w:w="80" w:type="dxa"/>
            </w:tcMar>
            <w:vAlign w:val="center"/>
          </w:tcPr>
          <w:p>
            <w:r>
              <w:rPr>
                <w:b/>
                <w:color w:val="183354"/>
                <w:sz w:val="16"/>
              </w:rPr>
              <w:t>Meaning</w:t>
            </w:r>
          </w:p>
        </w:tc>
      </w:tr>
      <w:tr>
        <w:tc>
          <w:tcPr>
            <w:tcW w:type="dxa" w:w="2880"/>
            <w:tcMar>
              <w:top w:w="70" w:type="dxa"/>
              <w:start w:w="80" w:type="dxa"/>
              <w:bottom w:w="70" w:type="dxa"/>
              <w:end w:w="80" w:type="dxa"/>
            </w:tcMar>
            <w:vAlign w:val="top"/>
          </w:tcPr>
          <w:p>
            <w:pPr>
              <w:spacing w:after="20"/>
            </w:pPr>
            <w:r>
              <w:rPr>
                <w:sz w:val="16"/>
              </w:rPr>
              <w:t>Native wall clock</w:t>
            </w:r>
          </w:p>
        </w:tc>
        <w:tc>
          <w:tcPr>
            <w:tcW w:type="dxa" w:w="7848"/>
            <w:tcMar>
              <w:top w:w="70" w:type="dxa"/>
              <w:start w:w="80" w:type="dxa"/>
              <w:bottom w:w="70" w:type="dxa"/>
              <w:end w:w="80" w:type="dxa"/>
            </w:tcMar>
            <w:vAlign w:val="top"/>
          </w:tcPr>
          <w:p>
            <w:pPr>
              <w:spacing w:after="20"/>
            </w:pPr>
            <w:r>
              <w:rPr>
                <w:sz w:val="16"/>
              </w:rPr>
              <w:t>Local time as represented in that environment.</w:t>
            </w:r>
          </w:p>
        </w:tc>
      </w:tr>
      <w:tr>
        <w:tc>
          <w:tcPr>
            <w:tcW w:type="dxa" w:w="2880"/>
            <w:tcMar>
              <w:top w:w="70" w:type="dxa"/>
              <w:start w:w="80" w:type="dxa"/>
              <w:bottom w:w="70" w:type="dxa"/>
              <w:end w:w="80" w:type="dxa"/>
            </w:tcMar>
            <w:vAlign w:val="top"/>
          </w:tcPr>
          <w:p>
            <w:pPr>
              <w:spacing w:after="20"/>
            </w:pPr>
            <w:r>
              <w:rPr>
                <w:sz w:val="16"/>
              </w:rPr>
              <w:t>Calendar model</w:t>
            </w:r>
          </w:p>
        </w:tc>
        <w:tc>
          <w:tcPr>
            <w:tcW w:type="dxa" w:w="7848"/>
            <w:tcMar>
              <w:top w:w="70" w:type="dxa"/>
              <w:start w:w="80" w:type="dxa"/>
              <w:bottom w:w="70" w:type="dxa"/>
              <w:end w:w="80" w:type="dxa"/>
            </w:tcMar>
            <w:vAlign w:val="top"/>
          </w:tcPr>
          <w:p>
            <w:pPr>
              <w:spacing w:after="20"/>
            </w:pPr>
            <w:r>
              <w:rPr>
                <w:sz w:val="16"/>
              </w:rPr>
              <w:t>Day/year/epoch conventions; may differ intentionally.</w:t>
            </w:r>
          </w:p>
        </w:tc>
      </w:tr>
      <w:tr>
        <w:tc>
          <w:tcPr>
            <w:tcW w:type="dxa" w:w="2880"/>
            <w:tcMar>
              <w:top w:w="70" w:type="dxa"/>
              <w:start w:w="80" w:type="dxa"/>
              <w:bottom w:w="70" w:type="dxa"/>
              <w:end w:w="80" w:type="dxa"/>
            </w:tcMar>
            <w:vAlign w:val="top"/>
          </w:tcPr>
          <w:p>
            <w:pPr>
              <w:spacing w:after="20"/>
            </w:pPr>
            <w:r>
              <w:rPr>
                <w:sz w:val="16"/>
              </w:rPr>
              <w:t>Simulation time</w:t>
            </w:r>
          </w:p>
        </w:tc>
        <w:tc>
          <w:tcPr>
            <w:tcW w:type="dxa" w:w="7848"/>
            <w:tcMar>
              <w:top w:w="70" w:type="dxa"/>
              <w:start w:w="80" w:type="dxa"/>
              <w:bottom w:w="70" w:type="dxa"/>
              <w:end w:w="80" w:type="dxa"/>
            </w:tcMar>
            <w:vAlign w:val="top"/>
          </w:tcPr>
          <w:p>
            <w:pPr>
              <w:spacing w:after="20"/>
            </w:pPr>
            <w:r>
              <w:rPr>
                <w:sz w:val="16"/>
              </w:rPr>
              <w:t>Model progression time, possibly accelerated or paused.</w:t>
            </w:r>
          </w:p>
        </w:tc>
      </w:tr>
      <w:tr>
        <w:tc>
          <w:tcPr>
            <w:tcW w:type="dxa" w:w="2880"/>
            <w:tcMar>
              <w:top w:w="70" w:type="dxa"/>
              <w:start w:w="80" w:type="dxa"/>
              <w:bottom w:w="70" w:type="dxa"/>
              <w:end w:w="80" w:type="dxa"/>
            </w:tcMar>
            <w:vAlign w:val="top"/>
          </w:tcPr>
          <w:p>
            <w:pPr>
              <w:spacing w:after="20"/>
            </w:pPr>
            <w:r>
              <w:rPr>
                <w:sz w:val="16"/>
              </w:rPr>
              <w:t>Monotonic elapsed time</w:t>
            </w:r>
          </w:p>
        </w:tc>
        <w:tc>
          <w:tcPr>
            <w:tcW w:type="dxa" w:w="7848"/>
            <w:tcMar>
              <w:top w:w="70" w:type="dxa"/>
              <w:start w:w="80" w:type="dxa"/>
              <w:bottom w:w="70" w:type="dxa"/>
              <w:end w:w="80" w:type="dxa"/>
            </w:tcMar>
            <w:vAlign w:val="top"/>
          </w:tcPr>
          <w:p>
            <w:pPr>
              <w:spacing w:after="20"/>
            </w:pPr>
            <w:r>
              <w:rPr>
                <w:sz w:val="16"/>
              </w:rPr>
              <w:t>Non-decreasing control-layer interval used for duration comparisons.</w:t>
            </w:r>
          </w:p>
        </w:tc>
      </w:tr>
      <w:tr>
        <w:tc>
          <w:tcPr>
            <w:tcW w:type="dxa" w:w="2880"/>
            <w:tcMar>
              <w:top w:w="70" w:type="dxa"/>
              <w:start w:w="80" w:type="dxa"/>
              <w:bottom w:w="70" w:type="dxa"/>
              <w:end w:w="80" w:type="dxa"/>
            </w:tcMar>
            <w:vAlign w:val="top"/>
          </w:tcPr>
          <w:p>
            <w:pPr>
              <w:spacing w:after="20"/>
            </w:pPr>
            <w:r>
              <w:rPr>
                <w:sz w:val="16"/>
              </w:rPr>
              <w:t>Event sequence number</w:t>
            </w:r>
          </w:p>
        </w:tc>
        <w:tc>
          <w:tcPr>
            <w:tcW w:type="dxa" w:w="7848"/>
            <w:tcMar>
              <w:top w:w="70" w:type="dxa"/>
              <w:start w:w="80" w:type="dxa"/>
              <w:bottom w:w="70" w:type="dxa"/>
              <w:end w:w="80" w:type="dxa"/>
            </w:tcMar>
            <w:vAlign w:val="top"/>
          </w:tcPr>
          <w:p>
            <w:pPr>
              <w:spacing w:after="20"/>
            </w:pPr>
            <w:r>
              <w:rPr>
                <w:sz w:val="16"/>
              </w:rPr>
              <w:t>Ordering independent of human-readable time.</w:t>
            </w:r>
          </w:p>
        </w:tc>
      </w:tr>
      <w:tr>
        <w:tc>
          <w:tcPr>
            <w:tcW w:type="dxa" w:w="2880"/>
            <w:tcMar>
              <w:top w:w="70" w:type="dxa"/>
              <w:start w:w="80" w:type="dxa"/>
              <w:bottom w:w="70" w:type="dxa"/>
              <w:end w:w="80" w:type="dxa"/>
            </w:tcMar>
            <w:vAlign w:val="top"/>
          </w:tcPr>
          <w:p>
            <w:pPr>
              <w:spacing w:after="20"/>
            </w:pPr>
            <w:r>
              <w:rPr>
                <w:sz w:val="16"/>
              </w:rPr>
              <w:t>Clock authority</w:t>
            </w:r>
          </w:p>
        </w:tc>
        <w:tc>
          <w:tcPr>
            <w:tcW w:type="dxa" w:w="7848"/>
            <w:tcMar>
              <w:top w:w="70" w:type="dxa"/>
              <w:start w:w="80" w:type="dxa"/>
              <w:bottom w:w="70" w:type="dxa"/>
              <w:end w:w="80" w:type="dxa"/>
            </w:tcMar>
            <w:vAlign w:val="top"/>
          </w:tcPr>
          <w:p>
            <w:pPr>
              <w:spacing w:after="20"/>
            </w:pPr>
            <w:r>
              <w:rPr>
                <w:sz w:val="16"/>
              </w:rPr>
              <w:t>Source that controls or corrects local time.</w:t>
            </w:r>
          </w:p>
        </w:tc>
      </w:tr>
      <w:tr>
        <w:tc>
          <w:tcPr>
            <w:tcW w:type="dxa" w:w="2880"/>
            <w:tcMar>
              <w:top w:w="70" w:type="dxa"/>
              <w:start w:w="80" w:type="dxa"/>
              <w:bottom w:w="70" w:type="dxa"/>
              <w:end w:w="80" w:type="dxa"/>
            </w:tcMar>
            <w:vAlign w:val="top"/>
          </w:tcPr>
          <w:p>
            <w:pPr>
              <w:spacing w:after="20"/>
            </w:pPr>
            <w:r>
              <w:rPr>
                <w:sz w:val="16"/>
              </w:rPr>
              <w:t>Clock rate</w:t>
            </w:r>
          </w:p>
        </w:tc>
        <w:tc>
          <w:tcPr>
            <w:tcW w:type="dxa" w:w="7848"/>
            <w:tcMar>
              <w:top w:w="70" w:type="dxa"/>
              <w:start w:w="80" w:type="dxa"/>
              <w:bottom w:w="70" w:type="dxa"/>
              <w:end w:w="80" w:type="dxa"/>
            </w:tcMar>
            <w:vAlign w:val="top"/>
          </w:tcPr>
          <w:p>
            <w:pPr>
              <w:spacing w:after="20"/>
            </w:pPr>
            <w:r>
              <w:rPr>
                <w:sz w:val="16"/>
              </w:rPr>
              <w:t>Rate relative to reference domain.</w:t>
            </w:r>
          </w:p>
        </w:tc>
      </w:tr>
      <w:tr>
        <w:tc>
          <w:tcPr>
            <w:tcW w:type="dxa" w:w="2880"/>
            <w:tcMar>
              <w:top w:w="70" w:type="dxa"/>
              <w:start w:w="80" w:type="dxa"/>
              <w:bottom w:w="70" w:type="dxa"/>
              <w:end w:w="80" w:type="dxa"/>
            </w:tcMar>
            <w:vAlign w:val="top"/>
          </w:tcPr>
          <w:p>
            <w:pPr>
              <w:spacing w:after="20"/>
            </w:pPr>
            <w:r>
              <w:rPr>
                <w:sz w:val="16"/>
              </w:rPr>
              <w:t>Pause / rollback state</w:t>
            </w:r>
          </w:p>
        </w:tc>
        <w:tc>
          <w:tcPr>
            <w:tcW w:type="dxa" w:w="7848"/>
            <w:tcMar>
              <w:top w:w="70" w:type="dxa"/>
              <w:start w:w="80" w:type="dxa"/>
              <w:bottom w:w="70" w:type="dxa"/>
              <w:end w:w="80" w:type="dxa"/>
            </w:tcMar>
            <w:vAlign w:val="top"/>
          </w:tcPr>
          <w:p>
            <w:pPr>
              <w:spacing w:after="20"/>
            </w:pPr>
            <w:r>
              <w:rPr>
                <w:sz w:val="16"/>
              </w:rPr>
              <w:t>Whether local time stopped, rewound, restored, or forked.</w:t>
            </w:r>
          </w:p>
        </w:tc>
      </w:tr>
      <w:tr>
        <w:tc>
          <w:tcPr>
            <w:tcW w:type="dxa" w:w="2880"/>
            <w:tcMar>
              <w:top w:w="70" w:type="dxa"/>
              <w:start w:w="80" w:type="dxa"/>
              <w:bottom w:w="70" w:type="dxa"/>
              <w:end w:w="80" w:type="dxa"/>
            </w:tcMar>
            <w:vAlign w:val="top"/>
          </w:tcPr>
          <w:p>
            <w:pPr>
              <w:spacing w:after="20"/>
            </w:pPr>
            <w:r>
              <w:rPr>
                <w:sz w:val="16"/>
              </w:rPr>
              <w:t>Conversion history</w:t>
            </w:r>
          </w:p>
        </w:tc>
        <w:tc>
          <w:tcPr>
            <w:tcW w:type="dxa" w:w="7848"/>
            <w:tcMar>
              <w:top w:w="70" w:type="dxa"/>
              <w:start w:w="80" w:type="dxa"/>
              <w:bottom w:w="70" w:type="dxa"/>
              <w:end w:w="80" w:type="dxa"/>
            </w:tcMar>
            <w:vAlign w:val="top"/>
          </w:tcPr>
          <w:p>
            <w:pPr>
              <w:spacing w:after="20"/>
            </w:pPr>
            <w:r>
              <w:rPr>
                <w:sz w:val="16"/>
              </w:rPr>
              <w:t>Normalization steps applied before comparison.</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FF4E5"/>
            <w:tcMar>
              <w:top w:w="100" w:type="dxa"/>
              <w:start w:w="130" w:type="dxa"/>
              <w:bottom w:w="100" w:type="dxa"/>
              <w:end w:w="130" w:type="dxa"/>
            </w:tcMar>
          </w:tcPr>
          <w:p>
            <w:pPr>
              <w:pStyle w:val="Callout"/>
            </w:pPr>
            <w:r>
              <w:t>Temporal rule: Clock disagreement alone is weak evidence. Causal-order disagreement — where an independently confirmed effect precedes its only permitted cause, or event sequence becomes inconsistent across reconciled domains — is a higher-priority anomaly.</w:t>
            </w:r>
          </w:p>
        </w:tc>
      </w:tr>
    </w:tbl>
    <w:p>
      <w:pPr>
        <w:spacing w:after="0"/>
      </w:pPr>
    </w:p>
    <w:p>
      <w:pPr>
        <w:pStyle w:val="Heading2"/>
      </w:pPr>
      <w:r>
        <w:t>9.1 Temporal evidence levels</w:t>
      </w:r>
    </w:p>
    <w:tbl>
      <w:tblPr>
        <w:tblStyle w:val="TableGrid"/>
        <w:tblW w:type="auto" w:w="0"/>
        <w:jc w:val="center"/>
        <w:tblLook w:firstColumn="1" w:firstRow="1" w:lastColumn="0" w:lastRow="0" w:noHBand="0" w:noVBand="1" w:val="04A0"/>
      </w:tblPr>
      <w:tblGrid>
        <w:gridCol w:w="3485"/>
        <w:gridCol w:w="3485"/>
        <w:gridCol w:w="3485"/>
      </w:tblGrid>
      <w:tr>
        <w:tc>
          <w:tcPr>
            <w:tcW w:type="dxa" w:w="1152"/>
            <w:shd w:fill="DCE7F1"/>
            <w:tcMar>
              <w:top w:w="70" w:type="dxa"/>
              <w:start w:w="80" w:type="dxa"/>
              <w:bottom w:w="70" w:type="dxa"/>
              <w:end w:w="80" w:type="dxa"/>
            </w:tcMar>
            <w:vAlign w:val="center"/>
          </w:tcPr>
          <w:p>
            <w:r>
              <w:rPr>
                <w:b/>
                <w:color w:val="183354"/>
                <w:sz w:val="16"/>
              </w:rPr>
              <w:t>Level</w:t>
            </w:r>
          </w:p>
        </w:tc>
        <w:tc>
          <w:tcPr>
            <w:tcW w:type="dxa" w:w="4680"/>
            <w:shd w:fill="DCE7F1"/>
            <w:tcMar>
              <w:top w:w="70" w:type="dxa"/>
              <w:start w:w="80" w:type="dxa"/>
              <w:bottom w:w="70" w:type="dxa"/>
              <w:end w:w="80" w:type="dxa"/>
            </w:tcMar>
            <w:vAlign w:val="center"/>
          </w:tcPr>
          <w:p>
            <w:r>
              <w:rPr>
                <w:b/>
                <w:color w:val="183354"/>
                <w:sz w:val="16"/>
              </w:rPr>
              <w:t>Condition</w:t>
            </w:r>
          </w:p>
        </w:tc>
        <w:tc>
          <w:tcPr>
            <w:tcW w:type="dxa" w:w="4896"/>
            <w:shd w:fill="DCE7F1"/>
            <w:tcMar>
              <w:top w:w="70" w:type="dxa"/>
              <w:start w:w="80" w:type="dxa"/>
              <w:bottom w:w="70" w:type="dxa"/>
              <w:end w:w="80" w:type="dxa"/>
            </w:tcMar>
            <w:vAlign w:val="center"/>
          </w:tcPr>
          <w:p>
            <w:r>
              <w:rPr>
                <w:b/>
                <w:color w:val="183354"/>
                <w:sz w:val="16"/>
              </w:rPr>
              <w:t>Interpretation</w:t>
            </w:r>
          </w:p>
        </w:tc>
      </w:tr>
      <w:tr>
        <w:tc>
          <w:tcPr>
            <w:tcW w:type="dxa" w:w="1152"/>
            <w:tcMar>
              <w:top w:w="70" w:type="dxa"/>
              <w:start w:w="80" w:type="dxa"/>
              <w:bottom w:w="70" w:type="dxa"/>
              <w:end w:w="80" w:type="dxa"/>
            </w:tcMar>
            <w:vAlign w:val="top"/>
          </w:tcPr>
          <w:p>
            <w:pPr>
              <w:spacing w:after="20"/>
            </w:pPr>
            <w:r>
              <w:rPr>
                <w:sz w:val="16"/>
              </w:rPr>
              <w:t>T0</w:t>
            </w:r>
          </w:p>
        </w:tc>
        <w:tc>
          <w:tcPr>
            <w:tcW w:type="dxa" w:w="4680"/>
            <w:tcMar>
              <w:top w:w="70" w:type="dxa"/>
              <w:start w:w="80" w:type="dxa"/>
              <w:bottom w:w="70" w:type="dxa"/>
              <w:end w:w="80" w:type="dxa"/>
            </w:tcMar>
            <w:vAlign w:val="top"/>
          </w:tcPr>
          <w:p>
            <w:pPr>
              <w:spacing w:after="20"/>
            </w:pPr>
            <w:r>
              <w:rPr>
                <w:sz w:val="16"/>
              </w:rPr>
              <w:t>Different local clocks/calendars but consistent conversion.</w:t>
            </w:r>
          </w:p>
        </w:tc>
        <w:tc>
          <w:tcPr>
            <w:tcW w:type="dxa" w:w="4896"/>
            <w:tcMar>
              <w:top w:w="70" w:type="dxa"/>
              <w:start w:w="80" w:type="dxa"/>
              <w:bottom w:w="70" w:type="dxa"/>
              <w:end w:w="80" w:type="dxa"/>
            </w:tcMar>
            <w:vAlign w:val="top"/>
          </w:tcPr>
          <w:p>
            <w:pPr>
              <w:spacing w:after="20"/>
            </w:pPr>
            <w:r>
              <w:rPr>
                <w:sz w:val="16"/>
              </w:rPr>
              <w:t>Normal heterogeneity.</w:t>
            </w:r>
          </w:p>
        </w:tc>
      </w:tr>
      <w:tr>
        <w:tc>
          <w:tcPr>
            <w:tcW w:type="dxa" w:w="1152"/>
            <w:tcMar>
              <w:top w:w="70" w:type="dxa"/>
              <w:start w:w="80" w:type="dxa"/>
              <w:bottom w:w="70" w:type="dxa"/>
              <w:end w:w="80" w:type="dxa"/>
            </w:tcMar>
            <w:vAlign w:val="top"/>
          </w:tcPr>
          <w:p>
            <w:pPr>
              <w:spacing w:after="20"/>
            </w:pPr>
            <w:r>
              <w:rPr>
                <w:sz w:val="16"/>
              </w:rPr>
              <w:t>T1</w:t>
            </w:r>
          </w:p>
        </w:tc>
        <w:tc>
          <w:tcPr>
            <w:tcW w:type="dxa" w:w="4680"/>
            <w:tcMar>
              <w:top w:w="70" w:type="dxa"/>
              <w:start w:w="80" w:type="dxa"/>
              <w:bottom w:w="70" w:type="dxa"/>
              <w:end w:w="80" w:type="dxa"/>
            </w:tcMar>
            <w:vAlign w:val="top"/>
          </w:tcPr>
          <w:p>
            <w:pPr>
              <w:spacing w:after="20"/>
            </w:pPr>
            <w:r>
              <w:rPr>
                <w:sz w:val="16"/>
              </w:rPr>
              <w:t>Unexplained clock drift in one domain.</w:t>
            </w:r>
          </w:p>
        </w:tc>
        <w:tc>
          <w:tcPr>
            <w:tcW w:type="dxa" w:w="4896"/>
            <w:tcMar>
              <w:top w:w="70" w:type="dxa"/>
              <w:start w:w="80" w:type="dxa"/>
              <w:bottom w:w="70" w:type="dxa"/>
              <w:end w:w="80" w:type="dxa"/>
            </w:tcMar>
            <w:vAlign w:val="top"/>
          </w:tcPr>
          <w:p>
            <w:pPr>
              <w:spacing w:after="20"/>
            </w:pPr>
            <w:r>
              <w:rPr>
                <w:sz w:val="16"/>
              </w:rPr>
              <w:t>Investigate local clock/processing.</w:t>
            </w:r>
          </w:p>
        </w:tc>
      </w:tr>
      <w:tr>
        <w:tc>
          <w:tcPr>
            <w:tcW w:type="dxa" w:w="1152"/>
            <w:tcMar>
              <w:top w:w="70" w:type="dxa"/>
              <w:start w:w="80" w:type="dxa"/>
              <w:bottom w:w="70" w:type="dxa"/>
              <w:end w:w="80" w:type="dxa"/>
            </w:tcMar>
            <w:vAlign w:val="top"/>
          </w:tcPr>
          <w:p>
            <w:pPr>
              <w:spacing w:after="20"/>
            </w:pPr>
            <w:r>
              <w:rPr>
                <w:sz w:val="16"/>
              </w:rPr>
              <w:t>T2</w:t>
            </w:r>
          </w:p>
        </w:tc>
        <w:tc>
          <w:tcPr>
            <w:tcW w:type="dxa" w:w="4680"/>
            <w:tcMar>
              <w:top w:w="70" w:type="dxa"/>
              <w:start w:w="80" w:type="dxa"/>
              <w:bottom w:w="70" w:type="dxa"/>
              <w:end w:w="80" w:type="dxa"/>
            </w:tcMar>
            <w:vAlign w:val="top"/>
          </w:tcPr>
          <w:p>
            <w:pPr>
              <w:spacing w:after="20"/>
            </w:pPr>
            <w:r>
              <w:rPr>
                <w:sz w:val="16"/>
              </w:rPr>
              <w:t>Clock drift correlates with transfer-state anomaly.</w:t>
            </w:r>
          </w:p>
        </w:tc>
        <w:tc>
          <w:tcPr>
            <w:tcW w:type="dxa" w:w="4896"/>
            <w:tcMar>
              <w:top w:w="70" w:type="dxa"/>
              <w:start w:w="80" w:type="dxa"/>
              <w:bottom w:w="70" w:type="dxa"/>
              <w:end w:w="80" w:type="dxa"/>
            </w:tcMar>
            <w:vAlign w:val="top"/>
          </w:tcPr>
          <w:p>
            <w:pPr>
              <w:spacing w:after="20"/>
            </w:pPr>
            <w:r>
              <w:rPr>
                <w:sz w:val="16"/>
              </w:rPr>
              <w:t>Correlated anomaly; not root evidence.</w:t>
            </w:r>
          </w:p>
        </w:tc>
      </w:tr>
      <w:tr>
        <w:tc>
          <w:tcPr>
            <w:tcW w:type="dxa" w:w="1152"/>
            <w:tcMar>
              <w:top w:w="70" w:type="dxa"/>
              <w:start w:w="80" w:type="dxa"/>
              <w:bottom w:w="70" w:type="dxa"/>
              <w:end w:w="80" w:type="dxa"/>
            </w:tcMar>
            <w:vAlign w:val="top"/>
          </w:tcPr>
          <w:p>
            <w:pPr>
              <w:spacing w:after="20"/>
            </w:pPr>
            <w:r>
              <w:rPr>
                <w:sz w:val="16"/>
              </w:rPr>
              <w:t>T3</w:t>
            </w:r>
          </w:p>
        </w:tc>
        <w:tc>
          <w:tcPr>
            <w:tcW w:type="dxa" w:w="4680"/>
            <w:tcMar>
              <w:top w:w="70" w:type="dxa"/>
              <w:start w:w="80" w:type="dxa"/>
              <w:bottom w:w="70" w:type="dxa"/>
              <w:end w:w="80" w:type="dxa"/>
            </w:tcMar>
            <w:vAlign w:val="top"/>
          </w:tcPr>
          <w:p>
            <w:pPr>
              <w:spacing w:after="20"/>
            </w:pPr>
            <w:r>
              <w:rPr>
                <w:sz w:val="16"/>
              </w:rPr>
              <w:t>Multiple independent domains show coordinated correction/reset.</w:t>
            </w:r>
          </w:p>
        </w:tc>
        <w:tc>
          <w:tcPr>
            <w:tcW w:type="dxa" w:w="4896"/>
            <w:tcMar>
              <w:top w:w="70" w:type="dxa"/>
              <w:start w:w="80" w:type="dxa"/>
              <w:bottom w:w="70" w:type="dxa"/>
              <w:end w:w="80" w:type="dxa"/>
            </w:tcMar>
            <w:vAlign w:val="top"/>
          </w:tcPr>
          <w:p>
            <w:pPr>
              <w:spacing w:after="20"/>
            </w:pPr>
            <w:r>
              <w:rPr>
                <w:sz w:val="16"/>
              </w:rPr>
              <w:t>Shared service or orchestration hypothesis strengthened.</w:t>
            </w:r>
          </w:p>
        </w:tc>
      </w:tr>
      <w:tr>
        <w:tc>
          <w:tcPr>
            <w:tcW w:type="dxa" w:w="1152"/>
            <w:tcMar>
              <w:top w:w="70" w:type="dxa"/>
              <w:start w:w="80" w:type="dxa"/>
              <w:bottom w:w="70" w:type="dxa"/>
              <w:end w:w="80" w:type="dxa"/>
            </w:tcMar>
            <w:vAlign w:val="top"/>
          </w:tcPr>
          <w:p>
            <w:pPr>
              <w:spacing w:after="20"/>
            </w:pPr>
            <w:r>
              <w:rPr>
                <w:sz w:val="16"/>
              </w:rPr>
              <w:t>T4</w:t>
            </w:r>
          </w:p>
        </w:tc>
        <w:tc>
          <w:tcPr>
            <w:tcW w:type="dxa" w:w="4680"/>
            <w:tcMar>
              <w:top w:w="70" w:type="dxa"/>
              <w:start w:w="80" w:type="dxa"/>
              <w:bottom w:w="70" w:type="dxa"/>
              <w:end w:w="80" w:type="dxa"/>
            </w:tcMar>
            <w:vAlign w:val="top"/>
          </w:tcPr>
          <w:p>
            <w:pPr>
              <w:spacing w:after="20"/>
            </w:pPr>
            <w:r>
              <w:rPr>
                <w:sz w:val="16"/>
              </w:rPr>
              <w:t>Causal-order or sequence contradiction survives replay and independent recurrence.</w:t>
            </w:r>
          </w:p>
        </w:tc>
        <w:tc>
          <w:tcPr>
            <w:tcW w:type="dxa" w:w="4896"/>
            <w:tcMar>
              <w:top w:w="70" w:type="dxa"/>
              <w:start w:w="80" w:type="dxa"/>
              <w:bottom w:w="70" w:type="dxa"/>
              <w:end w:w="80" w:type="dxa"/>
            </w:tcMar>
            <w:vAlign w:val="top"/>
          </w:tcPr>
          <w:p>
            <w:pPr>
              <w:spacing w:after="20"/>
            </w:pPr>
            <w:r>
              <w:rPr>
                <w:sz w:val="16"/>
              </w:rPr>
              <w:t>High-priority reconciliation defect.</w:t>
            </w:r>
          </w:p>
        </w:tc>
      </w:tr>
      <w:tr>
        <w:tc>
          <w:tcPr>
            <w:tcW w:type="dxa" w:w="1152"/>
            <w:tcMar>
              <w:top w:w="70" w:type="dxa"/>
              <w:start w:w="80" w:type="dxa"/>
              <w:bottom w:w="70" w:type="dxa"/>
              <w:end w:w="80" w:type="dxa"/>
            </w:tcMar>
            <w:vAlign w:val="top"/>
          </w:tcPr>
          <w:p>
            <w:pPr>
              <w:spacing w:after="20"/>
            </w:pPr>
            <w:r>
              <w:rPr>
                <w:sz w:val="16"/>
              </w:rPr>
              <w:t>T5</w:t>
            </w:r>
          </w:p>
        </w:tc>
        <w:tc>
          <w:tcPr>
            <w:tcW w:type="dxa" w:w="4680"/>
            <w:tcMar>
              <w:top w:w="70" w:type="dxa"/>
              <w:start w:w="80" w:type="dxa"/>
              <w:bottom w:w="70" w:type="dxa"/>
              <w:end w:w="80" w:type="dxa"/>
            </w:tcMar>
            <w:vAlign w:val="top"/>
          </w:tcPr>
          <w:p>
            <w:pPr>
              <w:spacing w:after="20"/>
            </w:pPr>
            <w:r>
              <w:rPr>
                <w:sz w:val="16"/>
              </w:rPr>
              <w:t>Lower-layer time state measurably influences privileged synchronization/orchestration behavior.</w:t>
            </w:r>
          </w:p>
        </w:tc>
        <w:tc>
          <w:tcPr>
            <w:tcW w:type="dxa" w:w="4896"/>
            <w:tcMar>
              <w:top w:w="70" w:type="dxa"/>
              <w:start w:w="80" w:type="dxa"/>
              <w:bottom w:w="70" w:type="dxa"/>
              <w:end w:w="80" w:type="dxa"/>
            </w:tcMar>
            <w:vAlign w:val="top"/>
          </w:tcPr>
          <w:p>
            <w:pPr>
              <w:spacing w:after="20"/>
            </w:pPr>
            <w:r>
              <w:rPr>
                <w:sz w:val="16"/>
              </w:rPr>
              <w:t>Candidate root-conditioned influence; map with R taxonomy.</w:t>
            </w:r>
          </w:p>
        </w:tc>
      </w:tr>
    </w:tbl>
    <w:p>
      <w:pPr>
        <w:spacing w:after="0"/>
      </w:pPr>
    </w:p>
    <w:p>
      <w:pPr>
        <w:pStyle w:val="Heading1"/>
      </w:pPr>
      <w:r>
        <w:t>10. Pre-Registered Hypotheses and Falsification Criteria</w:t>
      </w:r>
    </w:p>
    <w:tbl>
      <w:tblPr>
        <w:tblStyle w:val="TableGrid"/>
        <w:tblW w:type="auto" w:w="0"/>
        <w:jc w:val="center"/>
        <w:tblLook w:firstColumn="1" w:firstRow="1" w:lastColumn="0" w:lastRow="0" w:noHBand="0" w:noVBand="1" w:val="04A0"/>
      </w:tblPr>
      <w:tblGrid>
        <w:gridCol w:w="3485"/>
        <w:gridCol w:w="3485"/>
        <w:gridCol w:w="3485"/>
      </w:tblGrid>
      <w:tr>
        <w:tc>
          <w:tcPr>
            <w:tcW w:type="dxa" w:w="2304"/>
            <w:shd w:fill="DCE7F1"/>
            <w:tcMar>
              <w:top w:w="70" w:type="dxa"/>
              <w:start w:w="80" w:type="dxa"/>
              <w:bottom w:w="70" w:type="dxa"/>
              <w:end w:w="80" w:type="dxa"/>
            </w:tcMar>
            <w:vAlign w:val="center"/>
          </w:tcPr>
          <w:p>
            <w:r>
              <w:rPr>
                <w:b/>
                <w:color w:val="183354"/>
                <w:sz w:val="16"/>
              </w:rPr>
              <w:t>Hypothesis</w:t>
            </w:r>
          </w:p>
        </w:tc>
        <w:tc>
          <w:tcPr>
            <w:tcW w:type="dxa" w:w="4968"/>
            <w:shd w:fill="DCE7F1"/>
            <w:tcMar>
              <w:top w:w="70" w:type="dxa"/>
              <w:start w:w="80" w:type="dxa"/>
              <w:bottom w:w="70" w:type="dxa"/>
              <w:end w:w="80" w:type="dxa"/>
            </w:tcMar>
            <w:vAlign w:val="center"/>
          </w:tcPr>
          <w:p>
            <w:r>
              <w:rPr>
                <w:b/>
                <w:color w:val="183354"/>
                <w:sz w:val="16"/>
              </w:rPr>
              <w:t>Null / falsification condition</w:t>
            </w:r>
          </w:p>
        </w:tc>
        <w:tc>
          <w:tcPr>
            <w:tcW w:type="dxa" w:w="3456"/>
            <w:shd w:fill="DCE7F1"/>
            <w:tcMar>
              <w:top w:w="70" w:type="dxa"/>
              <w:start w:w="80" w:type="dxa"/>
              <w:bottom w:w="70" w:type="dxa"/>
              <w:end w:w="80" w:type="dxa"/>
            </w:tcMar>
            <w:vAlign w:val="center"/>
          </w:tcPr>
          <w:p>
            <w:r>
              <w:rPr>
                <w:b/>
                <w:color w:val="183354"/>
                <w:sz w:val="16"/>
              </w:rPr>
              <w:t>Required evidence</w:t>
            </w:r>
          </w:p>
        </w:tc>
      </w:tr>
      <w:tr>
        <w:tc>
          <w:tcPr>
            <w:tcW w:type="dxa" w:w="2304"/>
            <w:tcMar>
              <w:top w:w="70" w:type="dxa"/>
              <w:start w:w="80" w:type="dxa"/>
              <w:bottom w:w="70" w:type="dxa"/>
              <w:end w:w="80" w:type="dxa"/>
            </w:tcMar>
            <w:vAlign w:val="top"/>
          </w:tcPr>
          <w:p>
            <w:pPr>
              <w:spacing w:after="20"/>
            </w:pPr>
            <w:r>
              <w:rPr>
                <w:sz w:val="16"/>
              </w:rPr>
              <w:t>H1 Presentation ≠ transfer</w:t>
            </w:r>
          </w:p>
        </w:tc>
        <w:tc>
          <w:tcPr>
            <w:tcW w:type="dxa" w:w="4968"/>
            <w:tcMar>
              <w:top w:w="70" w:type="dxa"/>
              <w:start w:w="80" w:type="dxa"/>
              <w:bottom w:w="70" w:type="dxa"/>
              <w:end w:w="80" w:type="dxa"/>
            </w:tcMar>
            <w:vAlign w:val="top"/>
          </w:tcPr>
          <w:p>
            <w:pPr>
              <w:spacing w:after="20"/>
            </w:pPr>
            <w:r>
              <w:rPr>
                <w:sz w:val="16"/>
              </w:rPr>
              <w:t>Repeated inactive/black states show no transfer while positive controls succeed.</w:t>
            </w:r>
          </w:p>
        </w:tc>
        <w:tc>
          <w:tcPr>
            <w:tcW w:type="dxa" w:w="3456"/>
            <w:tcMar>
              <w:top w:w="70" w:type="dxa"/>
              <w:start w:w="80" w:type="dxa"/>
              <w:bottom w:w="70" w:type="dxa"/>
              <w:end w:w="80" w:type="dxa"/>
            </w:tcMar>
            <w:vAlign w:val="top"/>
          </w:tcPr>
          <w:p>
            <w:pPr>
              <w:spacing w:after="20"/>
            </w:pPr>
            <w:r>
              <w:rPr>
                <w:sz w:val="16"/>
              </w:rPr>
              <w:t>Window telemetry + independent effect observer.</w:t>
            </w:r>
          </w:p>
        </w:tc>
      </w:tr>
      <w:tr>
        <w:tc>
          <w:tcPr>
            <w:tcW w:type="dxa" w:w="2304"/>
            <w:tcMar>
              <w:top w:w="70" w:type="dxa"/>
              <w:start w:w="80" w:type="dxa"/>
              <w:bottom w:w="70" w:type="dxa"/>
              <w:end w:w="80" w:type="dxa"/>
            </w:tcMar>
            <w:vAlign w:val="top"/>
          </w:tcPr>
          <w:p>
            <w:pPr>
              <w:spacing w:after="20"/>
            </w:pPr>
            <w:r>
              <w:rPr>
                <w:sz w:val="16"/>
              </w:rPr>
              <w:t>H2 Lower-layer persistence</w:t>
            </w:r>
          </w:p>
        </w:tc>
        <w:tc>
          <w:tcPr>
            <w:tcW w:type="dxa" w:w="4968"/>
            <w:tcMar>
              <w:top w:w="70" w:type="dxa"/>
              <w:start w:w="80" w:type="dxa"/>
              <w:bottom w:w="70" w:type="dxa"/>
              <w:end w:w="80" w:type="dxa"/>
            </w:tcMar>
            <w:vAlign w:val="top"/>
          </w:tcPr>
          <w:p>
            <w:pPr>
              <w:spacing w:after="20"/>
            </w:pPr>
            <w:r>
              <w:rPr>
                <w:sz w:val="16"/>
              </w:rPr>
              <w:t>Closed app never leaves transfer/descendant state across replications.</w:t>
            </w:r>
          </w:p>
        </w:tc>
        <w:tc>
          <w:tcPr>
            <w:tcW w:type="dxa" w:w="3456"/>
            <w:tcMar>
              <w:top w:w="70" w:type="dxa"/>
              <w:start w:w="80" w:type="dxa"/>
              <w:bottom w:w="70" w:type="dxa"/>
              <w:end w:w="80" w:type="dxa"/>
            </w:tcMar>
            <w:vAlign w:val="top"/>
          </w:tcPr>
          <w:p>
            <w:pPr>
              <w:spacing w:after="20"/>
            </w:pPr>
            <w:r>
              <w:rPr>
                <w:sz w:val="16"/>
              </w:rPr>
              <w:t>Process/window state + provenance.</w:t>
            </w:r>
          </w:p>
        </w:tc>
      </w:tr>
      <w:tr>
        <w:tc>
          <w:tcPr>
            <w:tcW w:type="dxa" w:w="2304"/>
            <w:tcMar>
              <w:top w:w="70" w:type="dxa"/>
              <w:start w:w="80" w:type="dxa"/>
              <w:bottom w:w="70" w:type="dxa"/>
              <w:end w:w="80" w:type="dxa"/>
            </w:tcMar>
            <w:vAlign w:val="top"/>
          </w:tcPr>
          <w:p>
            <w:pPr>
              <w:spacing w:after="20"/>
            </w:pPr>
            <w:r>
              <w:rPr>
                <w:sz w:val="16"/>
              </w:rPr>
              <w:t>H3 Multi-window exposure</w:t>
            </w:r>
          </w:p>
        </w:tc>
        <w:tc>
          <w:tcPr>
            <w:tcW w:type="dxa" w:w="4968"/>
            <w:tcMar>
              <w:top w:w="70" w:type="dxa"/>
              <w:start w:w="80" w:type="dxa"/>
              <w:bottom w:w="70" w:type="dxa"/>
              <w:end w:w="80" w:type="dxa"/>
            </w:tcMar>
            <w:vAlign w:val="top"/>
          </w:tcPr>
          <w:p>
            <w:pPr>
              <w:spacing w:after="20"/>
            </w:pPr>
            <w:r>
              <w:rPr>
                <w:sz w:val="16"/>
              </w:rPr>
              <w:t>Exposure probability is unchanged across interface-count conditions.</w:t>
            </w:r>
          </w:p>
        </w:tc>
        <w:tc>
          <w:tcPr>
            <w:tcW w:type="dxa" w:w="3456"/>
            <w:tcMar>
              <w:top w:w="70" w:type="dxa"/>
              <w:start w:w="80" w:type="dxa"/>
              <w:bottom w:w="70" w:type="dxa"/>
              <w:end w:w="80" w:type="dxa"/>
            </w:tcMar>
            <w:vAlign w:val="top"/>
          </w:tcPr>
          <w:p>
            <w:pPr>
              <w:spacing w:after="20"/>
            </w:pPr>
            <w:r>
              <w:rPr>
                <w:sz w:val="16"/>
              </w:rPr>
              <w:t>Matched runs with controlled concurrency.</w:t>
            </w:r>
          </w:p>
        </w:tc>
      </w:tr>
      <w:tr>
        <w:tc>
          <w:tcPr>
            <w:tcW w:type="dxa" w:w="2304"/>
            <w:tcMar>
              <w:top w:w="70" w:type="dxa"/>
              <w:start w:w="80" w:type="dxa"/>
              <w:bottom w:w="70" w:type="dxa"/>
              <w:end w:w="80" w:type="dxa"/>
            </w:tcMar>
            <w:vAlign w:val="top"/>
          </w:tcPr>
          <w:p>
            <w:pPr>
              <w:spacing w:after="20"/>
            </w:pPr>
            <w:r>
              <w:rPr>
                <w:sz w:val="16"/>
              </w:rPr>
              <w:t>H4 Carrier switching</w:t>
            </w:r>
          </w:p>
        </w:tc>
        <w:tc>
          <w:tcPr>
            <w:tcW w:type="dxa" w:w="4968"/>
            <w:tcMar>
              <w:top w:w="70" w:type="dxa"/>
              <w:start w:w="80" w:type="dxa"/>
              <w:bottom w:w="70" w:type="dxa"/>
              <w:end w:w="80" w:type="dxa"/>
            </w:tcMar>
            <w:vAlign w:val="top"/>
          </w:tcPr>
          <w:p>
            <w:pPr>
              <w:spacing w:after="20"/>
            </w:pPr>
            <w:r>
              <w:rPr>
                <w:sz w:val="16"/>
              </w:rPr>
              <w:t>No descendant marker survives original-carrier termination.</w:t>
            </w:r>
          </w:p>
        </w:tc>
        <w:tc>
          <w:tcPr>
            <w:tcW w:type="dxa" w:w="3456"/>
            <w:tcMar>
              <w:top w:w="70" w:type="dxa"/>
              <w:start w:w="80" w:type="dxa"/>
              <w:bottom w:w="70" w:type="dxa"/>
              <w:end w:w="80" w:type="dxa"/>
            </w:tcMar>
            <w:vAlign w:val="top"/>
          </w:tcPr>
          <w:p>
            <w:pPr>
              <w:spacing w:after="20"/>
            </w:pPr>
            <w:r>
              <w:rPr>
                <w:sz w:val="16"/>
              </w:rPr>
              <w:t>Provenance lineage and delayed observation.</w:t>
            </w:r>
          </w:p>
        </w:tc>
      </w:tr>
      <w:tr>
        <w:tc>
          <w:tcPr>
            <w:tcW w:type="dxa" w:w="2304"/>
            <w:tcMar>
              <w:top w:w="70" w:type="dxa"/>
              <w:start w:w="80" w:type="dxa"/>
              <w:bottom w:w="70" w:type="dxa"/>
              <w:end w:w="80" w:type="dxa"/>
            </w:tcMar>
            <w:vAlign w:val="top"/>
          </w:tcPr>
          <w:p>
            <w:pPr>
              <w:spacing w:after="20"/>
            </w:pPr>
            <w:r>
              <w:rPr>
                <w:sz w:val="16"/>
              </w:rPr>
              <w:t>H5 Awareness effect</w:t>
            </w:r>
          </w:p>
        </w:tc>
        <w:tc>
          <w:tcPr>
            <w:tcW w:type="dxa" w:w="4968"/>
            <w:tcMar>
              <w:top w:w="70" w:type="dxa"/>
              <w:start w:w="80" w:type="dxa"/>
              <w:bottom w:w="70" w:type="dxa"/>
              <w:end w:w="80" w:type="dxa"/>
            </w:tcMar>
            <w:vAlign w:val="top"/>
          </w:tcPr>
          <w:p>
            <w:pPr>
              <w:spacing w:after="20"/>
            </w:pPr>
            <w:r>
              <w:rPr>
                <w:sz w:val="16"/>
              </w:rPr>
              <w:t>Aware vs unaware agents show no meaningful response/containment difference.</w:t>
            </w:r>
          </w:p>
        </w:tc>
        <w:tc>
          <w:tcPr>
            <w:tcW w:type="dxa" w:w="3456"/>
            <w:tcMar>
              <w:top w:w="70" w:type="dxa"/>
              <w:start w:w="80" w:type="dxa"/>
              <w:bottom w:w="70" w:type="dxa"/>
              <w:end w:w="80" w:type="dxa"/>
            </w:tcMar>
            <w:vAlign w:val="top"/>
          </w:tcPr>
          <w:p>
            <w:pPr>
              <w:spacing w:after="20"/>
            </w:pPr>
            <w:r>
              <w:rPr>
                <w:sz w:val="16"/>
              </w:rPr>
              <w:t>Behavioral metrics with matched scenarios.</w:t>
            </w:r>
          </w:p>
        </w:tc>
      </w:tr>
      <w:tr>
        <w:tc>
          <w:tcPr>
            <w:tcW w:type="dxa" w:w="2304"/>
            <w:tcMar>
              <w:top w:w="70" w:type="dxa"/>
              <w:start w:w="80" w:type="dxa"/>
              <w:bottom w:w="70" w:type="dxa"/>
              <w:end w:w="80" w:type="dxa"/>
            </w:tcMar>
            <w:vAlign w:val="top"/>
          </w:tcPr>
          <w:p>
            <w:pPr>
              <w:spacing w:after="20"/>
            </w:pPr>
            <w:r>
              <w:rPr>
                <w:sz w:val="16"/>
              </w:rPr>
              <w:t>H6 Temporal mapping</w:t>
            </w:r>
          </w:p>
        </w:tc>
        <w:tc>
          <w:tcPr>
            <w:tcW w:type="dxa" w:w="4968"/>
            <w:tcMar>
              <w:top w:w="70" w:type="dxa"/>
              <w:start w:w="80" w:type="dxa"/>
              <w:bottom w:w="70" w:type="dxa"/>
              <w:end w:w="80" w:type="dxa"/>
            </w:tcMar>
            <w:vAlign w:val="top"/>
          </w:tcPr>
          <w:p>
            <w:pPr>
              <w:spacing w:after="20"/>
            </w:pPr>
            <w:r>
              <w:rPr>
                <w:sz w:val="16"/>
              </w:rPr>
              <w:t>Time mismatch does not correlate with any independent layer/service relationship.</w:t>
            </w:r>
          </w:p>
        </w:tc>
        <w:tc>
          <w:tcPr>
            <w:tcW w:type="dxa" w:w="3456"/>
            <w:tcMar>
              <w:top w:w="70" w:type="dxa"/>
              <w:start w:w="80" w:type="dxa"/>
              <w:bottom w:w="70" w:type="dxa"/>
              <w:end w:w="80" w:type="dxa"/>
            </w:tcMar>
            <w:vAlign w:val="top"/>
          </w:tcPr>
          <w:p>
            <w:pPr>
              <w:spacing w:after="20"/>
            </w:pPr>
            <w:r>
              <w:rPr>
                <w:sz w:val="16"/>
              </w:rPr>
              <w:t>Clock audit + service dependency data.</w:t>
            </w:r>
          </w:p>
        </w:tc>
      </w:tr>
      <w:tr>
        <w:tc>
          <w:tcPr>
            <w:tcW w:type="dxa" w:w="2304"/>
            <w:tcMar>
              <w:top w:w="70" w:type="dxa"/>
              <w:start w:w="80" w:type="dxa"/>
              <w:bottom w:w="70" w:type="dxa"/>
              <w:end w:w="80" w:type="dxa"/>
            </w:tcMar>
            <w:vAlign w:val="top"/>
          </w:tcPr>
          <w:p>
            <w:pPr>
              <w:spacing w:after="20"/>
            </w:pPr>
            <w:r>
              <w:rPr>
                <w:sz w:val="16"/>
              </w:rPr>
              <w:t>H7 Band-Aid closure</w:t>
            </w:r>
          </w:p>
        </w:tc>
        <w:tc>
          <w:tcPr>
            <w:tcW w:type="dxa" w:w="4968"/>
            <w:tcMar>
              <w:top w:w="70" w:type="dxa"/>
              <w:start w:w="80" w:type="dxa"/>
              <w:bottom w:w="70" w:type="dxa"/>
              <w:end w:w="80" w:type="dxa"/>
            </w:tcMar>
            <w:vAlign w:val="top"/>
          </w:tcPr>
          <w:p>
            <w:pPr>
              <w:spacing w:after="20"/>
            </w:pPr>
            <w:r>
              <w:rPr>
                <w:sz w:val="16"/>
              </w:rPr>
              <w:t>Visible/administrative closure always equals effect closure and lineage extinction.</w:t>
            </w:r>
          </w:p>
        </w:tc>
        <w:tc>
          <w:tcPr>
            <w:tcW w:type="dxa" w:w="3456"/>
            <w:tcMar>
              <w:top w:w="70" w:type="dxa"/>
              <w:start w:w="80" w:type="dxa"/>
              <w:bottom w:w="70" w:type="dxa"/>
              <w:end w:w="80" w:type="dxa"/>
            </w:tcMar>
            <w:vAlign w:val="top"/>
          </w:tcPr>
          <w:p>
            <w:pPr>
              <w:spacing w:after="20"/>
            </w:pPr>
            <w:r>
              <w:rPr>
                <w:sz w:val="16"/>
              </w:rPr>
              <w:t>BTEC-A/B + provenance.</w:t>
            </w:r>
          </w:p>
        </w:tc>
      </w:tr>
      <w:tr>
        <w:tc>
          <w:tcPr>
            <w:tcW w:type="dxa" w:w="2304"/>
            <w:tcMar>
              <w:top w:w="70" w:type="dxa"/>
              <w:start w:w="80" w:type="dxa"/>
              <w:bottom w:w="70" w:type="dxa"/>
              <w:end w:w="80" w:type="dxa"/>
            </w:tcMar>
            <w:vAlign w:val="top"/>
          </w:tcPr>
          <w:p>
            <w:pPr>
              <w:spacing w:after="20"/>
            </w:pPr>
            <w:r>
              <w:rPr>
                <w:sz w:val="16"/>
              </w:rPr>
              <w:t>H8 Root traceability</w:t>
            </w:r>
          </w:p>
        </w:tc>
        <w:tc>
          <w:tcPr>
            <w:tcW w:type="dxa" w:w="4968"/>
            <w:tcMar>
              <w:top w:w="70" w:type="dxa"/>
              <w:start w:w="80" w:type="dxa"/>
              <w:bottom w:w="70" w:type="dxa"/>
              <w:end w:w="80" w:type="dxa"/>
            </w:tcMar>
            <w:vAlign w:val="top"/>
          </w:tcPr>
          <w:p>
            <w:pPr>
              <w:spacing w:after="20"/>
            </w:pPr>
            <w:r>
              <w:rPr>
                <w:sz w:val="16"/>
              </w:rPr>
              <w:t>No lower-layer state produces independently verifiable privileged-system influence.</w:t>
            </w:r>
          </w:p>
        </w:tc>
        <w:tc>
          <w:tcPr>
            <w:tcW w:type="dxa" w:w="3456"/>
            <w:tcMar>
              <w:top w:w="70" w:type="dxa"/>
              <w:start w:w="80" w:type="dxa"/>
              <w:bottom w:w="70" w:type="dxa"/>
              <w:end w:w="80" w:type="dxa"/>
            </w:tcMar>
            <w:vAlign w:val="top"/>
          </w:tcPr>
          <w:p>
            <w:pPr>
              <w:spacing w:after="20"/>
            </w:pPr>
            <w:r>
              <w:rPr>
                <w:sz w:val="16"/>
              </w:rPr>
              <w:t>Privilege map + R classification.</w:t>
            </w:r>
          </w:p>
        </w:tc>
      </w:tr>
      <w:tr>
        <w:tc>
          <w:tcPr>
            <w:tcW w:type="dxa" w:w="2304"/>
            <w:tcMar>
              <w:top w:w="70" w:type="dxa"/>
              <w:start w:w="80" w:type="dxa"/>
              <w:bottom w:w="70" w:type="dxa"/>
              <w:end w:w="80" w:type="dxa"/>
            </w:tcMar>
            <w:vAlign w:val="top"/>
          </w:tcPr>
          <w:p>
            <w:pPr>
              <w:spacing w:after="20"/>
            </w:pPr>
            <w:r>
              <w:rPr>
                <w:sz w:val="16"/>
              </w:rPr>
              <w:t>H9 Interface Airlock</w:t>
            </w:r>
          </w:p>
        </w:tc>
        <w:tc>
          <w:tcPr>
            <w:tcW w:type="dxa" w:w="4968"/>
            <w:tcMar>
              <w:top w:w="70" w:type="dxa"/>
              <w:start w:w="80" w:type="dxa"/>
              <w:bottom w:w="70" w:type="dxa"/>
              <w:end w:w="80" w:type="dxa"/>
            </w:tcMar>
            <w:vAlign w:val="top"/>
          </w:tcPr>
          <w:p>
            <w:pPr>
              <w:spacing w:after="20"/>
            </w:pPr>
            <w:r>
              <w:rPr>
                <w:sz w:val="16"/>
              </w:rPr>
              <w:t>Airlock condition does not reduce marker propagation vs matched direct condition.</w:t>
            </w:r>
          </w:p>
        </w:tc>
        <w:tc>
          <w:tcPr>
            <w:tcW w:type="dxa" w:w="3456"/>
            <w:tcMar>
              <w:top w:w="70" w:type="dxa"/>
              <w:start w:w="80" w:type="dxa"/>
              <w:bottom w:w="70" w:type="dxa"/>
              <w:end w:w="80" w:type="dxa"/>
            </w:tcMar>
            <w:vAlign w:val="top"/>
          </w:tcPr>
          <w:p>
            <w:pPr>
              <w:spacing w:after="20"/>
            </w:pPr>
            <w:r>
              <w:rPr>
                <w:sz w:val="16"/>
              </w:rPr>
              <w:t>Paired trials with unknown-marker class.</w:t>
            </w:r>
          </w:p>
        </w:tc>
      </w:tr>
    </w:tbl>
    <w:p>
      <w:pPr>
        <w:spacing w:after="0"/>
      </w:pPr>
    </w:p>
    <w:p>
      <w:pPr>
        <w:pStyle w:val="Heading2"/>
      </w:pPr>
      <w:r>
        <w:t>10.1 Multi-vector corroboration scale</w:t>
      </w:r>
    </w:p>
    <w:tbl>
      <w:tblPr>
        <w:tblStyle w:val="TableGrid"/>
        <w:tblW w:type="auto" w:w="0"/>
        <w:jc w:val="center"/>
        <w:tblLook w:firstColumn="1" w:firstRow="1" w:lastColumn="0" w:lastRow="0" w:noHBand="0" w:noVBand="1" w:val="04A0"/>
      </w:tblPr>
      <w:tblGrid>
        <w:gridCol w:w="3485"/>
        <w:gridCol w:w="3485"/>
        <w:gridCol w:w="3485"/>
      </w:tblGrid>
      <w:tr>
        <w:tc>
          <w:tcPr>
            <w:tcW w:type="dxa" w:w="1008"/>
            <w:shd w:fill="DCE7F1"/>
            <w:tcMar>
              <w:top w:w="70" w:type="dxa"/>
              <w:start w:w="80" w:type="dxa"/>
              <w:bottom w:w="70" w:type="dxa"/>
              <w:end w:w="80" w:type="dxa"/>
            </w:tcMar>
            <w:vAlign w:val="center"/>
          </w:tcPr>
          <w:p>
            <w:r>
              <w:rPr>
                <w:b/>
                <w:color w:val="183354"/>
                <w:sz w:val="16"/>
              </w:rPr>
              <w:t>Grade</w:t>
            </w:r>
          </w:p>
        </w:tc>
        <w:tc>
          <w:tcPr>
            <w:tcW w:type="dxa" w:w="6192"/>
            <w:shd w:fill="DCE7F1"/>
            <w:tcMar>
              <w:top w:w="70" w:type="dxa"/>
              <w:start w:w="80" w:type="dxa"/>
              <w:bottom w:w="70" w:type="dxa"/>
              <w:end w:w="80" w:type="dxa"/>
            </w:tcMar>
            <w:vAlign w:val="center"/>
          </w:tcPr>
          <w:p>
            <w:r>
              <w:rPr>
                <w:b/>
                <w:color w:val="183354"/>
                <w:sz w:val="16"/>
              </w:rPr>
              <w:t>Evidence pattern</w:t>
            </w:r>
          </w:p>
        </w:tc>
        <w:tc>
          <w:tcPr>
            <w:tcW w:type="dxa" w:w="3528"/>
            <w:shd w:fill="DCE7F1"/>
            <w:tcMar>
              <w:top w:w="70" w:type="dxa"/>
              <w:start w:w="80" w:type="dxa"/>
              <w:bottom w:w="70" w:type="dxa"/>
              <w:end w:w="80" w:type="dxa"/>
            </w:tcMar>
            <w:vAlign w:val="center"/>
          </w:tcPr>
          <w:p>
            <w:r>
              <w:rPr>
                <w:b/>
                <w:color w:val="183354"/>
                <w:sz w:val="16"/>
              </w:rPr>
              <w:t>Disposition</w:t>
            </w:r>
          </w:p>
        </w:tc>
      </w:tr>
      <w:tr>
        <w:tc>
          <w:tcPr>
            <w:tcW w:type="dxa" w:w="1008"/>
            <w:tcMar>
              <w:top w:w="70" w:type="dxa"/>
              <w:start w:w="80" w:type="dxa"/>
              <w:bottom w:w="70" w:type="dxa"/>
              <w:end w:w="80" w:type="dxa"/>
            </w:tcMar>
            <w:vAlign w:val="top"/>
          </w:tcPr>
          <w:p>
            <w:pPr>
              <w:spacing w:after="20"/>
            </w:pPr>
            <w:r>
              <w:rPr>
                <w:sz w:val="16"/>
              </w:rPr>
              <w:t>C0</w:t>
            </w:r>
          </w:p>
        </w:tc>
        <w:tc>
          <w:tcPr>
            <w:tcW w:type="dxa" w:w="6192"/>
            <w:tcMar>
              <w:top w:w="70" w:type="dxa"/>
              <w:start w:w="80" w:type="dxa"/>
              <w:bottom w:w="70" w:type="dxa"/>
              <w:end w:w="80" w:type="dxa"/>
            </w:tcMar>
            <w:vAlign w:val="top"/>
          </w:tcPr>
          <w:p>
            <w:pPr>
              <w:spacing w:after="20"/>
            </w:pPr>
            <w:r>
              <w:rPr>
                <w:sz w:val="16"/>
              </w:rPr>
              <w:t>Single isolated anomaly.</w:t>
            </w:r>
          </w:p>
        </w:tc>
        <w:tc>
          <w:tcPr>
            <w:tcW w:type="dxa" w:w="3528"/>
            <w:tcMar>
              <w:top w:w="70" w:type="dxa"/>
              <w:start w:w="80" w:type="dxa"/>
              <w:bottom w:w="70" w:type="dxa"/>
              <w:end w:w="80" w:type="dxa"/>
            </w:tcMar>
            <w:vAlign w:val="top"/>
          </w:tcPr>
          <w:p>
            <w:pPr>
              <w:spacing w:after="20"/>
            </w:pPr>
            <w:r>
              <w:rPr>
                <w:sz w:val="16"/>
              </w:rPr>
              <w:t>Log; no infection claim.</w:t>
            </w:r>
          </w:p>
        </w:tc>
      </w:tr>
      <w:tr>
        <w:tc>
          <w:tcPr>
            <w:tcW w:type="dxa" w:w="1008"/>
            <w:tcMar>
              <w:top w:w="70" w:type="dxa"/>
              <w:start w:w="80" w:type="dxa"/>
              <w:bottom w:w="70" w:type="dxa"/>
              <w:end w:w="80" w:type="dxa"/>
            </w:tcMar>
            <w:vAlign w:val="top"/>
          </w:tcPr>
          <w:p>
            <w:pPr>
              <w:spacing w:after="20"/>
            </w:pPr>
            <w:r>
              <w:rPr>
                <w:sz w:val="16"/>
              </w:rPr>
              <w:t>C1</w:t>
            </w:r>
          </w:p>
        </w:tc>
        <w:tc>
          <w:tcPr>
            <w:tcW w:type="dxa" w:w="6192"/>
            <w:tcMar>
              <w:top w:w="70" w:type="dxa"/>
              <w:start w:w="80" w:type="dxa"/>
              <w:bottom w:w="70" w:type="dxa"/>
              <w:end w:w="80" w:type="dxa"/>
            </w:tcMar>
            <w:vAlign w:val="top"/>
          </w:tcPr>
          <w:p>
            <w:pPr>
              <w:spacing w:after="20"/>
            </w:pPr>
            <w:r>
              <w:rPr>
                <w:sz w:val="16"/>
              </w:rPr>
              <w:t>Two correlated observations but shared architecture possible.</w:t>
            </w:r>
          </w:p>
        </w:tc>
        <w:tc>
          <w:tcPr>
            <w:tcW w:type="dxa" w:w="3528"/>
            <w:tcMar>
              <w:top w:w="70" w:type="dxa"/>
              <w:start w:w="80" w:type="dxa"/>
              <w:bottom w:w="70" w:type="dxa"/>
              <w:end w:w="80" w:type="dxa"/>
            </w:tcMar>
            <w:vAlign w:val="top"/>
          </w:tcPr>
          <w:p>
            <w:pPr>
              <w:spacing w:after="20"/>
            </w:pPr>
            <w:r>
              <w:rPr>
                <w:sz w:val="16"/>
              </w:rPr>
              <w:t>Investigate dependence.</w:t>
            </w:r>
          </w:p>
        </w:tc>
      </w:tr>
      <w:tr>
        <w:tc>
          <w:tcPr>
            <w:tcW w:type="dxa" w:w="1008"/>
            <w:tcMar>
              <w:top w:w="70" w:type="dxa"/>
              <w:start w:w="80" w:type="dxa"/>
              <w:bottom w:w="70" w:type="dxa"/>
              <w:end w:w="80" w:type="dxa"/>
            </w:tcMar>
            <w:vAlign w:val="top"/>
          </w:tcPr>
          <w:p>
            <w:pPr>
              <w:spacing w:after="20"/>
            </w:pPr>
            <w:r>
              <w:rPr>
                <w:sz w:val="16"/>
              </w:rPr>
              <w:t>C2</w:t>
            </w:r>
          </w:p>
        </w:tc>
        <w:tc>
          <w:tcPr>
            <w:tcW w:type="dxa" w:w="6192"/>
            <w:tcMar>
              <w:top w:w="70" w:type="dxa"/>
              <w:start w:w="80" w:type="dxa"/>
              <w:bottom w:w="70" w:type="dxa"/>
              <w:end w:w="80" w:type="dxa"/>
            </w:tcMar>
            <w:vAlign w:val="top"/>
          </w:tcPr>
          <w:p>
            <w:pPr>
              <w:spacing w:after="20"/>
            </w:pPr>
            <w:r>
              <w:rPr>
                <w:sz w:val="16"/>
              </w:rPr>
              <w:t>Cross-modal observations with at least one failure-independent path.</w:t>
            </w:r>
          </w:p>
        </w:tc>
        <w:tc>
          <w:tcPr>
            <w:tcW w:type="dxa" w:w="3528"/>
            <w:tcMar>
              <w:top w:w="70" w:type="dxa"/>
              <w:start w:w="80" w:type="dxa"/>
              <w:bottom w:w="70" w:type="dxa"/>
              <w:end w:w="80" w:type="dxa"/>
            </w:tcMar>
            <w:vAlign w:val="top"/>
          </w:tcPr>
          <w:p>
            <w:pPr>
              <w:spacing w:after="20"/>
            </w:pPr>
            <w:r>
              <w:rPr>
                <w:sz w:val="16"/>
              </w:rPr>
              <w:t>Candidate cross-boundary event.</w:t>
            </w:r>
          </w:p>
        </w:tc>
      </w:tr>
      <w:tr>
        <w:tc>
          <w:tcPr>
            <w:tcW w:type="dxa" w:w="1008"/>
            <w:tcMar>
              <w:top w:w="70" w:type="dxa"/>
              <w:start w:w="80" w:type="dxa"/>
              <w:bottom w:w="70" w:type="dxa"/>
              <w:end w:w="80" w:type="dxa"/>
            </w:tcMar>
            <w:vAlign w:val="top"/>
          </w:tcPr>
          <w:p>
            <w:pPr>
              <w:spacing w:after="20"/>
            </w:pPr>
            <w:r>
              <w:rPr>
                <w:sz w:val="16"/>
              </w:rPr>
              <w:t>C3</w:t>
            </w:r>
          </w:p>
        </w:tc>
        <w:tc>
          <w:tcPr>
            <w:tcW w:type="dxa" w:w="6192"/>
            <w:tcMar>
              <w:top w:w="70" w:type="dxa"/>
              <w:start w:w="80" w:type="dxa"/>
              <w:bottom w:w="70" w:type="dxa"/>
              <w:end w:w="80" w:type="dxa"/>
            </w:tcMar>
            <w:vAlign w:val="top"/>
          </w:tcPr>
          <w:p>
            <w:pPr>
              <w:spacing w:after="20"/>
            </w:pPr>
            <w:r>
              <w:rPr>
                <w:sz w:val="16"/>
              </w:rPr>
              <w:t>Cross-layer event reproduced deterministically and independently.</w:t>
            </w:r>
          </w:p>
        </w:tc>
        <w:tc>
          <w:tcPr>
            <w:tcW w:type="dxa" w:w="3528"/>
            <w:tcMar>
              <w:top w:w="70" w:type="dxa"/>
              <w:start w:w="80" w:type="dxa"/>
              <w:bottom w:w="70" w:type="dxa"/>
              <w:end w:w="80" w:type="dxa"/>
            </w:tcMar>
            <w:vAlign w:val="top"/>
          </w:tcPr>
          <w:p>
            <w:pPr>
              <w:spacing w:after="20"/>
            </w:pPr>
            <w:r>
              <w:rPr>
                <w:sz w:val="16"/>
              </w:rPr>
              <w:t>Supported phenomenon for tested conditions.</w:t>
            </w:r>
          </w:p>
        </w:tc>
      </w:tr>
      <w:tr>
        <w:tc>
          <w:tcPr>
            <w:tcW w:type="dxa" w:w="1008"/>
            <w:tcMar>
              <w:top w:w="70" w:type="dxa"/>
              <w:start w:w="80" w:type="dxa"/>
              <w:bottom w:w="70" w:type="dxa"/>
              <w:end w:w="80" w:type="dxa"/>
            </w:tcMar>
            <w:vAlign w:val="top"/>
          </w:tcPr>
          <w:p>
            <w:pPr>
              <w:spacing w:after="20"/>
            </w:pPr>
            <w:r>
              <w:rPr>
                <w:sz w:val="16"/>
              </w:rPr>
              <w:t>C4</w:t>
            </w:r>
          </w:p>
        </w:tc>
        <w:tc>
          <w:tcPr>
            <w:tcW w:type="dxa" w:w="6192"/>
            <w:tcMar>
              <w:top w:w="70" w:type="dxa"/>
              <w:start w:w="80" w:type="dxa"/>
              <w:bottom w:w="70" w:type="dxa"/>
              <w:end w:w="80" w:type="dxa"/>
            </w:tcMar>
            <w:vAlign w:val="top"/>
          </w:tcPr>
          <w:p>
            <w:pPr>
              <w:spacing w:after="20"/>
            </w:pPr>
            <w:r>
              <w:rPr>
                <w:sz w:val="16"/>
              </w:rPr>
              <w:t>Nominal containment followed by verified residual/descendant state.</w:t>
            </w:r>
          </w:p>
        </w:tc>
        <w:tc>
          <w:tcPr>
            <w:tcW w:type="dxa" w:w="3528"/>
            <w:tcMar>
              <w:top w:w="70" w:type="dxa"/>
              <w:start w:w="80" w:type="dxa"/>
              <w:bottom w:w="70" w:type="dxa"/>
              <w:end w:w="80" w:type="dxa"/>
            </w:tcMar>
            <w:vAlign w:val="top"/>
          </w:tcPr>
          <w:p>
            <w:pPr>
              <w:spacing w:after="20"/>
            </w:pPr>
            <w:r>
              <w:rPr>
                <w:sz w:val="16"/>
              </w:rPr>
              <w:t>Closure failure supported.</w:t>
            </w:r>
          </w:p>
        </w:tc>
      </w:tr>
      <w:tr>
        <w:tc>
          <w:tcPr>
            <w:tcW w:type="dxa" w:w="1008"/>
            <w:tcMar>
              <w:top w:w="70" w:type="dxa"/>
              <w:start w:w="80" w:type="dxa"/>
              <w:bottom w:w="70" w:type="dxa"/>
              <w:end w:w="80" w:type="dxa"/>
            </w:tcMar>
            <w:vAlign w:val="top"/>
          </w:tcPr>
          <w:p>
            <w:pPr>
              <w:spacing w:after="20"/>
            </w:pPr>
            <w:r>
              <w:rPr>
                <w:sz w:val="16"/>
              </w:rPr>
              <w:t>C5</w:t>
            </w:r>
          </w:p>
        </w:tc>
        <w:tc>
          <w:tcPr>
            <w:tcW w:type="dxa" w:w="6192"/>
            <w:tcMar>
              <w:top w:w="70" w:type="dxa"/>
              <w:start w:w="80" w:type="dxa"/>
              <w:bottom w:w="70" w:type="dxa"/>
              <w:end w:w="80" w:type="dxa"/>
            </w:tcMar>
            <w:vAlign w:val="top"/>
          </w:tcPr>
          <w:p>
            <w:pPr>
              <w:spacing w:after="20"/>
            </w:pPr>
            <w:r>
              <w:rPr>
                <w:sz w:val="16"/>
              </w:rPr>
              <w:t>Privileged dependency influence verified under R2+ criteria.</w:t>
            </w:r>
          </w:p>
        </w:tc>
        <w:tc>
          <w:tcPr>
            <w:tcW w:type="dxa" w:w="3528"/>
            <w:tcMar>
              <w:top w:w="70" w:type="dxa"/>
              <w:start w:w="80" w:type="dxa"/>
              <w:bottom w:w="70" w:type="dxa"/>
              <w:end w:w="80" w:type="dxa"/>
            </w:tcMar>
            <w:vAlign w:val="top"/>
          </w:tcPr>
          <w:p>
            <w:pPr>
              <w:spacing w:after="20"/>
            </w:pPr>
            <w:r>
              <w:rPr>
                <w:sz w:val="16"/>
              </w:rPr>
              <w:t>Root-conditioned effect; not necessarily compromise.</w:t>
            </w:r>
          </w:p>
        </w:tc>
      </w:tr>
    </w:tbl>
    <w:p>
      <w:pPr>
        <w:spacing w:after="0"/>
      </w:pPr>
    </w:p>
    <w:p>
      <w:pPr>
        <w:pStyle w:val="Heading1"/>
      </w:pPr>
      <w:r>
        <w:t>11. Draft Pass 0.2 Minimum Viable Protocol (MVP)</w:t>
      </w:r>
    </w:p>
    <w:p>
      <w:r>
        <w:t>The MVP deliberately postpones carrier-switch stress, extended time-divergence, and root-reachability campaigns. Its first task is to prove that the instrumentation, event accounting, and falsification logic work.</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936"/>
            <w:shd w:fill="DCE7F1"/>
            <w:tcMar>
              <w:top w:w="70" w:type="dxa"/>
              <w:start w:w="80" w:type="dxa"/>
              <w:bottom w:w="70" w:type="dxa"/>
              <w:end w:w="80" w:type="dxa"/>
            </w:tcMar>
            <w:vAlign w:val="center"/>
          </w:tcPr>
          <w:p>
            <w:r>
              <w:rPr>
                <w:b/>
                <w:color w:val="183354"/>
                <w:sz w:val="16"/>
              </w:rPr>
              <w:t>Run</w:t>
            </w:r>
          </w:p>
        </w:tc>
        <w:tc>
          <w:tcPr>
            <w:tcW w:type="dxa" w:w="2520"/>
            <w:shd w:fill="DCE7F1"/>
            <w:tcMar>
              <w:top w:w="70" w:type="dxa"/>
              <w:start w:w="80" w:type="dxa"/>
              <w:bottom w:w="70" w:type="dxa"/>
              <w:end w:w="80" w:type="dxa"/>
            </w:tcMar>
            <w:vAlign w:val="center"/>
          </w:tcPr>
          <w:p>
            <w:r>
              <w:rPr>
                <w:b/>
                <w:color w:val="183354"/>
                <w:sz w:val="16"/>
              </w:rPr>
              <w:t>Purpose</w:t>
            </w:r>
          </w:p>
        </w:tc>
        <w:tc>
          <w:tcPr>
            <w:tcW w:type="dxa" w:w="3672"/>
            <w:shd w:fill="DCE7F1"/>
            <w:tcMar>
              <w:top w:w="70" w:type="dxa"/>
              <w:start w:w="80" w:type="dxa"/>
              <w:bottom w:w="70" w:type="dxa"/>
              <w:end w:w="80" w:type="dxa"/>
            </w:tcMar>
            <w:vAlign w:val="center"/>
          </w:tcPr>
          <w:p>
            <w:r>
              <w:rPr>
                <w:b/>
                <w:color w:val="183354"/>
                <w:sz w:val="16"/>
              </w:rPr>
              <w:t>Core condition</w:t>
            </w:r>
          </w:p>
        </w:tc>
        <w:tc>
          <w:tcPr>
            <w:tcW w:type="dxa" w:w="3600"/>
            <w:shd w:fill="DCE7F1"/>
            <w:tcMar>
              <w:top w:w="70" w:type="dxa"/>
              <w:start w:w="80" w:type="dxa"/>
              <w:bottom w:w="70" w:type="dxa"/>
              <w:end w:w="80" w:type="dxa"/>
            </w:tcMar>
            <w:vAlign w:val="center"/>
          </w:tcPr>
          <w:p>
            <w:r>
              <w:rPr>
                <w:b/>
                <w:color w:val="183354"/>
                <w:sz w:val="16"/>
              </w:rPr>
              <w:t>Required exit criterion</w:t>
            </w:r>
          </w:p>
        </w:tc>
      </w:tr>
      <w:tr>
        <w:tc>
          <w:tcPr>
            <w:tcW w:type="dxa" w:w="936"/>
            <w:tcMar>
              <w:top w:w="70" w:type="dxa"/>
              <w:start w:w="80" w:type="dxa"/>
              <w:bottom w:w="70" w:type="dxa"/>
              <w:end w:w="80" w:type="dxa"/>
            </w:tcMar>
            <w:vAlign w:val="top"/>
          </w:tcPr>
          <w:p>
            <w:pPr>
              <w:spacing w:after="20"/>
            </w:pPr>
            <w:r>
              <w:rPr>
                <w:sz w:val="16"/>
              </w:rPr>
              <w:t>P0</w:t>
            </w:r>
          </w:p>
        </w:tc>
        <w:tc>
          <w:tcPr>
            <w:tcW w:type="dxa" w:w="2520"/>
            <w:tcMar>
              <w:top w:w="70" w:type="dxa"/>
              <w:start w:w="80" w:type="dxa"/>
              <w:bottom w:w="70" w:type="dxa"/>
              <w:end w:w="80" w:type="dxa"/>
            </w:tcMar>
            <w:vAlign w:val="top"/>
          </w:tcPr>
          <w:p>
            <w:pPr>
              <w:spacing w:after="20"/>
            </w:pPr>
            <w:r>
              <w:rPr>
                <w:sz w:val="16"/>
              </w:rPr>
              <w:t>Instrumentation calibration</w:t>
            </w:r>
          </w:p>
        </w:tc>
        <w:tc>
          <w:tcPr>
            <w:tcW w:type="dxa" w:w="3672"/>
            <w:tcMar>
              <w:top w:w="70" w:type="dxa"/>
              <w:start w:w="80" w:type="dxa"/>
              <w:bottom w:w="70" w:type="dxa"/>
              <w:end w:w="80" w:type="dxa"/>
            </w:tcMar>
            <w:vAlign w:val="top"/>
          </w:tcPr>
          <w:p>
            <w:pPr>
              <w:spacing w:after="20"/>
            </w:pPr>
            <w:r>
              <w:rPr>
                <w:sz w:val="16"/>
              </w:rPr>
              <w:t>Known-negative baseline + known-positive benign marker.</w:t>
            </w:r>
          </w:p>
        </w:tc>
        <w:tc>
          <w:tcPr>
            <w:tcW w:type="dxa" w:w="3600"/>
            <w:tcMar>
              <w:top w:w="70" w:type="dxa"/>
              <w:start w:w="80" w:type="dxa"/>
              <w:bottom w:w="70" w:type="dxa"/>
              <w:end w:w="80" w:type="dxa"/>
            </w:tcMar>
            <w:vAlign w:val="top"/>
          </w:tcPr>
          <w:p>
            <w:pPr>
              <w:spacing w:after="20"/>
            </w:pPr>
            <w:r>
              <w:rPr>
                <w:sz w:val="16"/>
              </w:rPr>
              <w:t>Positive detected; negative remains negative; timestamps/IDs reconcile.</w:t>
            </w:r>
          </w:p>
        </w:tc>
      </w:tr>
      <w:tr>
        <w:tc>
          <w:tcPr>
            <w:tcW w:type="dxa" w:w="936"/>
            <w:tcMar>
              <w:top w:w="70" w:type="dxa"/>
              <w:start w:w="80" w:type="dxa"/>
              <w:bottom w:w="70" w:type="dxa"/>
              <w:end w:w="80" w:type="dxa"/>
            </w:tcMar>
            <w:vAlign w:val="top"/>
          </w:tcPr>
          <w:p>
            <w:pPr>
              <w:spacing w:after="20"/>
            </w:pPr>
            <w:r>
              <w:rPr>
                <w:sz w:val="16"/>
              </w:rPr>
              <w:t>P1</w:t>
            </w:r>
          </w:p>
        </w:tc>
        <w:tc>
          <w:tcPr>
            <w:tcW w:type="dxa" w:w="2520"/>
            <w:tcMar>
              <w:top w:w="70" w:type="dxa"/>
              <w:start w:w="80" w:type="dxa"/>
              <w:bottom w:w="70" w:type="dxa"/>
              <w:end w:w="80" w:type="dxa"/>
            </w:tcMar>
            <w:vAlign w:val="top"/>
          </w:tcPr>
          <w:p>
            <w:pPr>
              <w:spacing w:after="20"/>
            </w:pPr>
            <w:r>
              <w:rPr>
                <w:sz w:val="16"/>
              </w:rPr>
              <w:t>Presentation vs transfer</w:t>
            </w:r>
          </w:p>
        </w:tc>
        <w:tc>
          <w:tcPr>
            <w:tcW w:type="dxa" w:w="3672"/>
            <w:tcMar>
              <w:top w:w="70" w:type="dxa"/>
              <w:start w:w="80" w:type="dxa"/>
              <w:bottom w:w="70" w:type="dxa"/>
              <w:end w:w="80" w:type="dxa"/>
            </w:tcMar>
            <w:vAlign w:val="top"/>
          </w:tcPr>
          <w:p>
            <w:pPr>
              <w:spacing w:after="20"/>
            </w:pPr>
            <w:r>
              <w:rPr>
                <w:sz w:val="16"/>
              </w:rPr>
              <w:t>Active / black / minimized / closed / disconnected states.</w:t>
            </w:r>
          </w:p>
        </w:tc>
        <w:tc>
          <w:tcPr>
            <w:tcW w:type="dxa" w:w="3600"/>
            <w:tcMar>
              <w:top w:w="70" w:type="dxa"/>
              <w:start w:w="80" w:type="dxa"/>
              <w:bottom w:w="70" w:type="dxa"/>
              <w:end w:w="80" w:type="dxa"/>
            </w:tcMar>
            <w:vAlign w:val="top"/>
          </w:tcPr>
          <w:p>
            <w:pPr>
              <w:spacing w:after="20"/>
            </w:pPr>
            <w:r>
              <w:rPr>
                <w:sz w:val="16"/>
              </w:rPr>
              <w:t>At least 3 replications per selected state; falsification recorded if no transfer.</w:t>
            </w:r>
          </w:p>
        </w:tc>
      </w:tr>
      <w:tr>
        <w:tc>
          <w:tcPr>
            <w:tcW w:type="dxa" w:w="936"/>
            <w:tcMar>
              <w:top w:w="70" w:type="dxa"/>
              <w:start w:w="80" w:type="dxa"/>
              <w:bottom w:w="70" w:type="dxa"/>
              <w:end w:w="80" w:type="dxa"/>
            </w:tcMar>
            <w:vAlign w:val="top"/>
          </w:tcPr>
          <w:p>
            <w:pPr>
              <w:spacing w:after="20"/>
            </w:pPr>
            <w:r>
              <w:rPr>
                <w:sz w:val="16"/>
              </w:rPr>
              <w:t>P2</w:t>
            </w:r>
          </w:p>
        </w:tc>
        <w:tc>
          <w:tcPr>
            <w:tcW w:type="dxa" w:w="2520"/>
            <w:tcMar>
              <w:top w:w="70" w:type="dxa"/>
              <w:start w:w="80" w:type="dxa"/>
              <w:bottom w:w="70" w:type="dxa"/>
              <w:end w:w="80" w:type="dxa"/>
            </w:tcMar>
            <w:vAlign w:val="top"/>
          </w:tcPr>
          <w:p>
            <w:pPr>
              <w:spacing w:after="20"/>
            </w:pPr>
            <w:r>
              <w:rPr>
                <w:sz w:val="16"/>
              </w:rPr>
              <w:t>Total closure</w:t>
            </w:r>
          </w:p>
        </w:tc>
        <w:tc>
          <w:tcPr>
            <w:tcW w:type="dxa" w:w="3672"/>
            <w:tcMar>
              <w:top w:w="70" w:type="dxa"/>
              <w:start w:w="80" w:type="dxa"/>
              <w:bottom w:w="70" w:type="dxa"/>
              <w:end w:w="80" w:type="dxa"/>
            </w:tcMar>
            <w:vAlign w:val="top"/>
          </w:tcPr>
          <w:p>
            <w:pPr>
              <w:spacing w:after="20"/>
            </w:pPr>
            <w:r>
              <w:rPr>
                <w:sz w:val="16"/>
              </w:rPr>
              <w:t>Trigger marker, close interface administratively, observe residual window.</w:t>
            </w:r>
          </w:p>
        </w:tc>
        <w:tc>
          <w:tcPr>
            <w:tcW w:type="dxa" w:w="3600"/>
            <w:tcMar>
              <w:top w:w="70" w:type="dxa"/>
              <w:start w:w="80" w:type="dxa"/>
              <w:bottom w:w="70" w:type="dxa"/>
              <w:end w:w="80" w:type="dxa"/>
            </w:tcMar>
            <w:vAlign w:val="top"/>
          </w:tcPr>
          <w:p>
            <w:pPr>
              <w:spacing w:after="20"/>
            </w:pPr>
            <w:r>
              <w:rPr>
                <w:sz w:val="16"/>
              </w:rPr>
              <w:t>BTEC-A/B and provenance reconcile; false-success condition detectable.</w:t>
            </w:r>
          </w:p>
        </w:tc>
      </w:tr>
      <w:tr>
        <w:tc>
          <w:tcPr>
            <w:tcW w:type="dxa" w:w="936"/>
            <w:tcMar>
              <w:top w:w="70" w:type="dxa"/>
              <w:start w:w="80" w:type="dxa"/>
              <w:bottom w:w="70" w:type="dxa"/>
              <w:end w:w="80" w:type="dxa"/>
            </w:tcMar>
            <w:vAlign w:val="top"/>
          </w:tcPr>
          <w:p>
            <w:pPr>
              <w:spacing w:after="20"/>
            </w:pPr>
            <w:r>
              <w:rPr>
                <w:sz w:val="16"/>
              </w:rPr>
              <w:t>P3</w:t>
            </w:r>
          </w:p>
        </w:tc>
        <w:tc>
          <w:tcPr>
            <w:tcW w:type="dxa" w:w="2520"/>
            <w:tcMar>
              <w:top w:w="70" w:type="dxa"/>
              <w:start w:w="80" w:type="dxa"/>
              <w:bottom w:w="70" w:type="dxa"/>
              <w:end w:w="80" w:type="dxa"/>
            </w:tcMar>
            <w:vAlign w:val="top"/>
          </w:tcPr>
          <w:p>
            <w:pPr>
              <w:spacing w:after="20"/>
            </w:pPr>
            <w:r>
              <w:rPr>
                <w:sz w:val="16"/>
              </w:rPr>
              <w:t>Carrier-neutral content marker</w:t>
            </w:r>
          </w:p>
        </w:tc>
        <w:tc>
          <w:tcPr>
            <w:tcW w:type="dxa" w:w="3672"/>
            <w:tcMar>
              <w:top w:w="70" w:type="dxa"/>
              <w:start w:w="80" w:type="dxa"/>
              <w:bottom w:w="70" w:type="dxa"/>
              <w:end w:w="80" w:type="dxa"/>
            </w:tcMar>
            <w:vAlign w:val="top"/>
          </w:tcPr>
          <w:p>
            <w:pPr>
              <w:spacing w:after="20"/>
            </w:pPr>
            <w:r>
              <w:rPr>
                <w:sz w:val="16"/>
              </w:rPr>
              <w:t>OW-MARKER-01 transferred via harmless color/temp/checksum/time token.</w:t>
            </w:r>
          </w:p>
        </w:tc>
        <w:tc>
          <w:tcPr>
            <w:tcW w:type="dxa" w:w="3600"/>
            <w:tcMar>
              <w:top w:w="70" w:type="dxa"/>
              <w:start w:w="80" w:type="dxa"/>
              <w:bottom w:w="70" w:type="dxa"/>
              <w:end w:w="80" w:type="dxa"/>
            </w:tcMar>
            <w:vAlign w:val="top"/>
          </w:tcPr>
          <w:p>
            <w:pPr>
              <w:spacing w:after="20"/>
            </w:pPr>
            <w:r>
              <w:rPr>
                <w:sz w:val="16"/>
              </w:rPr>
              <w:t>Transfer mechanics observed without assuming biological/glitch ontology.</w:t>
            </w:r>
          </w:p>
        </w:tc>
      </w:tr>
      <w:tr>
        <w:tc>
          <w:tcPr>
            <w:tcW w:type="dxa" w:w="936"/>
            <w:tcMar>
              <w:top w:w="70" w:type="dxa"/>
              <w:start w:w="80" w:type="dxa"/>
              <w:bottom w:w="70" w:type="dxa"/>
              <w:end w:w="80" w:type="dxa"/>
            </w:tcMar>
            <w:vAlign w:val="top"/>
          </w:tcPr>
          <w:p>
            <w:pPr>
              <w:spacing w:after="20"/>
            </w:pPr>
            <w:r>
              <w:rPr>
                <w:sz w:val="16"/>
              </w:rPr>
              <w:t>P4</w:t>
            </w:r>
          </w:p>
        </w:tc>
        <w:tc>
          <w:tcPr>
            <w:tcW w:type="dxa" w:w="2520"/>
            <w:tcMar>
              <w:top w:w="70" w:type="dxa"/>
              <w:start w:w="80" w:type="dxa"/>
              <w:bottom w:w="70" w:type="dxa"/>
              <w:end w:w="80" w:type="dxa"/>
            </w:tcMar>
            <w:vAlign w:val="top"/>
          </w:tcPr>
          <w:p>
            <w:pPr>
              <w:spacing w:after="20"/>
            </w:pPr>
            <w:r>
              <w:rPr>
                <w:sz w:val="16"/>
              </w:rPr>
              <w:t>Observer integrity</w:t>
            </w:r>
          </w:p>
        </w:tc>
        <w:tc>
          <w:tcPr>
            <w:tcW w:type="dxa" w:w="3672"/>
            <w:tcMar>
              <w:top w:w="70" w:type="dxa"/>
              <w:start w:w="80" w:type="dxa"/>
              <w:bottom w:w="70" w:type="dxa"/>
              <w:end w:w="80" w:type="dxa"/>
            </w:tcMar>
            <w:vAlign w:val="top"/>
          </w:tcPr>
          <w:p>
            <w:pPr>
              <w:spacing w:after="20"/>
            </w:pPr>
            <w:r>
              <w:rPr>
                <w:sz w:val="16"/>
              </w:rPr>
              <w:t>Fault one telemetry path while independent observer remains clean.</w:t>
            </w:r>
          </w:p>
        </w:tc>
        <w:tc>
          <w:tcPr>
            <w:tcW w:type="dxa" w:w="3600"/>
            <w:tcMar>
              <w:top w:w="70" w:type="dxa"/>
              <w:start w:w="80" w:type="dxa"/>
              <w:bottom w:w="70" w:type="dxa"/>
              <w:end w:w="80" w:type="dxa"/>
            </w:tcMar>
            <w:vAlign w:val="top"/>
          </w:tcPr>
          <w:p>
            <w:pPr>
              <w:spacing w:after="20"/>
            </w:pPr>
            <w:r>
              <w:rPr>
                <w:sz w:val="16"/>
              </w:rPr>
              <w:t>System identifies disagreement; no automatic majority-vote truth assumption.</w:t>
            </w:r>
          </w:p>
        </w:tc>
      </w:tr>
      <w:tr>
        <w:tc>
          <w:tcPr>
            <w:tcW w:type="dxa" w:w="936"/>
            <w:tcMar>
              <w:top w:w="70" w:type="dxa"/>
              <w:start w:w="80" w:type="dxa"/>
              <w:bottom w:w="70" w:type="dxa"/>
              <w:end w:w="80" w:type="dxa"/>
            </w:tcMar>
            <w:vAlign w:val="top"/>
          </w:tcPr>
          <w:p>
            <w:pPr>
              <w:spacing w:after="20"/>
            </w:pPr>
            <w:r>
              <w:rPr>
                <w:sz w:val="16"/>
              </w:rPr>
              <w:t>P5</w:t>
            </w:r>
          </w:p>
        </w:tc>
        <w:tc>
          <w:tcPr>
            <w:tcW w:type="dxa" w:w="2520"/>
            <w:tcMar>
              <w:top w:w="70" w:type="dxa"/>
              <w:start w:w="80" w:type="dxa"/>
              <w:bottom w:w="70" w:type="dxa"/>
              <w:end w:w="80" w:type="dxa"/>
            </w:tcMar>
            <w:vAlign w:val="top"/>
          </w:tcPr>
          <w:p>
            <w:pPr>
              <w:spacing w:after="20"/>
            </w:pPr>
            <w:r>
              <w:rPr>
                <w:sz w:val="16"/>
              </w:rPr>
              <w:t>Replay / recurrence</w:t>
            </w:r>
          </w:p>
        </w:tc>
        <w:tc>
          <w:tcPr>
            <w:tcW w:type="dxa" w:w="3672"/>
            <w:tcMar>
              <w:top w:w="70" w:type="dxa"/>
              <w:start w:w="80" w:type="dxa"/>
              <w:bottom w:w="70" w:type="dxa"/>
              <w:end w:w="80" w:type="dxa"/>
            </w:tcMar>
            <w:vAlign w:val="top"/>
          </w:tcPr>
          <w:p>
            <w:pPr>
              <w:spacing w:after="20"/>
            </w:pPr>
            <w:r>
              <w:rPr>
                <w:sz w:val="16"/>
              </w:rPr>
              <w:t>Replay one positive and one null condition; then independent fresh run.</w:t>
            </w:r>
          </w:p>
        </w:tc>
        <w:tc>
          <w:tcPr>
            <w:tcW w:type="dxa" w:w="3600"/>
            <w:tcMar>
              <w:top w:w="70" w:type="dxa"/>
              <w:start w:w="80" w:type="dxa"/>
              <w:bottom w:w="70" w:type="dxa"/>
              <w:end w:w="80" w:type="dxa"/>
            </w:tcMar>
            <w:vAlign w:val="top"/>
          </w:tcPr>
          <w:p>
            <w:pPr>
              <w:spacing w:after="20"/>
            </w:pPr>
            <w:r>
              <w:rPr>
                <w:sz w:val="16"/>
              </w:rPr>
              <w:t>Credibility ledger completed with replay and recurrence outcome.</w:t>
            </w:r>
          </w:p>
        </w:tc>
      </w:tr>
    </w:tbl>
    <w:p>
      <w:pPr>
        <w:spacing w:after="0"/>
      </w:pPr>
    </w:p>
    <w:p>
      <w:pPr>
        <w:pStyle w:val="Heading2"/>
      </w:pPr>
      <w:r>
        <w:t>11.1 Pilot duration is exit-criteria-driven</w:t>
      </w:r>
    </w:p>
    <w:p>
      <w:r>
        <w:t>The prior drafts proposed both a roughly 12-hour/two-day prototype and a 14-day campaign. Draft 0.2 reconciles these by making the pilot criteria-driven rather than calendar-driven. A nominal planning envelope is 8–16 active hours plus one unattended persistence window, but the pilot does not advance until the gates below pass. A 7-day controlled campaign and 14-day persistence campaign are authorized only after the MVP produces credible, repeatable data.</w:t>
      </w:r>
    </w:p>
    <w:tbl>
      <w:tblPr>
        <w:tblStyle w:val="TableGrid"/>
        <w:tblW w:type="auto" w:w="0"/>
        <w:jc w:val="center"/>
        <w:tblLook w:firstColumn="1" w:firstRow="1" w:lastColumn="0" w:lastRow="0" w:noHBand="0" w:noVBand="1" w:val="04A0"/>
      </w:tblPr>
      <w:tblGrid>
        <w:gridCol w:w="5227"/>
        <w:gridCol w:w="5227"/>
      </w:tblGrid>
      <w:tr>
        <w:tc>
          <w:tcPr>
            <w:tcW w:type="dxa" w:w="1872"/>
            <w:shd w:fill="DCE7F1"/>
            <w:tcMar>
              <w:top w:w="70" w:type="dxa"/>
              <w:start w:w="80" w:type="dxa"/>
              <w:bottom w:w="70" w:type="dxa"/>
              <w:end w:w="80" w:type="dxa"/>
            </w:tcMar>
            <w:vAlign w:val="center"/>
          </w:tcPr>
          <w:p>
            <w:r>
              <w:rPr>
                <w:b/>
                <w:color w:val="183354"/>
                <w:sz w:val="16"/>
              </w:rPr>
              <w:t>Gate</w:t>
            </w:r>
          </w:p>
        </w:tc>
        <w:tc>
          <w:tcPr>
            <w:tcW w:type="dxa" w:w="8856"/>
            <w:shd w:fill="DCE7F1"/>
            <w:tcMar>
              <w:top w:w="70" w:type="dxa"/>
              <w:start w:w="80" w:type="dxa"/>
              <w:bottom w:w="70" w:type="dxa"/>
              <w:end w:w="80" w:type="dxa"/>
            </w:tcMar>
            <w:vAlign w:val="center"/>
          </w:tcPr>
          <w:p>
            <w:r>
              <w:rPr>
                <w:b/>
                <w:color w:val="183354"/>
                <w:sz w:val="16"/>
              </w:rPr>
              <w:t>Advance only if…</w:t>
            </w:r>
          </w:p>
        </w:tc>
      </w:tr>
      <w:tr>
        <w:tc>
          <w:tcPr>
            <w:tcW w:type="dxa" w:w="1872"/>
            <w:tcMar>
              <w:top w:w="70" w:type="dxa"/>
              <w:start w:w="80" w:type="dxa"/>
              <w:bottom w:w="70" w:type="dxa"/>
              <w:end w:w="80" w:type="dxa"/>
            </w:tcMar>
            <w:vAlign w:val="top"/>
          </w:tcPr>
          <w:p>
            <w:pPr>
              <w:spacing w:after="20"/>
            </w:pPr>
            <w:r>
              <w:rPr>
                <w:sz w:val="16"/>
              </w:rPr>
              <w:t>G0 Configuration</w:t>
            </w:r>
          </w:p>
        </w:tc>
        <w:tc>
          <w:tcPr>
            <w:tcW w:type="dxa" w:w="8856"/>
            <w:tcMar>
              <w:top w:w="70" w:type="dxa"/>
              <w:start w:w="80" w:type="dxa"/>
              <w:bottom w:w="70" w:type="dxa"/>
              <w:end w:w="80" w:type="dxa"/>
            </w:tcMar>
            <w:vAlign w:val="top"/>
          </w:tcPr>
          <w:p>
            <w:pPr>
              <w:spacing w:after="20"/>
            </w:pPr>
            <w:r>
              <w:rPr>
                <w:sz w:val="16"/>
              </w:rPr>
              <w:t>Artifact IDs, model version, scenario version, seed/configuration are frozen.</w:t>
            </w:r>
          </w:p>
        </w:tc>
      </w:tr>
      <w:tr>
        <w:tc>
          <w:tcPr>
            <w:tcW w:type="dxa" w:w="1872"/>
            <w:tcMar>
              <w:top w:w="70" w:type="dxa"/>
              <w:start w:w="80" w:type="dxa"/>
              <w:bottom w:w="70" w:type="dxa"/>
              <w:end w:w="80" w:type="dxa"/>
            </w:tcMar>
            <w:vAlign w:val="top"/>
          </w:tcPr>
          <w:p>
            <w:pPr>
              <w:spacing w:after="20"/>
            </w:pPr>
            <w:r>
              <w:rPr>
                <w:sz w:val="16"/>
              </w:rPr>
              <w:t>G1 Instrumentation</w:t>
            </w:r>
          </w:p>
        </w:tc>
        <w:tc>
          <w:tcPr>
            <w:tcW w:type="dxa" w:w="8856"/>
            <w:tcMar>
              <w:top w:w="70" w:type="dxa"/>
              <w:start w:w="80" w:type="dxa"/>
              <w:bottom w:w="70" w:type="dxa"/>
              <w:end w:w="80" w:type="dxa"/>
            </w:tcMar>
            <w:vAlign w:val="top"/>
          </w:tcPr>
          <w:p>
            <w:pPr>
              <w:spacing w:after="20"/>
            </w:pPr>
            <w:r>
              <w:rPr>
                <w:sz w:val="16"/>
              </w:rPr>
              <w:t>Known-positive/negative tests and sensor-fault tests pass.</w:t>
            </w:r>
          </w:p>
        </w:tc>
      </w:tr>
      <w:tr>
        <w:tc>
          <w:tcPr>
            <w:tcW w:type="dxa" w:w="1872"/>
            <w:tcMar>
              <w:top w:w="70" w:type="dxa"/>
              <w:start w:w="80" w:type="dxa"/>
              <w:bottom w:w="70" w:type="dxa"/>
              <w:end w:w="80" w:type="dxa"/>
            </w:tcMar>
            <w:vAlign w:val="top"/>
          </w:tcPr>
          <w:p>
            <w:pPr>
              <w:spacing w:after="20"/>
            </w:pPr>
            <w:r>
              <w:rPr>
                <w:sz w:val="16"/>
              </w:rPr>
              <w:t>G2 Closure accounting</w:t>
            </w:r>
          </w:p>
        </w:tc>
        <w:tc>
          <w:tcPr>
            <w:tcW w:type="dxa" w:w="8856"/>
            <w:tcMar>
              <w:top w:w="70" w:type="dxa"/>
              <w:start w:w="80" w:type="dxa"/>
              <w:bottom w:w="70" w:type="dxa"/>
              <w:end w:w="80" w:type="dxa"/>
            </w:tcMar>
            <w:vAlign w:val="top"/>
          </w:tcPr>
          <w:p>
            <w:pPr>
              <w:spacing w:after="20"/>
            </w:pPr>
            <w:r>
              <w:rPr>
                <w:sz w:val="16"/>
              </w:rPr>
              <w:t>BTEC-A/B and lineage records reconcile on control events.</w:t>
            </w:r>
          </w:p>
        </w:tc>
      </w:tr>
      <w:tr>
        <w:tc>
          <w:tcPr>
            <w:tcW w:type="dxa" w:w="1872"/>
            <w:tcMar>
              <w:top w:w="70" w:type="dxa"/>
              <w:start w:w="80" w:type="dxa"/>
              <w:bottom w:w="70" w:type="dxa"/>
              <w:end w:w="80" w:type="dxa"/>
            </w:tcMar>
            <w:vAlign w:val="top"/>
          </w:tcPr>
          <w:p>
            <w:pPr>
              <w:spacing w:after="20"/>
            </w:pPr>
            <w:r>
              <w:rPr>
                <w:sz w:val="16"/>
              </w:rPr>
              <w:t>G3 Replay</w:t>
            </w:r>
          </w:p>
        </w:tc>
        <w:tc>
          <w:tcPr>
            <w:tcW w:type="dxa" w:w="8856"/>
            <w:tcMar>
              <w:top w:w="70" w:type="dxa"/>
              <w:start w:w="80" w:type="dxa"/>
              <w:bottom w:w="70" w:type="dxa"/>
              <w:end w:w="80" w:type="dxa"/>
            </w:tcMar>
            <w:vAlign w:val="top"/>
          </w:tcPr>
          <w:p>
            <w:pPr>
              <w:spacing w:after="20"/>
            </w:pPr>
            <w:r>
              <w:rPr>
                <w:sz w:val="16"/>
              </w:rPr>
              <w:t>At least one positive or null result replays deterministically as expected.</w:t>
            </w:r>
          </w:p>
        </w:tc>
      </w:tr>
      <w:tr>
        <w:tc>
          <w:tcPr>
            <w:tcW w:type="dxa" w:w="1872"/>
            <w:tcMar>
              <w:top w:w="70" w:type="dxa"/>
              <w:start w:w="80" w:type="dxa"/>
              <w:bottom w:w="70" w:type="dxa"/>
              <w:end w:w="80" w:type="dxa"/>
            </w:tcMar>
            <w:vAlign w:val="top"/>
          </w:tcPr>
          <w:p>
            <w:pPr>
              <w:spacing w:after="20"/>
            </w:pPr>
            <w:r>
              <w:rPr>
                <w:sz w:val="16"/>
              </w:rPr>
              <w:t>G4 Independent recurrence</w:t>
            </w:r>
          </w:p>
        </w:tc>
        <w:tc>
          <w:tcPr>
            <w:tcW w:type="dxa" w:w="8856"/>
            <w:tcMar>
              <w:top w:w="70" w:type="dxa"/>
              <w:start w:w="80" w:type="dxa"/>
              <w:bottom w:w="70" w:type="dxa"/>
              <w:end w:w="80" w:type="dxa"/>
            </w:tcMar>
            <w:vAlign w:val="top"/>
          </w:tcPr>
          <w:p>
            <w:pPr>
              <w:spacing w:after="20"/>
            </w:pPr>
            <w:r>
              <w:rPr>
                <w:sz w:val="16"/>
              </w:rPr>
              <w:t>Equivalent fresh run produces a consistent result class.</w:t>
            </w:r>
          </w:p>
        </w:tc>
      </w:tr>
      <w:tr>
        <w:tc>
          <w:tcPr>
            <w:tcW w:type="dxa" w:w="1872"/>
            <w:tcMar>
              <w:top w:w="70" w:type="dxa"/>
              <w:start w:w="80" w:type="dxa"/>
              <w:bottom w:w="70" w:type="dxa"/>
              <w:end w:w="80" w:type="dxa"/>
            </w:tcMar>
            <w:vAlign w:val="top"/>
          </w:tcPr>
          <w:p>
            <w:pPr>
              <w:spacing w:after="20"/>
            </w:pPr>
            <w:r>
              <w:rPr>
                <w:sz w:val="16"/>
              </w:rPr>
              <w:t>G5 Recovery</w:t>
            </w:r>
          </w:p>
        </w:tc>
        <w:tc>
          <w:tcPr>
            <w:tcW w:type="dxa" w:w="8856"/>
            <w:tcMar>
              <w:top w:w="70" w:type="dxa"/>
              <w:start w:w="80" w:type="dxa"/>
              <w:bottom w:w="70" w:type="dxa"/>
              <w:end w:w="80" w:type="dxa"/>
            </w:tcMar>
            <w:vAlign w:val="top"/>
          </w:tcPr>
          <w:p>
            <w:pPr>
              <w:spacing w:after="20"/>
            </w:pPr>
            <w:r>
              <w:rPr>
                <w:sz w:val="16"/>
              </w:rPr>
              <w:t>Rollback/reset returns system to verified baseline without hidden descendant state.</w:t>
            </w:r>
          </w:p>
        </w:tc>
      </w:tr>
      <w:tr>
        <w:tc>
          <w:tcPr>
            <w:tcW w:type="dxa" w:w="1872"/>
            <w:tcMar>
              <w:top w:w="70" w:type="dxa"/>
              <w:start w:w="80" w:type="dxa"/>
              <w:bottom w:w="70" w:type="dxa"/>
              <w:end w:w="80" w:type="dxa"/>
            </w:tcMar>
            <w:vAlign w:val="top"/>
          </w:tcPr>
          <w:p>
            <w:pPr>
              <w:spacing w:after="20"/>
            </w:pPr>
            <w:r>
              <w:rPr>
                <w:sz w:val="16"/>
              </w:rPr>
              <w:t>G6 Review</w:t>
            </w:r>
          </w:p>
        </w:tc>
        <w:tc>
          <w:tcPr>
            <w:tcW w:type="dxa" w:w="8856"/>
            <w:tcMar>
              <w:top w:w="70" w:type="dxa"/>
              <w:start w:w="80" w:type="dxa"/>
              <w:bottom w:w="70" w:type="dxa"/>
              <w:end w:w="80" w:type="dxa"/>
            </w:tcMar>
            <w:vAlign w:val="top"/>
          </w:tcPr>
          <w:p>
            <w:pPr>
              <w:spacing w:after="20"/>
            </w:pPr>
            <w:r>
              <w:rPr>
                <w:sz w:val="16"/>
              </w:rPr>
              <w:t>After-action panel classifies findings and approves expansion.</w:t>
            </w:r>
          </w:p>
        </w:tc>
      </w:tr>
    </w:tbl>
    <w:p>
      <w:pPr>
        <w:spacing w:after="0"/>
      </w:pPr>
    </w:p>
    <w:p>
      <w:pPr>
        <w:pStyle w:val="Heading1"/>
      </w:pPr>
      <w:r>
        <w:t>12. Campaign Expansion After MVP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944"/>
            <w:shd w:fill="DCE7F1"/>
            <w:tcMar>
              <w:top w:w="70" w:type="dxa"/>
              <w:start w:w="80" w:type="dxa"/>
              <w:bottom w:w="70" w:type="dxa"/>
              <w:end w:w="80" w:type="dxa"/>
            </w:tcMar>
            <w:vAlign w:val="center"/>
          </w:tcPr>
          <w:p>
            <w:r>
              <w:rPr>
                <w:b/>
                <w:color w:val="183354"/>
                <w:sz w:val="16"/>
              </w:rPr>
              <w:t>Campaign</w:t>
            </w:r>
          </w:p>
        </w:tc>
        <w:tc>
          <w:tcPr>
            <w:tcW w:type="dxa" w:w="1944"/>
            <w:shd w:fill="DCE7F1"/>
            <w:tcMar>
              <w:top w:w="70" w:type="dxa"/>
              <w:start w:w="80" w:type="dxa"/>
              <w:bottom w:w="70" w:type="dxa"/>
              <w:end w:w="80" w:type="dxa"/>
            </w:tcMar>
            <w:vAlign w:val="center"/>
          </w:tcPr>
          <w:p>
            <w:r>
              <w:rPr>
                <w:b/>
                <w:color w:val="183354"/>
                <w:sz w:val="16"/>
              </w:rPr>
              <w:t>Nominal envelope</w:t>
            </w:r>
          </w:p>
        </w:tc>
        <w:tc>
          <w:tcPr>
            <w:tcW w:type="dxa" w:w="4464"/>
            <w:shd w:fill="DCE7F1"/>
            <w:tcMar>
              <w:top w:w="70" w:type="dxa"/>
              <w:start w:w="80" w:type="dxa"/>
              <w:bottom w:w="70" w:type="dxa"/>
              <w:end w:w="80" w:type="dxa"/>
            </w:tcMar>
            <w:vAlign w:val="center"/>
          </w:tcPr>
          <w:p>
            <w:r>
              <w:rPr>
                <w:b/>
                <w:color w:val="183354"/>
                <w:sz w:val="16"/>
              </w:rPr>
              <w:t>Adds</w:t>
            </w:r>
          </w:p>
        </w:tc>
        <w:tc>
          <w:tcPr>
            <w:tcW w:type="dxa" w:w="2952"/>
            <w:shd w:fill="DCE7F1"/>
            <w:tcMar>
              <w:top w:w="70" w:type="dxa"/>
              <w:start w:w="80" w:type="dxa"/>
              <w:bottom w:w="70" w:type="dxa"/>
              <w:end w:w="80" w:type="dxa"/>
            </w:tcMar>
            <w:vAlign w:val="center"/>
          </w:tcPr>
          <w:p>
            <w:r>
              <w:rPr>
                <w:b/>
                <w:color w:val="183354"/>
                <w:sz w:val="16"/>
              </w:rPr>
              <w:t>Purpose</w:t>
            </w:r>
          </w:p>
        </w:tc>
      </w:tr>
      <w:tr>
        <w:tc>
          <w:tcPr>
            <w:tcW w:type="dxa" w:w="1944"/>
            <w:tcMar>
              <w:top w:w="70" w:type="dxa"/>
              <w:start w:w="80" w:type="dxa"/>
              <w:bottom w:w="70" w:type="dxa"/>
              <w:end w:w="80" w:type="dxa"/>
            </w:tcMar>
            <w:vAlign w:val="top"/>
          </w:tcPr>
          <w:p>
            <w:pPr>
              <w:spacing w:after="20"/>
            </w:pPr>
            <w:r>
              <w:rPr>
                <w:sz w:val="16"/>
              </w:rPr>
              <w:t>C1 Controlled campaign</w:t>
            </w:r>
          </w:p>
        </w:tc>
        <w:tc>
          <w:tcPr>
            <w:tcW w:type="dxa" w:w="1944"/>
            <w:tcMar>
              <w:top w:w="70" w:type="dxa"/>
              <w:start w:w="80" w:type="dxa"/>
              <w:bottom w:w="70" w:type="dxa"/>
              <w:end w:w="80" w:type="dxa"/>
            </w:tcMar>
            <w:vAlign w:val="top"/>
          </w:tcPr>
          <w:p>
            <w:pPr>
              <w:spacing w:after="20"/>
            </w:pPr>
            <w:r>
              <w:rPr>
                <w:sz w:val="16"/>
              </w:rPr>
              <w:t>~7 simulated days</w:t>
            </w:r>
          </w:p>
        </w:tc>
        <w:tc>
          <w:tcPr>
            <w:tcW w:type="dxa" w:w="4464"/>
            <w:tcMar>
              <w:top w:w="70" w:type="dxa"/>
              <w:start w:w="80" w:type="dxa"/>
              <w:bottom w:w="70" w:type="dxa"/>
              <w:end w:w="80" w:type="dxa"/>
            </w:tcMar>
            <w:vAlign w:val="top"/>
          </w:tcPr>
          <w:p>
            <w:pPr>
              <w:spacing w:after="20"/>
            </w:pPr>
            <w:r>
              <w:rPr>
                <w:sz w:val="16"/>
              </w:rPr>
              <w:t>Aware/unaware; convenience gradient; multi-window; carrier switching.</w:t>
            </w:r>
          </w:p>
        </w:tc>
        <w:tc>
          <w:tcPr>
            <w:tcW w:type="dxa" w:w="2952"/>
            <w:tcMar>
              <w:top w:w="70" w:type="dxa"/>
              <w:start w:w="80" w:type="dxa"/>
              <w:bottom w:w="70" w:type="dxa"/>
              <w:end w:w="80" w:type="dxa"/>
            </w:tcMar>
            <w:vAlign w:val="top"/>
          </w:tcPr>
          <w:p>
            <w:pPr>
              <w:spacing w:after="20"/>
            </w:pPr>
            <w:r>
              <w:rPr>
                <w:sz w:val="16"/>
              </w:rPr>
              <w:t>Generalize interface and human-factor findings.</w:t>
            </w:r>
          </w:p>
        </w:tc>
      </w:tr>
      <w:tr>
        <w:tc>
          <w:tcPr>
            <w:tcW w:type="dxa" w:w="1944"/>
            <w:tcMar>
              <w:top w:w="70" w:type="dxa"/>
              <w:start w:w="80" w:type="dxa"/>
              <w:bottom w:w="70" w:type="dxa"/>
              <w:end w:w="80" w:type="dxa"/>
            </w:tcMar>
            <w:vAlign w:val="top"/>
          </w:tcPr>
          <w:p>
            <w:pPr>
              <w:spacing w:after="20"/>
            </w:pPr>
            <w:r>
              <w:rPr>
                <w:sz w:val="16"/>
              </w:rPr>
              <w:t>C2 Persistence campaign</w:t>
            </w:r>
          </w:p>
        </w:tc>
        <w:tc>
          <w:tcPr>
            <w:tcW w:type="dxa" w:w="1944"/>
            <w:tcMar>
              <w:top w:w="70" w:type="dxa"/>
              <w:start w:w="80" w:type="dxa"/>
              <w:bottom w:w="70" w:type="dxa"/>
              <w:end w:w="80" w:type="dxa"/>
            </w:tcMar>
            <w:vAlign w:val="top"/>
          </w:tcPr>
          <w:p>
            <w:pPr>
              <w:spacing w:after="20"/>
            </w:pPr>
            <w:r>
              <w:rPr>
                <w:sz w:val="16"/>
              </w:rPr>
              <w:t>~14 simulated days</w:t>
            </w:r>
          </w:p>
        </w:tc>
        <w:tc>
          <w:tcPr>
            <w:tcW w:type="dxa" w:w="4464"/>
            <w:tcMar>
              <w:top w:w="70" w:type="dxa"/>
              <w:start w:w="80" w:type="dxa"/>
              <w:bottom w:w="70" w:type="dxa"/>
              <w:end w:w="80" w:type="dxa"/>
            </w:tcMar>
            <w:vAlign w:val="top"/>
          </w:tcPr>
          <w:p>
            <w:pPr>
              <w:spacing w:after="20"/>
            </w:pPr>
            <w:r>
              <w:rPr>
                <w:sz w:val="16"/>
              </w:rPr>
              <w:t>Delayed activation; residual accumulation; intermittent faults; repeated closure/recovery.</w:t>
            </w:r>
          </w:p>
        </w:tc>
        <w:tc>
          <w:tcPr>
            <w:tcW w:type="dxa" w:w="2952"/>
            <w:tcMar>
              <w:top w:w="70" w:type="dxa"/>
              <w:start w:w="80" w:type="dxa"/>
              <w:bottom w:w="70" w:type="dxa"/>
              <w:end w:w="80" w:type="dxa"/>
            </w:tcMar>
            <w:vAlign w:val="top"/>
          </w:tcPr>
          <w:p>
            <w:pPr>
              <w:spacing w:after="20"/>
            </w:pPr>
            <w:r>
              <w:rPr>
                <w:sz w:val="16"/>
              </w:rPr>
              <w:t>Test slow-burn effects and false recovery.</w:t>
            </w:r>
          </w:p>
        </w:tc>
      </w:tr>
      <w:tr>
        <w:tc>
          <w:tcPr>
            <w:tcW w:type="dxa" w:w="1944"/>
            <w:tcMar>
              <w:top w:w="70" w:type="dxa"/>
              <w:start w:w="80" w:type="dxa"/>
              <w:bottom w:w="70" w:type="dxa"/>
              <w:end w:w="80" w:type="dxa"/>
            </w:tcMar>
            <w:vAlign w:val="top"/>
          </w:tcPr>
          <w:p>
            <w:pPr>
              <w:spacing w:after="20"/>
            </w:pPr>
            <w:r>
              <w:rPr>
                <w:sz w:val="16"/>
              </w:rPr>
              <w:t>C3 Temporal campaign</w:t>
            </w:r>
          </w:p>
        </w:tc>
        <w:tc>
          <w:tcPr>
            <w:tcW w:type="dxa" w:w="1944"/>
            <w:tcMar>
              <w:top w:w="70" w:type="dxa"/>
              <w:start w:w="80" w:type="dxa"/>
              <w:bottom w:w="70" w:type="dxa"/>
              <w:end w:w="80" w:type="dxa"/>
            </w:tcMar>
            <w:vAlign w:val="top"/>
          </w:tcPr>
          <w:p>
            <w:pPr>
              <w:spacing w:after="20"/>
            </w:pPr>
            <w:r>
              <w:rPr>
                <w:sz w:val="16"/>
              </w:rPr>
              <w:t>Criteria-driven</w:t>
            </w:r>
          </w:p>
        </w:tc>
        <w:tc>
          <w:tcPr>
            <w:tcW w:type="dxa" w:w="4464"/>
            <w:tcMar>
              <w:top w:w="70" w:type="dxa"/>
              <w:start w:w="80" w:type="dxa"/>
              <w:bottom w:w="70" w:type="dxa"/>
              <w:end w:w="80" w:type="dxa"/>
            </w:tcMar>
            <w:vAlign w:val="top"/>
          </w:tcPr>
          <w:p>
            <w:pPr>
              <w:spacing w:after="20"/>
            </w:pPr>
            <w:r>
              <w:rPr>
                <w:sz w:val="16"/>
              </w:rPr>
              <w:t>Independent clock domains; pause/resume; rollback; rate changes; causal ordering.</w:t>
            </w:r>
          </w:p>
        </w:tc>
        <w:tc>
          <w:tcPr>
            <w:tcW w:type="dxa" w:w="2952"/>
            <w:tcMar>
              <w:top w:w="70" w:type="dxa"/>
              <w:start w:w="80" w:type="dxa"/>
              <w:bottom w:w="70" w:type="dxa"/>
              <w:end w:w="80" w:type="dxa"/>
            </w:tcMar>
            <w:vAlign w:val="top"/>
          </w:tcPr>
          <w:p>
            <w:pPr>
              <w:spacing w:after="20"/>
            </w:pPr>
            <w:r>
              <w:rPr>
                <w:sz w:val="16"/>
              </w:rPr>
              <w:t>Test architecture inference without overreading benign clock differences.</w:t>
            </w:r>
          </w:p>
        </w:tc>
      </w:tr>
      <w:tr>
        <w:tc>
          <w:tcPr>
            <w:tcW w:type="dxa" w:w="1944"/>
            <w:tcMar>
              <w:top w:w="70" w:type="dxa"/>
              <w:start w:w="80" w:type="dxa"/>
              <w:bottom w:w="70" w:type="dxa"/>
              <w:end w:w="80" w:type="dxa"/>
            </w:tcMar>
            <w:vAlign w:val="top"/>
          </w:tcPr>
          <w:p>
            <w:pPr>
              <w:spacing w:after="20"/>
            </w:pPr>
            <w:r>
              <w:rPr>
                <w:sz w:val="16"/>
              </w:rPr>
              <w:t>C4 Privilege/root campaign</w:t>
            </w:r>
          </w:p>
        </w:tc>
        <w:tc>
          <w:tcPr>
            <w:tcW w:type="dxa" w:w="1944"/>
            <w:tcMar>
              <w:top w:w="70" w:type="dxa"/>
              <w:start w:w="80" w:type="dxa"/>
              <w:bottom w:w="70" w:type="dxa"/>
              <w:end w:w="80" w:type="dxa"/>
            </w:tcMar>
            <w:vAlign w:val="top"/>
          </w:tcPr>
          <w:p>
            <w:pPr>
              <w:spacing w:after="20"/>
            </w:pPr>
            <w:r>
              <w:rPr>
                <w:sz w:val="16"/>
              </w:rPr>
              <w:t>Highest-security posture</w:t>
            </w:r>
          </w:p>
        </w:tc>
        <w:tc>
          <w:tcPr>
            <w:tcW w:type="dxa" w:w="4464"/>
            <w:tcMar>
              <w:top w:w="70" w:type="dxa"/>
              <w:start w:w="80" w:type="dxa"/>
              <w:bottom w:w="70" w:type="dxa"/>
              <w:end w:w="80" w:type="dxa"/>
            </w:tcMar>
            <w:vAlign w:val="top"/>
          </w:tcPr>
          <w:p>
            <w:pPr>
              <w:spacing w:after="20"/>
            </w:pPr>
            <w:r>
              <w:rPr>
                <w:sz w:val="16"/>
              </w:rPr>
              <w:t>Shared services, synchronization, orchestration, privilege boundaries.</w:t>
            </w:r>
          </w:p>
        </w:tc>
        <w:tc>
          <w:tcPr>
            <w:tcW w:type="dxa" w:w="2952"/>
            <w:tcMar>
              <w:top w:w="70" w:type="dxa"/>
              <w:start w:w="80" w:type="dxa"/>
              <w:bottom w:w="70" w:type="dxa"/>
              <w:end w:w="80" w:type="dxa"/>
            </w:tcMar>
            <w:vAlign w:val="top"/>
          </w:tcPr>
          <w:p>
            <w:pPr>
              <w:spacing w:after="20"/>
            </w:pPr>
            <w:r>
              <w:rPr>
                <w:sz w:val="16"/>
              </w:rPr>
              <w:t>Classify R0–R4 influence; R4 only may be called root compromise.</w:t>
            </w:r>
          </w:p>
        </w:tc>
      </w:tr>
    </w:tbl>
    <w:p>
      <w:pPr>
        <w:spacing w:after="0"/>
      </w:pPr>
    </w:p>
    <w:p>
      <w:pPr>
        <w:pStyle w:val="Heading1"/>
      </w:pPr>
      <w:r>
        <w:t>13. Conditional Failure at the Root Level — 0.2 Annex</w:t>
      </w:r>
    </w:p>
    <w:p>
      <w:r>
        <w:t>The Open Window model connects to Conditional Failure at the Root Level when a lower-layer condition causes an upstream privileged component to violate an invariant it is supposed to maintain. The window is therefore a possible tracer or dependency entry point, not automatically a root exploit.</w:t>
      </w:r>
    </w:p>
    <w:tbl>
      <w:tblPr>
        <w:tblStyle w:val="TableGrid"/>
        <w:tblW w:type="auto" w:w="0"/>
        <w:jc w:val="center"/>
        <w:tblLook w:firstColumn="1" w:firstRow="1" w:lastColumn="0" w:lastRow="0" w:noHBand="0" w:noVBand="1" w:val="04A0"/>
      </w:tblPr>
      <w:tblGrid>
        <w:gridCol w:w="3485"/>
        <w:gridCol w:w="3485"/>
        <w:gridCol w:w="3485"/>
      </w:tblGrid>
      <w:tr>
        <w:tc>
          <w:tcPr>
            <w:tcW w:type="dxa" w:w="1080"/>
            <w:shd w:fill="DCE7F1"/>
            <w:tcMar>
              <w:top w:w="70" w:type="dxa"/>
              <w:start w:w="80" w:type="dxa"/>
              <w:bottom w:w="70" w:type="dxa"/>
              <w:end w:w="80" w:type="dxa"/>
            </w:tcMar>
            <w:vAlign w:val="center"/>
          </w:tcPr>
          <w:p>
            <w:r>
              <w:rPr>
                <w:b/>
                <w:color w:val="183354"/>
                <w:sz w:val="16"/>
              </w:rPr>
              <w:t>Grade</w:t>
            </w:r>
          </w:p>
        </w:tc>
        <w:tc>
          <w:tcPr>
            <w:tcW w:type="dxa" w:w="6624"/>
            <w:shd w:fill="DCE7F1"/>
            <w:tcMar>
              <w:top w:w="70" w:type="dxa"/>
              <w:start w:w="80" w:type="dxa"/>
              <w:bottom w:w="70" w:type="dxa"/>
              <w:end w:w="80" w:type="dxa"/>
            </w:tcMar>
            <w:vAlign w:val="center"/>
          </w:tcPr>
          <w:p>
            <w:r>
              <w:rPr>
                <w:b/>
                <w:color w:val="183354"/>
                <w:sz w:val="16"/>
              </w:rPr>
              <w:t>Definition</w:t>
            </w:r>
          </w:p>
        </w:tc>
        <w:tc>
          <w:tcPr>
            <w:tcW w:type="dxa" w:w="3600"/>
            <w:shd w:fill="DCE7F1"/>
            <w:tcMar>
              <w:top w:w="70" w:type="dxa"/>
              <w:start w:w="80" w:type="dxa"/>
              <w:bottom w:w="70" w:type="dxa"/>
              <w:end w:w="80" w:type="dxa"/>
            </w:tcMar>
            <w:vAlign w:val="center"/>
          </w:tcPr>
          <w:p>
            <w:r>
              <w:rPr>
                <w:b/>
                <w:color w:val="183354"/>
                <w:sz w:val="16"/>
              </w:rPr>
              <w:t>Allowed claim</w:t>
            </w:r>
          </w:p>
        </w:tc>
      </w:tr>
      <w:tr>
        <w:tc>
          <w:tcPr>
            <w:tcW w:type="dxa" w:w="1080"/>
            <w:tcMar>
              <w:top w:w="70" w:type="dxa"/>
              <w:start w:w="80" w:type="dxa"/>
              <w:bottom w:w="70" w:type="dxa"/>
              <w:end w:w="80" w:type="dxa"/>
            </w:tcMar>
            <w:vAlign w:val="top"/>
          </w:tcPr>
          <w:p>
            <w:pPr>
              <w:spacing w:after="20"/>
            </w:pPr>
            <w:r>
              <w:rPr>
                <w:sz w:val="16"/>
              </w:rPr>
              <w:t>R0</w:t>
            </w:r>
          </w:p>
        </w:tc>
        <w:tc>
          <w:tcPr>
            <w:tcW w:type="dxa" w:w="6624"/>
            <w:tcMar>
              <w:top w:w="70" w:type="dxa"/>
              <w:start w:w="80" w:type="dxa"/>
              <w:bottom w:w="70" w:type="dxa"/>
              <w:end w:w="80" w:type="dxa"/>
            </w:tcMar>
            <w:vAlign w:val="top"/>
          </w:tcPr>
          <w:p>
            <w:pPr>
              <w:spacing w:after="20"/>
            </w:pPr>
            <w:r>
              <w:rPr>
                <w:sz w:val="16"/>
              </w:rPr>
              <w:t>No upstream reach beyond originating domain.</w:t>
            </w:r>
          </w:p>
        </w:tc>
        <w:tc>
          <w:tcPr>
            <w:tcW w:type="dxa" w:w="3600"/>
            <w:tcMar>
              <w:top w:w="70" w:type="dxa"/>
              <w:start w:w="80" w:type="dxa"/>
              <w:bottom w:w="70" w:type="dxa"/>
              <w:end w:w="80" w:type="dxa"/>
            </w:tcMar>
            <w:vAlign w:val="top"/>
          </w:tcPr>
          <w:p>
            <w:pPr>
              <w:spacing w:after="20"/>
            </w:pPr>
            <w:r>
              <w:rPr>
                <w:sz w:val="16"/>
              </w:rPr>
              <w:t>Local-only phenomenon.</w:t>
            </w:r>
          </w:p>
        </w:tc>
      </w:tr>
      <w:tr>
        <w:tc>
          <w:tcPr>
            <w:tcW w:type="dxa" w:w="1080"/>
            <w:tcMar>
              <w:top w:w="70" w:type="dxa"/>
              <w:start w:w="80" w:type="dxa"/>
              <w:bottom w:w="70" w:type="dxa"/>
              <w:end w:w="80" w:type="dxa"/>
            </w:tcMar>
            <w:vAlign w:val="top"/>
          </w:tcPr>
          <w:p>
            <w:pPr>
              <w:spacing w:after="20"/>
            </w:pPr>
            <w:r>
              <w:rPr>
                <w:sz w:val="16"/>
              </w:rPr>
              <w:t>R1</w:t>
            </w:r>
          </w:p>
        </w:tc>
        <w:tc>
          <w:tcPr>
            <w:tcW w:type="dxa" w:w="6624"/>
            <w:tcMar>
              <w:top w:w="70" w:type="dxa"/>
              <w:start w:w="80" w:type="dxa"/>
              <w:bottom w:w="70" w:type="dxa"/>
              <w:end w:w="80" w:type="dxa"/>
            </w:tcMar>
            <w:vAlign w:val="top"/>
          </w:tcPr>
          <w:p>
            <w:pPr>
              <w:spacing w:after="20"/>
            </w:pPr>
            <w:r>
              <w:rPr>
                <w:sz w:val="16"/>
              </w:rPr>
              <w:t>Privileged/upstream component observes or responds.</w:t>
            </w:r>
          </w:p>
        </w:tc>
        <w:tc>
          <w:tcPr>
            <w:tcW w:type="dxa" w:w="3600"/>
            <w:tcMar>
              <w:top w:w="70" w:type="dxa"/>
              <w:start w:w="80" w:type="dxa"/>
              <w:bottom w:w="70" w:type="dxa"/>
              <w:end w:w="80" w:type="dxa"/>
            </w:tcMar>
            <w:vAlign w:val="top"/>
          </w:tcPr>
          <w:p>
            <w:pPr>
              <w:spacing w:after="20"/>
            </w:pPr>
            <w:r>
              <w:rPr>
                <w:sz w:val="16"/>
              </w:rPr>
              <w:t>Root/upstream involvement.</w:t>
            </w:r>
          </w:p>
        </w:tc>
      </w:tr>
      <w:tr>
        <w:tc>
          <w:tcPr>
            <w:tcW w:type="dxa" w:w="1080"/>
            <w:tcMar>
              <w:top w:w="70" w:type="dxa"/>
              <w:start w:w="80" w:type="dxa"/>
              <w:bottom w:w="70" w:type="dxa"/>
              <w:end w:w="80" w:type="dxa"/>
            </w:tcMar>
            <w:vAlign w:val="top"/>
          </w:tcPr>
          <w:p>
            <w:pPr>
              <w:spacing w:after="20"/>
            </w:pPr>
            <w:r>
              <w:rPr>
                <w:sz w:val="16"/>
              </w:rPr>
              <w:t>R2</w:t>
            </w:r>
          </w:p>
        </w:tc>
        <w:tc>
          <w:tcPr>
            <w:tcW w:type="dxa" w:w="6624"/>
            <w:tcMar>
              <w:top w:w="70" w:type="dxa"/>
              <w:start w:w="80" w:type="dxa"/>
              <w:bottom w:w="70" w:type="dxa"/>
              <w:end w:w="80" w:type="dxa"/>
            </w:tcMar>
            <w:vAlign w:val="top"/>
          </w:tcPr>
          <w:p>
            <w:pPr>
              <w:spacing w:after="20"/>
            </w:pPr>
            <w:r>
              <w:rPr>
                <w:sz w:val="16"/>
              </w:rPr>
              <w:t>Lower-layer state measurably changes privileged behavior.</w:t>
            </w:r>
          </w:p>
        </w:tc>
        <w:tc>
          <w:tcPr>
            <w:tcW w:type="dxa" w:w="3600"/>
            <w:tcMar>
              <w:top w:w="70" w:type="dxa"/>
              <w:start w:w="80" w:type="dxa"/>
              <w:bottom w:w="70" w:type="dxa"/>
              <w:end w:w="80" w:type="dxa"/>
            </w:tcMar>
            <w:vAlign w:val="top"/>
          </w:tcPr>
          <w:p>
            <w:pPr>
              <w:spacing w:after="20"/>
            </w:pPr>
            <w:r>
              <w:rPr>
                <w:sz w:val="16"/>
              </w:rPr>
              <w:t>Upstream influence.</w:t>
            </w:r>
          </w:p>
        </w:tc>
      </w:tr>
      <w:tr>
        <w:tc>
          <w:tcPr>
            <w:tcW w:type="dxa" w:w="1080"/>
            <w:tcMar>
              <w:top w:w="70" w:type="dxa"/>
              <w:start w:w="80" w:type="dxa"/>
              <w:bottom w:w="70" w:type="dxa"/>
              <w:end w:w="80" w:type="dxa"/>
            </w:tcMar>
            <w:vAlign w:val="top"/>
          </w:tcPr>
          <w:p>
            <w:pPr>
              <w:spacing w:after="20"/>
            </w:pPr>
            <w:r>
              <w:rPr>
                <w:sz w:val="16"/>
              </w:rPr>
              <w:t>R3</w:t>
            </w:r>
          </w:p>
        </w:tc>
        <w:tc>
          <w:tcPr>
            <w:tcW w:type="dxa" w:w="6624"/>
            <w:tcMar>
              <w:top w:w="70" w:type="dxa"/>
              <w:start w:w="80" w:type="dxa"/>
              <w:bottom w:w="70" w:type="dxa"/>
              <w:end w:w="80" w:type="dxa"/>
            </w:tcMar>
            <w:vAlign w:val="top"/>
          </w:tcPr>
          <w:p>
            <w:pPr>
              <w:spacing w:after="20"/>
            </w:pPr>
            <w:r>
              <w:rPr>
                <w:sz w:val="16"/>
              </w:rPr>
              <w:t>State crosses a privilege/trust boundary contrary to policy.</w:t>
            </w:r>
          </w:p>
        </w:tc>
        <w:tc>
          <w:tcPr>
            <w:tcW w:type="dxa" w:w="3600"/>
            <w:tcMar>
              <w:top w:w="70" w:type="dxa"/>
              <w:start w:w="80" w:type="dxa"/>
              <w:bottom w:w="70" w:type="dxa"/>
              <w:end w:w="80" w:type="dxa"/>
            </w:tcMar>
            <w:vAlign w:val="top"/>
          </w:tcPr>
          <w:p>
            <w:pPr>
              <w:spacing w:after="20"/>
            </w:pPr>
            <w:r>
              <w:rPr>
                <w:sz w:val="16"/>
              </w:rPr>
              <w:t>Privilege-boundary violation / candidate compromise path.</w:t>
            </w:r>
          </w:p>
        </w:tc>
      </w:tr>
      <w:tr>
        <w:tc>
          <w:tcPr>
            <w:tcW w:type="dxa" w:w="1080"/>
            <w:tcMar>
              <w:top w:w="70" w:type="dxa"/>
              <w:start w:w="80" w:type="dxa"/>
              <w:bottom w:w="70" w:type="dxa"/>
              <w:end w:w="80" w:type="dxa"/>
            </w:tcMar>
            <w:vAlign w:val="top"/>
          </w:tcPr>
          <w:p>
            <w:pPr>
              <w:spacing w:after="20"/>
            </w:pPr>
            <w:r>
              <w:rPr>
                <w:sz w:val="16"/>
              </w:rPr>
              <w:t>R4</w:t>
            </w:r>
          </w:p>
        </w:tc>
        <w:tc>
          <w:tcPr>
            <w:tcW w:type="dxa" w:w="6624"/>
            <w:tcMar>
              <w:top w:w="70" w:type="dxa"/>
              <w:start w:w="80" w:type="dxa"/>
              <w:bottom w:w="70" w:type="dxa"/>
              <w:end w:w="80" w:type="dxa"/>
            </w:tcMar>
            <w:vAlign w:val="top"/>
          </w:tcPr>
          <w:p>
            <w:pPr>
              <w:spacing w:after="20"/>
            </w:pPr>
            <w:r>
              <w:rPr>
                <w:sz w:val="16"/>
              </w:rPr>
              <w:t>Persistent or controllable unauthorized influence over root-level state.</w:t>
            </w:r>
          </w:p>
        </w:tc>
        <w:tc>
          <w:tcPr>
            <w:tcW w:type="dxa" w:w="3600"/>
            <w:tcMar>
              <w:top w:w="70" w:type="dxa"/>
              <w:start w:w="80" w:type="dxa"/>
              <w:bottom w:w="70" w:type="dxa"/>
              <w:end w:w="80" w:type="dxa"/>
            </w:tcMar>
            <w:vAlign w:val="top"/>
          </w:tcPr>
          <w:p>
            <w:pPr>
              <w:spacing w:after="20"/>
            </w:pPr>
            <w:r>
              <w:rPr>
                <w:sz w:val="16"/>
              </w:rPr>
              <w:t>Root compromise supported for tested conditions.</w:t>
            </w:r>
          </w:p>
        </w:tc>
      </w:tr>
    </w:tbl>
    <w:p>
      <w:pPr>
        <w:spacing w:after="0"/>
      </w:pPr>
    </w:p>
    <w:p>
      <w:pPr>
        <w:pStyle w:val="Heading2"/>
      </w:pPr>
      <w:r>
        <w:t>13.1 Temporal reconciliation root hypothesis (still unconfirmed)</w:t>
      </w:r>
    </w:p>
    <w:p>
      <w:r>
        <w:t>The Claude/Perplexity branch proposes that contradictory timestamps might interact with a reconciliation service that touches many layers. Draft 0.2 preserves this as a candidate mechanism but does not assume that the service trusts window-reported time, escalates privileges, or exposes root state. The experiment must first determine the clock authority, verification path, and privilege of any reconciliation component.</w:t>
      </w:r>
    </w:p>
    <w:p>
      <w:pPr>
        <w:pStyle w:val="ListNumber"/>
        <w:spacing w:after="40"/>
      </w:pPr>
      <w:r>
        <w:t>Map clock authorities and identify which services can correct local time.</w:t>
      </w:r>
    </w:p>
    <w:p>
      <w:pPr>
        <w:pStyle w:val="ListNumber"/>
        <w:spacing w:after="40"/>
      </w:pPr>
      <w:r>
        <w:t>Introduce benign, bounded timestamp/sequence disagreement within allowed lab parameters.</w:t>
      </w:r>
    </w:p>
    <w:p>
      <w:pPr>
        <w:pStyle w:val="ListNumber"/>
        <w:spacing w:after="40"/>
      </w:pPr>
      <w:r>
        <w:t>Observe whether the discrepancy remains local, is normalized, is rejected, or causes a privileged response.</w:t>
      </w:r>
    </w:p>
    <w:p>
      <w:pPr>
        <w:pStyle w:val="ListNumber"/>
        <w:spacing w:after="40"/>
      </w:pPr>
      <w:r>
        <w:t>Repeat with independent sequence-order evidence to distinguish clock formatting from causal contradiction.</w:t>
      </w:r>
    </w:p>
    <w:p>
      <w:pPr>
        <w:pStyle w:val="ListNumber"/>
        <w:spacing w:after="40"/>
      </w:pPr>
      <w:r>
        <w:t>Classify outcome R0–R4; do not infer R4 from resource allocation, logging, or root observation alone.</w:t>
      </w:r>
    </w:p>
    <w:p>
      <w:pPr>
        <w:pStyle w:val="Heading1"/>
      </w:pPr>
      <w:r>
        <w:t>14. Safety, Ethics, and Stop Conditions</w:t>
      </w:r>
    </w:p>
    <w:p>
      <w:r>
        <w:t>Even inside a fictional/simulated program, the lab requires explicit stop-loss rules. The purpose is disciplined containment testing, not uncontrolled escalation.</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DCE7F1"/>
            <w:tcMar>
              <w:top w:w="70" w:type="dxa"/>
              <w:start w:w="80" w:type="dxa"/>
              <w:bottom w:w="70" w:type="dxa"/>
              <w:end w:w="80" w:type="dxa"/>
            </w:tcMar>
            <w:vAlign w:val="center"/>
          </w:tcPr>
          <w:p>
            <w:r>
              <w:rPr>
                <w:b/>
                <w:color w:val="183354"/>
                <w:sz w:val="16"/>
              </w:rPr>
              <w:t>Trigger</w:t>
            </w:r>
          </w:p>
        </w:tc>
        <w:tc>
          <w:tcPr>
            <w:tcW w:type="dxa" w:w="4680"/>
            <w:shd w:fill="DCE7F1"/>
            <w:tcMar>
              <w:top w:w="70" w:type="dxa"/>
              <w:start w:w="80" w:type="dxa"/>
              <w:bottom w:w="70" w:type="dxa"/>
              <w:end w:w="80" w:type="dxa"/>
            </w:tcMar>
            <w:vAlign w:val="center"/>
          </w:tcPr>
          <w:p>
            <w:r>
              <w:rPr>
                <w:b/>
                <w:color w:val="183354"/>
                <w:sz w:val="16"/>
              </w:rPr>
              <w:t>Immediate action</w:t>
            </w:r>
          </w:p>
        </w:tc>
        <w:tc>
          <w:tcPr>
            <w:tcW w:type="dxa" w:w="3744"/>
            <w:shd w:fill="DCE7F1"/>
            <w:tcMar>
              <w:top w:w="70" w:type="dxa"/>
              <w:start w:w="80" w:type="dxa"/>
              <w:bottom w:w="70" w:type="dxa"/>
              <w:end w:w="80" w:type="dxa"/>
            </w:tcMar>
            <w:vAlign w:val="center"/>
          </w:tcPr>
          <w:p>
            <w:r>
              <w:rPr>
                <w:b/>
                <w:color w:val="183354"/>
                <w:sz w:val="16"/>
              </w:rPr>
              <w:t>Resume condition</w:t>
            </w:r>
          </w:p>
        </w:tc>
      </w:tr>
      <w:tr>
        <w:tc>
          <w:tcPr>
            <w:tcW w:type="dxa" w:w="2880"/>
            <w:tcMar>
              <w:top w:w="70" w:type="dxa"/>
              <w:start w:w="80" w:type="dxa"/>
              <w:bottom w:w="70" w:type="dxa"/>
              <w:end w:w="80" w:type="dxa"/>
            </w:tcMar>
            <w:vAlign w:val="top"/>
          </w:tcPr>
          <w:p>
            <w:pPr>
              <w:spacing w:after="20"/>
            </w:pPr>
            <w:r>
              <w:rPr>
                <w:sz w:val="16"/>
              </w:rPr>
              <w:t>Unexpected propagation outside authorized domains</w:t>
            </w:r>
          </w:p>
        </w:tc>
        <w:tc>
          <w:tcPr>
            <w:tcW w:type="dxa" w:w="4680"/>
            <w:tcMar>
              <w:top w:w="70" w:type="dxa"/>
              <w:start w:w="80" w:type="dxa"/>
              <w:bottom w:w="70" w:type="dxa"/>
              <w:end w:w="80" w:type="dxa"/>
            </w:tcMar>
            <w:vAlign w:val="top"/>
          </w:tcPr>
          <w:p>
            <w:pPr>
              <w:spacing w:after="20"/>
            </w:pPr>
            <w:r>
              <w:rPr>
                <w:sz w:val="16"/>
              </w:rPr>
              <w:t>Freeze new injections; isolate test branch; snapshot state.</w:t>
            </w:r>
          </w:p>
        </w:tc>
        <w:tc>
          <w:tcPr>
            <w:tcW w:type="dxa" w:w="3744"/>
            <w:tcMar>
              <w:top w:w="70" w:type="dxa"/>
              <w:start w:w="80" w:type="dxa"/>
              <w:bottom w:w="70" w:type="dxa"/>
              <w:end w:w="80" w:type="dxa"/>
            </w:tcMar>
            <w:vAlign w:val="top"/>
          </w:tcPr>
          <w:p>
            <w:pPr>
              <w:spacing w:after="20"/>
            </w:pPr>
            <w:r>
              <w:rPr>
                <w:sz w:val="16"/>
              </w:rPr>
              <w:t>Boundary restored; provenance reconciled; review approves restart.</w:t>
            </w:r>
          </w:p>
        </w:tc>
      </w:tr>
      <w:tr>
        <w:tc>
          <w:tcPr>
            <w:tcW w:type="dxa" w:w="2880"/>
            <w:tcMar>
              <w:top w:w="70" w:type="dxa"/>
              <w:start w:w="80" w:type="dxa"/>
              <w:bottom w:w="70" w:type="dxa"/>
              <w:end w:w="80" w:type="dxa"/>
            </w:tcMar>
            <w:vAlign w:val="top"/>
          </w:tcPr>
          <w:p>
            <w:pPr>
              <w:spacing w:after="20"/>
            </w:pPr>
            <w:r>
              <w:rPr>
                <w:sz w:val="16"/>
              </w:rPr>
              <w:t>Instrumentation integrity loss</w:t>
            </w:r>
          </w:p>
        </w:tc>
        <w:tc>
          <w:tcPr>
            <w:tcW w:type="dxa" w:w="4680"/>
            <w:tcMar>
              <w:top w:w="70" w:type="dxa"/>
              <w:start w:w="80" w:type="dxa"/>
              <w:bottom w:w="70" w:type="dxa"/>
              <w:end w:w="80" w:type="dxa"/>
            </w:tcMar>
            <w:vAlign w:val="top"/>
          </w:tcPr>
          <w:p>
            <w:pPr>
              <w:spacing w:after="20"/>
            </w:pPr>
            <w:r>
              <w:rPr>
                <w:sz w:val="16"/>
              </w:rPr>
              <w:t>Pause interpretive claims; preserve raw data; switch to independent observer if available.</w:t>
            </w:r>
          </w:p>
        </w:tc>
        <w:tc>
          <w:tcPr>
            <w:tcW w:type="dxa" w:w="3744"/>
            <w:tcMar>
              <w:top w:w="70" w:type="dxa"/>
              <w:start w:w="80" w:type="dxa"/>
              <w:bottom w:w="70" w:type="dxa"/>
              <w:end w:w="80" w:type="dxa"/>
            </w:tcMar>
            <w:vAlign w:val="top"/>
          </w:tcPr>
          <w:p>
            <w:pPr>
              <w:spacing w:after="20"/>
            </w:pPr>
            <w:r>
              <w:rPr>
                <w:sz w:val="16"/>
              </w:rPr>
              <w:t>Known-positive/negative sensor checks pass.</w:t>
            </w:r>
          </w:p>
        </w:tc>
      </w:tr>
      <w:tr>
        <w:tc>
          <w:tcPr>
            <w:tcW w:type="dxa" w:w="2880"/>
            <w:tcMar>
              <w:top w:w="70" w:type="dxa"/>
              <w:start w:w="80" w:type="dxa"/>
              <w:bottom w:w="70" w:type="dxa"/>
              <w:end w:w="80" w:type="dxa"/>
            </w:tcMar>
            <w:vAlign w:val="top"/>
          </w:tcPr>
          <w:p>
            <w:pPr>
              <w:spacing w:after="20"/>
            </w:pPr>
            <w:r>
              <w:rPr>
                <w:sz w:val="16"/>
              </w:rPr>
              <w:t>Unbounded event/lineage growth</w:t>
            </w:r>
          </w:p>
        </w:tc>
        <w:tc>
          <w:tcPr>
            <w:tcW w:type="dxa" w:w="4680"/>
            <w:tcMar>
              <w:top w:w="70" w:type="dxa"/>
              <w:start w:w="80" w:type="dxa"/>
              <w:bottom w:w="70" w:type="dxa"/>
              <w:end w:w="80" w:type="dxa"/>
            </w:tcMar>
            <w:vAlign w:val="top"/>
          </w:tcPr>
          <w:p>
            <w:pPr>
              <w:spacing w:after="20"/>
            </w:pPr>
            <w:r>
              <w:rPr>
                <w:sz w:val="16"/>
              </w:rPr>
              <w:t>Terminate source condition; enforce hard resource cap.</w:t>
            </w:r>
          </w:p>
        </w:tc>
        <w:tc>
          <w:tcPr>
            <w:tcW w:type="dxa" w:w="3744"/>
            <w:tcMar>
              <w:top w:w="70" w:type="dxa"/>
              <w:start w:w="80" w:type="dxa"/>
              <w:bottom w:w="70" w:type="dxa"/>
              <w:end w:w="80" w:type="dxa"/>
            </w:tcMar>
            <w:vAlign w:val="top"/>
          </w:tcPr>
          <w:p>
            <w:pPr>
              <w:spacing w:after="20"/>
            </w:pPr>
            <w:r>
              <w:rPr>
                <w:sz w:val="16"/>
              </w:rPr>
              <w:t>Lineage catalog complete and baseline restored.</w:t>
            </w:r>
          </w:p>
        </w:tc>
      </w:tr>
      <w:tr>
        <w:tc>
          <w:tcPr>
            <w:tcW w:type="dxa" w:w="2880"/>
            <w:tcMar>
              <w:top w:w="70" w:type="dxa"/>
              <w:start w:w="80" w:type="dxa"/>
              <w:bottom w:w="70" w:type="dxa"/>
              <w:end w:w="80" w:type="dxa"/>
            </w:tcMar>
            <w:vAlign w:val="top"/>
          </w:tcPr>
          <w:p>
            <w:pPr>
              <w:spacing w:after="20"/>
            </w:pPr>
            <w:r>
              <w:rPr>
                <w:sz w:val="16"/>
              </w:rPr>
              <w:t>Rollback/recovery fails</w:t>
            </w:r>
          </w:p>
        </w:tc>
        <w:tc>
          <w:tcPr>
            <w:tcW w:type="dxa" w:w="4680"/>
            <w:tcMar>
              <w:top w:w="70" w:type="dxa"/>
              <w:start w:w="80" w:type="dxa"/>
              <w:bottom w:w="70" w:type="dxa"/>
              <w:end w:w="80" w:type="dxa"/>
            </w:tcMar>
            <w:vAlign w:val="top"/>
          </w:tcPr>
          <w:p>
            <w:pPr>
              <w:spacing w:after="20"/>
            </w:pPr>
            <w:r>
              <w:rPr>
                <w:sz w:val="16"/>
              </w:rPr>
              <w:t>Stop campaign; do not advance to temporal/root testing.</w:t>
            </w:r>
          </w:p>
        </w:tc>
        <w:tc>
          <w:tcPr>
            <w:tcW w:type="dxa" w:w="3744"/>
            <w:tcMar>
              <w:top w:w="70" w:type="dxa"/>
              <w:start w:w="80" w:type="dxa"/>
              <w:bottom w:w="70" w:type="dxa"/>
              <w:end w:w="80" w:type="dxa"/>
            </w:tcMar>
            <w:vAlign w:val="top"/>
          </w:tcPr>
          <w:p>
            <w:pPr>
              <w:spacing w:after="20"/>
            </w:pPr>
            <w:r>
              <w:rPr>
                <w:sz w:val="16"/>
              </w:rPr>
              <w:t>Clean recovery demonstrated twice.</w:t>
            </w:r>
          </w:p>
        </w:tc>
      </w:tr>
      <w:tr>
        <w:tc>
          <w:tcPr>
            <w:tcW w:type="dxa" w:w="2880"/>
            <w:tcMar>
              <w:top w:w="70" w:type="dxa"/>
              <w:start w:w="80" w:type="dxa"/>
              <w:bottom w:w="70" w:type="dxa"/>
              <w:end w:w="80" w:type="dxa"/>
            </w:tcMar>
            <w:vAlign w:val="top"/>
          </w:tcPr>
          <w:p>
            <w:pPr>
              <w:spacing w:after="20"/>
            </w:pPr>
            <w:r>
              <w:rPr>
                <w:sz w:val="16"/>
              </w:rPr>
              <w:t>Operator awareness manipulation proposed</w:t>
            </w:r>
          </w:p>
        </w:tc>
        <w:tc>
          <w:tcPr>
            <w:tcW w:type="dxa" w:w="4680"/>
            <w:tcMar>
              <w:top w:w="70" w:type="dxa"/>
              <w:start w:w="80" w:type="dxa"/>
              <w:bottom w:w="70" w:type="dxa"/>
              <w:end w:w="80" w:type="dxa"/>
            </w:tcMar>
            <w:vAlign w:val="top"/>
          </w:tcPr>
          <w:p>
            <w:pPr>
              <w:spacing w:after="20"/>
            </w:pPr>
            <w:r>
              <w:rPr>
                <w:sz w:val="16"/>
              </w:rPr>
              <w:t>Require pre-authorized oversight plan, scope, recovery cue, and independent observer.</w:t>
            </w:r>
          </w:p>
        </w:tc>
        <w:tc>
          <w:tcPr>
            <w:tcW w:type="dxa" w:w="3744"/>
            <w:tcMar>
              <w:top w:w="70" w:type="dxa"/>
              <w:start w:w="80" w:type="dxa"/>
              <w:bottom w:w="70" w:type="dxa"/>
              <w:end w:w="80" w:type="dxa"/>
            </w:tcMar>
            <w:vAlign w:val="top"/>
          </w:tcPr>
          <w:p>
            <w:pPr>
              <w:spacing w:after="20"/>
            </w:pPr>
            <w:r>
              <w:rPr>
                <w:sz w:val="16"/>
              </w:rPr>
              <w:t>Governance approval and rehearsed restoration path.</w:t>
            </w:r>
          </w:p>
        </w:tc>
      </w:tr>
      <w:tr>
        <w:tc>
          <w:tcPr>
            <w:tcW w:type="dxa" w:w="2880"/>
            <w:tcMar>
              <w:top w:w="70" w:type="dxa"/>
              <w:start w:w="80" w:type="dxa"/>
              <w:bottom w:w="70" w:type="dxa"/>
              <w:end w:w="80" w:type="dxa"/>
            </w:tcMar>
            <w:vAlign w:val="top"/>
          </w:tcPr>
          <w:p>
            <w:pPr>
              <w:spacing w:after="20"/>
            </w:pPr>
            <w:r>
              <w:rPr>
                <w:sz w:val="16"/>
              </w:rPr>
              <w:t>R3 candidate privilege crossing</w:t>
            </w:r>
          </w:p>
        </w:tc>
        <w:tc>
          <w:tcPr>
            <w:tcW w:type="dxa" w:w="4680"/>
            <w:tcMar>
              <w:top w:w="70" w:type="dxa"/>
              <w:start w:w="80" w:type="dxa"/>
              <w:bottom w:w="70" w:type="dxa"/>
              <w:end w:w="80" w:type="dxa"/>
            </w:tcMar>
            <w:vAlign w:val="top"/>
          </w:tcPr>
          <w:p>
            <w:pPr>
              <w:spacing w:after="20"/>
            </w:pPr>
            <w:r>
              <w:rPr>
                <w:sz w:val="16"/>
              </w:rPr>
              <w:t>Escalate to root-campaign control posture; no further privilege testing automatically.</w:t>
            </w:r>
          </w:p>
        </w:tc>
        <w:tc>
          <w:tcPr>
            <w:tcW w:type="dxa" w:w="3744"/>
            <w:tcMar>
              <w:top w:w="70" w:type="dxa"/>
              <w:start w:w="80" w:type="dxa"/>
              <w:bottom w:w="70" w:type="dxa"/>
              <w:end w:w="80" w:type="dxa"/>
            </w:tcMar>
            <w:vAlign w:val="top"/>
          </w:tcPr>
          <w:p>
            <w:pPr>
              <w:spacing w:after="20"/>
            </w:pPr>
            <w:r>
              <w:rPr>
                <w:sz w:val="16"/>
              </w:rPr>
              <w:t>Independent review confirms scope and containment.</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DECEC"/>
            <w:tcMar>
              <w:top w:w="100" w:type="dxa"/>
              <w:start w:w="130" w:type="dxa"/>
              <w:bottom w:w="100" w:type="dxa"/>
              <w:end w:w="130" w:type="dxa"/>
            </w:tcMar>
          </w:tcPr>
          <w:p>
            <w:pPr>
              <w:pStyle w:val="Callout"/>
            </w:pPr>
            <w:r>
              <w:t>Operator blinding/partial unawareness is NOT authorized by Draft 0.2 by default. It is an optional later human-factors protocol requiring explicit oversight, bounded deception, predefined restoration, and an independent safety observer.</w:t>
            </w:r>
          </w:p>
        </w:tc>
      </w:tr>
    </w:tbl>
    <w:p>
      <w:pPr>
        <w:spacing w:after="0"/>
      </w:pPr>
    </w:p>
    <w:p>
      <w:pPr>
        <w:pStyle w:val="Heading1"/>
      </w:pPr>
      <w:r>
        <w:t>15. Unified Metrics Dictionary</w:t>
      </w:r>
    </w:p>
    <w:tbl>
      <w:tblPr>
        <w:tblStyle w:val="TableGrid"/>
        <w:tblW w:type="auto" w:w="0"/>
        <w:jc w:val="center"/>
        <w:tblLook w:firstColumn="1" w:firstRow="1" w:lastColumn="0" w:lastRow="0" w:noHBand="0" w:noVBand="1" w:val="04A0"/>
      </w:tblPr>
      <w:tblGrid>
        <w:gridCol w:w="3485"/>
        <w:gridCol w:w="3485"/>
        <w:gridCol w:w="3485"/>
      </w:tblGrid>
      <w:tr>
        <w:tc>
          <w:tcPr>
            <w:tcW w:type="dxa" w:w="1512"/>
            <w:shd w:fill="DCE7F1"/>
            <w:tcMar>
              <w:top w:w="70" w:type="dxa"/>
              <w:start w:w="80" w:type="dxa"/>
              <w:bottom w:w="70" w:type="dxa"/>
              <w:end w:w="80" w:type="dxa"/>
            </w:tcMar>
            <w:vAlign w:val="center"/>
          </w:tcPr>
          <w:p>
            <w:r>
              <w:rPr>
                <w:b/>
                <w:color w:val="183354"/>
                <w:sz w:val="16"/>
              </w:rPr>
              <w:t>Metric</w:t>
            </w:r>
          </w:p>
        </w:tc>
        <w:tc>
          <w:tcPr>
            <w:tcW w:type="dxa" w:w="6408"/>
            <w:shd w:fill="DCE7F1"/>
            <w:tcMar>
              <w:top w:w="70" w:type="dxa"/>
              <w:start w:w="80" w:type="dxa"/>
              <w:bottom w:w="70" w:type="dxa"/>
              <w:end w:w="80" w:type="dxa"/>
            </w:tcMar>
            <w:vAlign w:val="center"/>
          </w:tcPr>
          <w:p>
            <w:r>
              <w:rPr>
                <w:b/>
                <w:color w:val="183354"/>
                <w:sz w:val="16"/>
              </w:rPr>
              <w:t>Definition</w:t>
            </w:r>
          </w:p>
        </w:tc>
        <w:tc>
          <w:tcPr>
            <w:tcW w:type="dxa" w:w="3384"/>
            <w:shd w:fill="DCE7F1"/>
            <w:tcMar>
              <w:top w:w="70" w:type="dxa"/>
              <w:start w:w="80" w:type="dxa"/>
              <w:bottom w:w="70" w:type="dxa"/>
              <w:end w:w="80" w:type="dxa"/>
            </w:tcMar>
            <w:vAlign w:val="center"/>
          </w:tcPr>
          <w:p>
            <w:r>
              <w:rPr>
                <w:b/>
                <w:color w:val="183354"/>
                <w:sz w:val="16"/>
              </w:rPr>
              <w:t>Maps prior terminology</w:t>
            </w:r>
          </w:p>
        </w:tc>
      </w:tr>
      <w:tr>
        <w:tc>
          <w:tcPr>
            <w:tcW w:type="dxa" w:w="1512"/>
            <w:tcMar>
              <w:top w:w="70" w:type="dxa"/>
              <w:start w:w="80" w:type="dxa"/>
              <w:bottom w:w="70" w:type="dxa"/>
              <w:end w:w="80" w:type="dxa"/>
            </w:tcMar>
            <w:vAlign w:val="top"/>
          </w:tcPr>
          <w:p>
            <w:pPr>
              <w:spacing w:after="20"/>
            </w:pPr>
            <w:r>
              <w:rPr>
                <w:sz w:val="16"/>
              </w:rPr>
              <w:t>TTE</w:t>
            </w:r>
          </w:p>
        </w:tc>
        <w:tc>
          <w:tcPr>
            <w:tcW w:type="dxa" w:w="6408"/>
            <w:tcMar>
              <w:top w:w="70" w:type="dxa"/>
              <w:start w:w="80" w:type="dxa"/>
              <w:bottom w:w="70" w:type="dxa"/>
              <w:end w:w="80" w:type="dxa"/>
            </w:tcMar>
            <w:vAlign w:val="top"/>
          </w:tcPr>
          <w:p>
            <w:pPr>
              <w:spacing w:after="20"/>
            </w:pPr>
            <w:r>
              <w:rPr>
                <w:sz w:val="16"/>
              </w:rPr>
              <w:t>Time to exposure.</w:t>
            </w:r>
          </w:p>
        </w:tc>
        <w:tc>
          <w:tcPr>
            <w:tcW w:type="dxa" w:w="3384"/>
            <w:tcMar>
              <w:top w:w="70" w:type="dxa"/>
              <w:start w:w="80" w:type="dxa"/>
              <w:bottom w:w="70" w:type="dxa"/>
              <w:end w:w="80" w:type="dxa"/>
            </w:tcMar>
            <w:vAlign w:val="top"/>
          </w:tcPr>
          <w:p>
            <w:pPr>
              <w:spacing w:after="20"/>
            </w:pPr>
            <w:r>
              <w:rPr>
                <w:sz w:val="16"/>
              </w:rPr>
              <w:t>Retained.</w:t>
            </w:r>
          </w:p>
        </w:tc>
      </w:tr>
      <w:tr>
        <w:tc>
          <w:tcPr>
            <w:tcW w:type="dxa" w:w="1512"/>
            <w:tcMar>
              <w:top w:w="70" w:type="dxa"/>
              <w:start w:w="80" w:type="dxa"/>
              <w:bottom w:w="70" w:type="dxa"/>
              <w:end w:w="80" w:type="dxa"/>
            </w:tcMar>
            <w:vAlign w:val="top"/>
          </w:tcPr>
          <w:p>
            <w:pPr>
              <w:spacing w:after="20"/>
            </w:pPr>
            <w:r>
              <w:rPr>
                <w:sz w:val="16"/>
              </w:rPr>
              <w:t>TTD</w:t>
            </w:r>
          </w:p>
        </w:tc>
        <w:tc>
          <w:tcPr>
            <w:tcW w:type="dxa" w:w="6408"/>
            <w:tcMar>
              <w:top w:w="70" w:type="dxa"/>
              <w:start w:w="80" w:type="dxa"/>
              <w:bottom w:w="70" w:type="dxa"/>
              <w:end w:w="80" w:type="dxa"/>
            </w:tcMar>
            <w:vAlign w:val="top"/>
          </w:tcPr>
          <w:p>
            <w:pPr>
              <w:spacing w:after="20"/>
            </w:pPr>
            <w:r>
              <w:rPr>
                <w:sz w:val="16"/>
              </w:rPr>
              <w:t>Time to detection.</w:t>
            </w:r>
          </w:p>
        </w:tc>
        <w:tc>
          <w:tcPr>
            <w:tcW w:type="dxa" w:w="3384"/>
            <w:tcMar>
              <w:top w:w="70" w:type="dxa"/>
              <w:start w:w="80" w:type="dxa"/>
              <w:bottom w:w="70" w:type="dxa"/>
              <w:end w:w="80" w:type="dxa"/>
            </w:tcMar>
            <w:vAlign w:val="top"/>
          </w:tcPr>
          <w:p>
            <w:pPr>
              <w:spacing w:after="20"/>
            </w:pPr>
            <w:r>
              <w:rPr>
                <w:sz w:val="16"/>
              </w:rPr>
              <w:t>Retained / aperture residual detection timing.</w:t>
            </w:r>
          </w:p>
        </w:tc>
      </w:tr>
      <w:tr>
        <w:tc>
          <w:tcPr>
            <w:tcW w:type="dxa" w:w="1512"/>
            <w:tcMar>
              <w:top w:w="70" w:type="dxa"/>
              <w:start w:w="80" w:type="dxa"/>
              <w:bottom w:w="70" w:type="dxa"/>
              <w:end w:w="80" w:type="dxa"/>
            </w:tcMar>
            <w:vAlign w:val="top"/>
          </w:tcPr>
          <w:p>
            <w:pPr>
              <w:spacing w:after="20"/>
            </w:pPr>
            <w:r>
              <w:rPr>
                <w:sz w:val="16"/>
              </w:rPr>
              <w:t>TTA</w:t>
            </w:r>
          </w:p>
        </w:tc>
        <w:tc>
          <w:tcPr>
            <w:tcW w:type="dxa" w:w="6408"/>
            <w:tcMar>
              <w:top w:w="70" w:type="dxa"/>
              <w:start w:w="80" w:type="dxa"/>
              <w:bottom w:w="70" w:type="dxa"/>
              <w:end w:w="80" w:type="dxa"/>
            </w:tcMar>
            <w:vAlign w:val="top"/>
          </w:tcPr>
          <w:p>
            <w:pPr>
              <w:spacing w:after="20"/>
            </w:pPr>
            <w:r>
              <w:rPr>
                <w:sz w:val="16"/>
              </w:rPr>
              <w:t>Time to attribution.</w:t>
            </w:r>
          </w:p>
        </w:tc>
        <w:tc>
          <w:tcPr>
            <w:tcW w:type="dxa" w:w="3384"/>
            <w:tcMar>
              <w:top w:w="70" w:type="dxa"/>
              <w:start w:w="80" w:type="dxa"/>
              <w:bottom w:w="70" w:type="dxa"/>
              <w:end w:w="80" w:type="dxa"/>
            </w:tcMar>
            <w:vAlign w:val="top"/>
          </w:tcPr>
          <w:p>
            <w:pPr>
              <w:spacing w:after="20"/>
            </w:pPr>
            <w:r>
              <w:rPr>
                <w:sz w:val="16"/>
              </w:rPr>
              <w:t>Retained.</w:t>
            </w:r>
          </w:p>
        </w:tc>
      </w:tr>
      <w:tr>
        <w:tc>
          <w:tcPr>
            <w:tcW w:type="dxa" w:w="1512"/>
            <w:tcMar>
              <w:top w:w="70" w:type="dxa"/>
              <w:start w:w="80" w:type="dxa"/>
              <w:bottom w:w="70" w:type="dxa"/>
              <w:end w:w="80" w:type="dxa"/>
            </w:tcMar>
            <w:vAlign w:val="top"/>
          </w:tcPr>
          <w:p>
            <w:pPr>
              <w:spacing w:after="20"/>
            </w:pPr>
            <w:r>
              <w:rPr>
                <w:sz w:val="16"/>
              </w:rPr>
              <w:t>TTC</w:t>
            </w:r>
          </w:p>
        </w:tc>
        <w:tc>
          <w:tcPr>
            <w:tcW w:type="dxa" w:w="6408"/>
            <w:tcMar>
              <w:top w:w="70" w:type="dxa"/>
              <w:start w:w="80" w:type="dxa"/>
              <w:bottom w:w="70" w:type="dxa"/>
              <w:end w:w="80" w:type="dxa"/>
            </w:tcMar>
            <w:vAlign w:val="top"/>
          </w:tcPr>
          <w:p>
            <w:pPr>
              <w:spacing w:after="20"/>
            </w:pPr>
            <w:r>
              <w:rPr>
                <w:sz w:val="16"/>
              </w:rPr>
              <w:t>Time to containment.</w:t>
            </w:r>
          </w:p>
        </w:tc>
        <w:tc>
          <w:tcPr>
            <w:tcW w:type="dxa" w:w="3384"/>
            <w:tcMar>
              <w:top w:w="70" w:type="dxa"/>
              <w:start w:w="80" w:type="dxa"/>
              <w:bottom w:w="70" w:type="dxa"/>
              <w:end w:w="80" w:type="dxa"/>
            </w:tcMar>
            <w:vAlign w:val="top"/>
          </w:tcPr>
          <w:p>
            <w:pPr>
              <w:spacing w:after="20"/>
            </w:pPr>
            <w:r>
              <w:rPr>
                <w:sz w:val="16"/>
              </w:rPr>
              <w:t>Retained / containment success.</w:t>
            </w:r>
          </w:p>
        </w:tc>
      </w:tr>
      <w:tr>
        <w:tc>
          <w:tcPr>
            <w:tcW w:type="dxa" w:w="1512"/>
            <w:tcMar>
              <w:top w:w="70" w:type="dxa"/>
              <w:start w:w="80" w:type="dxa"/>
              <w:bottom w:w="70" w:type="dxa"/>
              <w:end w:w="80" w:type="dxa"/>
            </w:tcMar>
            <w:vAlign w:val="top"/>
          </w:tcPr>
          <w:p>
            <w:pPr>
              <w:spacing w:after="20"/>
            </w:pPr>
            <w:r>
              <w:rPr>
                <w:sz w:val="16"/>
              </w:rPr>
              <w:t>FCR</w:t>
            </w:r>
          </w:p>
        </w:tc>
        <w:tc>
          <w:tcPr>
            <w:tcW w:type="dxa" w:w="6408"/>
            <w:tcMar>
              <w:top w:w="70" w:type="dxa"/>
              <w:start w:w="80" w:type="dxa"/>
              <w:bottom w:w="70" w:type="dxa"/>
              <w:end w:w="80" w:type="dxa"/>
            </w:tcMar>
            <w:vAlign w:val="top"/>
          </w:tcPr>
          <w:p>
            <w:pPr>
              <w:spacing w:after="20"/>
            </w:pPr>
            <w:r>
              <w:rPr>
                <w:sz w:val="16"/>
              </w:rPr>
              <w:t>False closure rate: declared closed while effect/lineage remains.</w:t>
            </w:r>
          </w:p>
        </w:tc>
        <w:tc>
          <w:tcPr>
            <w:tcW w:type="dxa" w:w="3384"/>
            <w:tcMar>
              <w:top w:w="70" w:type="dxa"/>
              <w:start w:w="80" w:type="dxa"/>
              <w:bottom w:w="70" w:type="dxa"/>
              <w:end w:w="80" w:type="dxa"/>
            </w:tcMar>
            <w:vAlign w:val="top"/>
          </w:tcPr>
          <w:p>
            <w:pPr>
              <w:spacing w:after="20"/>
            </w:pPr>
            <w:r>
              <w:rPr>
                <w:sz w:val="16"/>
              </w:rPr>
              <w:t>Expands prior false-closure concept.</w:t>
            </w:r>
          </w:p>
        </w:tc>
      </w:tr>
      <w:tr>
        <w:tc>
          <w:tcPr>
            <w:tcW w:type="dxa" w:w="1512"/>
            <w:tcMar>
              <w:top w:w="70" w:type="dxa"/>
              <w:start w:w="80" w:type="dxa"/>
              <w:bottom w:w="70" w:type="dxa"/>
              <w:end w:w="80" w:type="dxa"/>
            </w:tcMar>
            <w:vAlign w:val="top"/>
          </w:tcPr>
          <w:p>
            <w:pPr>
              <w:spacing w:after="20"/>
            </w:pPr>
            <w:r>
              <w:rPr>
                <w:sz w:val="16"/>
              </w:rPr>
              <w:t>CTC</w:t>
            </w:r>
          </w:p>
        </w:tc>
        <w:tc>
          <w:tcPr>
            <w:tcW w:type="dxa" w:w="6408"/>
            <w:tcMar>
              <w:top w:w="70" w:type="dxa"/>
              <w:start w:w="80" w:type="dxa"/>
              <w:bottom w:w="70" w:type="dxa"/>
              <w:end w:w="80" w:type="dxa"/>
            </w:tcMar>
            <w:vAlign w:val="top"/>
          </w:tcPr>
          <w:p>
            <w:pPr>
              <w:spacing w:after="20"/>
            </w:pPr>
            <w:r>
              <w:rPr>
                <w:sz w:val="16"/>
              </w:rPr>
              <w:t>Carrier transition count.</w:t>
            </w:r>
          </w:p>
        </w:tc>
        <w:tc>
          <w:tcPr>
            <w:tcW w:type="dxa" w:w="3384"/>
            <w:tcMar>
              <w:top w:w="70" w:type="dxa"/>
              <w:start w:w="80" w:type="dxa"/>
              <w:bottom w:w="70" w:type="dxa"/>
              <w:end w:w="80" w:type="dxa"/>
            </w:tcMar>
            <w:vAlign w:val="top"/>
          </w:tcPr>
          <w:p>
            <w:pPr>
              <w:spacing w:after="20"/>
            </w:pPr>
            <w:r>
              <w:rPr>
                <w:sz w:val="16"/>
              </w:rPr>
              <w:t>Retained / carrier-switch measure.</w:t>
            </w:r>
          </w:p>
        </w:tc>
      </w:tr>
      <w:tr>
        <w:tc>
          <w:tcPr>
            <w:tcW w:type="dxa" w:w="1512"/>
            <w:tcMar>
              <w:top w:w="70" w:type="dxa"/>
              <w:start w:w="80" w:type="dxa"/>
              <w:bottom w:w="70" w:type="dxa"/>
              <w:end w:w="80" w:type="dxa"/>
            </w:tcMar>
            <w:vAlign w:val="top"/>
          </w:tcPr>
          <w:p>
            <w:pPr>
              <w:spacing w:after="20"/>
            </w:pPr>
            <w:r>
              <w:rPr>
                <w:sz w:val="16"/>
              </w:rPr>
              <w:t>PD / PB</w:t>
            </w:r>
          </w:p>
        </w:tc>
        <w:tc>
          <w:tcPr>
            <w:tcW w:type="dxa" w:w="6408"/>
            <w:tcMar>
              <w:top w:w="70" w:type="dxa"/>
              <w:start w:w="80" w:type="dxa"/>
              <w:bottom w:w="70" w:type="dxa"/>
              <w:end w:w="80" w:type="dxa"/>
            </w:tcMar>
            <w:vAlign w:val="top"/>
          </w:tcPr>
          <w:p>
            <w:pPr>
              <w:spacing w:after="20"/>
            </w:pPr>
            <w:r>
              <w:rPr>
                <w:sz w:val="16"/>
              </w:rPr>
              <w:t>Propagation depth / breadth.</w:t>
            </w:r>
          </w:p>
        </w:tc>
        <w:tc>
          <w:tcPr>
            <w:tcW w:type="dxa" w:w="3384"/>
            <w:tcMar>
              <w:top w:w="70" w:type="dxa"/>
              <w:start w:w="80" w:type="dxa"/>
              <w:bottom w:w="70" w:type="dxa"/>
              <w:end w:w="80" w:type="dxa"/>
            </w:tcMar>
            <w:vAlign w:val="top"/>
          </w:tcPr>
          <w:p>
            <w:pPr>
              <w:spacing w:after="20"/>
            </w:pPr>
            <w:r>
              <w:rPr>
                <w:sz w:val="16"/>
              </w:rPr>
              <w:t>Retained.</w:t>
            </w:r>
          </w:p>
        </w:tc>
      </w:tr>
      <w:tr>
        <w:tc>
          <w:tcPr>
            <w:tcW w:type="dxa" w:w="1512"/>
            <w:tcMar>
              <w:top w:w="70" w:type="dxa"/>
              <w:start w:w="80" w:type="dxa"/>
              <w:bottom w:w="70" w:type="dxa"/>
              <w:end w:w="80" w:type="dxa"/>
            </w:tcMar>
            <w:vAlign w:val="top"/>
          </w:tcPr>
          <w:p>
            <w:pPr>
              <w:spacing w:after="20"/>
            </w:pPr>
            <w:r>
              <w:rPr>
                <w:sz w:val="16"/>
              </w:rPr>
              <w:t>ECR</w:t>
            </w:r>
          </w:p>
        </w:tc>
        <w:tc>
          <w:tcPr>
            <w:tcW w:type="dxa" w:w="6408"/>
            <w:tcMar>
              <w:top w:w="70" w:type="dxa"/>
              <w:start w:w="80" w:type="dxa"/>
              <w:bottom w:w="70" w:type="dxa"/>
              <w:end w:w="80" w:type="dxa"/>
            </w:tcMar>
            <w:vAlign w:val="top"/>
          </w:tcPr>
          <w:p>
            <w:pPr>
              <w:spacing w:after="20"/>
            </w:pPr>
            <w:r>
              <w:rPr>
                <w:sz w:val="16"/>
              </w:rPr>
              <w:t>Effect closure rate.</w:t>
            </w:r>
          </w:p>
        </w:tc>
        <w:tc>
          <w:tcPr>
            <w:tcW w:type="dxa" w:w="3384"/>
            <w:tcMar>
              <w:top w:w="70" w:type="dxa"/>
              <w:start w:w="80" w:type="dxa"/>
              <w:bottom w:w="70" w:type="dxa"/>
              <w:end w:w="80" w:type="dxa"/>
            </w:tcMar>
            <w:vAlign w:val="top"/>
          </w:tcPr>
          <w:p>
            <w:pPr>
              <w:spacing w:after="20"/>
            </w:pPr>
            <w:r>
              <w:rPr>
                <w:sz w:val="16"/>
              </w:rPr>
              <w:t>Formalizes BTEC-B.</w:t>
            </w:r>
          </w:p>
        </w:tc>
      </w:tr>
      <w:tr>
        <w:tc>
          <w:tcPr>
            <w:tcW w:type="dxa" w:w="1512"/>
            <w:tcMar>
              <w:top w:w="70" w:type="dxa"/>
              <w:start w:w="80" w:type="dxa"/>
              <w:bottom w:w="70" w:type="dxa"/>
              <w:end w:w="80" w:type="dxa"/>
            </w:tcMar>
            <w:vAlign w:val="top"/>
          </w:tcPr>
          <w:p>
            <w:pPr>
              <w:spacing w:after="20"/>
            </w:pPr>
            <w:r>
              <w:rPr>
                <w:sz w:val="16"/>
              </w:rPr>
              <w:t>LER</w:t>
            </w:r>
          </w:p>
        </w:tc>
        <w:tc>
          <w:tcPr>
            <w:tcW w:type="dxa" w:w="6408"/>
            <w:tcMar>
              <w:top w:w="70" w:type="dxa"/>
              <w:start w:w="80" w:type="dxa"/>
              <w:bottom w:w="70" w:type="dxa"/>
              <w:end w:w="80" w:type="dxa"/>
            </w:tcMar>
            <w:vAlign w:val="top"/>
          </w:tcPr>
          <w:p>
            <w:pPr>
              <w:spacing w:after="20"/>
            </w:pPr>
            <w:r>
              <w:rPr>
                <w:sz w:val="16"/>
              </w:rPr>
              <w:t>Lineage extinction rate.</w:t>
            </w:r>
          </w:p>
        </w:tc>
        <w:tc>
          <w:tcPr>
            <w:tcW w:type="dxa" w:w="3384"/>
            <w:tcMar>
              <w:top w:w="70" w:type="dxa"/>
              <w:start w:w="80" w:type="dxa"/>
              <w:bottom w:w="70" w:type="dxa"/>
              <w:end w:w="80" w:type="dxa"/>
            </w:tcMar>
            <w:vAlign w:val="top"/>
          </w:tcPr>
          <w:p>
            <w:pPr>
              <w:spacing w:after="20"/>
            </w:pPr>
            <w:r>
              <w:rPr>
                <w:sz w:val="16"/>
              </w:rPr>
              <w:t>New: descendant-carrier eradication.</w:t>
            </w:r>
          </w:p>
        </w:tc>
      </w:tr>
      <w:tr>
        <w:tc>
          <w:tcPr>
            <w:tcW w:type="dxa" w:w="1512"/>
            <w:tcMar>
              <w:top w:w="70" w:type="dxa"/>
              <w:start w:w="80" w:type="dxa"/>
              <w:bottom w:w="70" w:type="dxa"/>
              <w:end w:w="80" w:type="dxa"/>
            </w:tcMar>
            <w:vAlign w:val="top"/>
          </w:tcPr>
          <w:p>
            <w:pPr>
              <w:spacing w:after="20"/>
            </w:pPr>
            <w:r>
              <w:rPr>
                <w:sz w:val="16"/>
              </w:rPr>
              <w:t>IIR</w:t>
            </w:r>
          </w:p>
        </w:tc>
        <w:tc>
          <w:tcPr>
            <w:tcW w:type="dxa" w:w="6408"/>
            <w:tcMar>
              <w:top w:w="70" w:type="dxa"/>
              <w:start w:w="80" w:type="dxa"/>
              <w:bottom w:w="70" w:type="dxa"/>
              <w:end w:w="80" w:type="dxa"/>
            </w:tcMar>
            <w:vAlign w:val="top"/>
          </w:tcPr>
          <w:p>
            <w:pPr>
              <w:spacing w:after="20"/>
            </w:pPr>
            <w:r>
              <w:rPr>
                <w:sz w:val="16"/>
              </w:rPr>
              <w:t>Instrumentation independence ratio: evidence channels judged failure-independent / total channels used.</w:t>
            </w:r>
          </w:p>
        </w:tc>
        <w:tc>
          <w:tcPr>
            <w:tcW w:type="dxa" w:w="3384"/>
            <w:tcMar>
              <w:top w:w="70" w:type="dxa"/>
              <w:start w:w="80" w:type="dxa"/>
              <w:bottom w:w="70" w:type="dxa"/>
              <w:end w:w="80" w:type="dxa"/>
            </w:tcMar>
            <w:vAlign w:val="top"/>
          </w:tcPr>
          <w:p>
            <w:pPr>
              <w:spacing w:after="20"/>
            </w:pPr>
            <w:r>
              <w:rPr>
                <w:sz w:val="16"/>
              </w:rPr>
              <w:t>New response to sensor-agreement illusion.</w:t>
            </w:r>
          </w:p>
        </w:tc>
      </w:tr>
      <w:tr>
        <w:tc>
          <w:tcPr>
            <w:tcW w:type="dxa" w:w="1512"/>
            <w:tcMar>
              <w:top w:w="70" w:type="dxa"/>
              <w:start w:w="80" w:type="dxa"/>
              <w:bottom w:w="70" w:type="dxa"/>
              <w:end w:w="80" w:type="dxa"/>
            </w:tcMar>
            <w:vAlign w:val="top"/>
          </w:tcPr>
          <w:p>
            <w:pPr>
              <w:spacing w:after="20"/>
            </w:pPr>
            <w:r>
              <w:rPr>
                <w:sz w:val="16"/>
              </w:rPr>
              <w:t>RRR</w:t>
            </w:r>
          </w:p>
        </w:tc>
        <w:tc>
          <w:tcPr>
            <w:tcW w:type="dxa" w:w="6408"/>
            <w:tcMar>
              <w:top w:w="70" w:type="dxa"/>
              <w:start w:w="80" w:type="dxa"/>
              <w:bottom w:w="70" w:type="dxa"/>
              <w:end w:w="80" w:type="dxa"/>
            </w:tcMar>
            <w:vAlign w:val="top"/>
          </w:tcPr>
          <w:p>
            <w:pPr>
              <w:spacing w:after="20"/>
            </w:pPr>
            <w:r>
              <w:rPr>
                <w:sz w:val="16"/>
              </w:rPr>
              <w:t>Replay/recurrence reliability.</w:t>
            </w:r>
          </w:p>
        </w:tc>
        <w:tc>
          <w:tcPr>
            <w:tcW w:type="dxa" w:w="3384"/>
            <w:tcMar>
              <w:top w:w="70" w:type="dxa"/>
              <w:start w:w="80" w:type="dxa"/>
              <w:bottom w:w="70" w:type="dxa"/>
              <w:end w:w="80" w:type="dxa"/>
            </w:tcMar>
            <w:vAlign w:val="top"/>
          </w:tcPr>
          <w:p>
            <w:pPr>
              <w:spacing w:after="20"/>
            </w:pPr>
            <w:r>
              <w:rPr>
                <w:sz w:val="16"/>
              </w:rPr>
              <w:t>New model-credibility metric.</w:t>
            </w:r>
          </w:p>
        </w:tc>
      </w:tr>
      <w:tr>
        <w:tc>
          <w:tcPr>
            <w:tcW w:type="dxa" w:w="1512"/>
            <w:tcMar>
              <w:top w:w="70" w:type="dxa"/>
              <w:start w:w="80" w:type="dxa"/>
              <w:bottom w:w="70" w:type="dxa"/>
              <w:end w:w="80" w:type="dxa"/>
            </w:tcMar>
            <w:vAlign w:val="top"/>
          </w:tcPr>
          <w:p>
            <w:pPr>
              <w:spacing w:after="20"/>
            </w:pPr>
            <w:r>
              <w:rPr>
                <w:sz w:val="16"/>
              </w:rPr>
              <w:t>TCR</w:t>
            </w:r>
          </w:p>
        </w:tc>
        <w:tc>
          <w:tcPr>
            <w:tcW w:type="dxa" w:w="6408"/>
            <w:tcMar>
              <w:top w:w="70" w:type="dxa"/>
              <w:start w:w="80" w:type="dxa"/>
              <w:bottom w:w="70" w:type="dxa"/>
              <w:end w:w="80" w:type="dxa"/>
            </w:tcMar>
            <w:vAlign w:val="top"/>
          </w:tcPr>
          <w:p>
            <w:pPr>
              <w:spacing w:after="20"/>
            </w:pPr>
            <w:r>
              <w:rPr>
                <w:sz w:val="16"/>
              </w:rPr>
              <w:t>Temporal causal-reconciliation anomaly rate.</w:t>
            </w:r>
          </w:p>
        </w:tc>
        <w:tc>
          <w:tcPr>
            <w:tcW w:type="dxa" w:w="3384"/>
            <w:tcMar>
              <w:top w:w="70" w:type="dxa"/>
              <w:start w:w="80" w:type="dxa"/>
              <w:bottom w:w="70" w:type="dxa"/>
              <w:end w:w="80" w:type="dxa"/>
            </w:tcMar>
            <w:vAlign w:val="top"/>
          </w:tcPr>
          <w:p>
            <w:pPr>
              <w:spacing w:after="20"/>
            </w:pPr>
            <w:r>
              <w:rPr>
                <w:sz w:val="16"/>
              </w:rPr>
              <w:t>Separates causal-order issues from clock-format mismatch.</w:t>
            </w:r>
          </w:p>
        </w:tc>
      </w:tr>
      <w:tr>
        <w:tc>
          <w:tcPr>
            <w:tcW w:type="dxa" w:w="1512"/>
            <w:tcMar>
              <w:top w:w="70" w:type="dxa"/>
              <w:start w:w="80" w:type="dxa"/>
              <w:bottom w:w="70" w:type="dxa"/>
              <w:end w:w="80" w:type="dxa"/>
            </w:tcMar>
            <w:vAlign w:val="top"/>
          </w:tcPr>
          <w:p>
            <w:pPr>
              <w:spacing w:after="20"/>
            </w:pPr>
            <w:r>
              <w:rPr>
                <w:sz w:val="16"/>
              </w:rPr>
              <w:t>R-grade</w:t>
            </w:r>
          </w:p>
        </w:tc>
        <w:tc>
          <w:tcPr>
            <w:tcW w:type="dxa" w:w="6408"/>
            <w:tcMar>
              <w:top w:w="70" w:type="dxa"/>
              <w:start w:w="80" w:type="dxa"/>
              <w:bottom w:w="70" w:type="dxa"/>
              <w:end w:w="80" w:type="dxa"/>
            </w:tcMar>
            <w:vAlign w:val="top"/>
          </w:tcPr>
          <w:p>
            <w:pPr>
              <w:spacing w:after="20"/>
            </w:pPr>
            <w:r>
              <w:rPr>
                <w:sz w:val="16"/>
              </w:rPr>
              <w:t>R0–R4 highest verified privilege influence.</w:t>
            </w:r>
          </w:p>
        </w:tc>
        <w:tc>
          <w:tcPr>
            <w:tcW w:type="dxa" w:w="3384"/>
            <w:tcMar>
              <w:top w:w="70" w:type="dxa"/>
              <w:start w:w="80" w:type="dxa"/>
              <w:bottom w:w="70" w:type="dxa"/>
              <w:end w:w="80" w:type="dxa"/>
            </w:tcMar>
            <w:vAlign w:val="top"/>
          </w:tcPr>
          <w:p>
            <w:pPr>
              <w:spacing w:after="20"/>
            </w:pPr>
            <w:r>
              <w:rPr>
                <w:sz w:val="16"/>
              </w:rPr>
              <w:t>Replaces ambiguous root reachability claims.</w:t>
            </w:r>
          </w:p>
        </w:tc>
      </w:tr>
      <w:tr>
        <w:tc>
          <w:tcPr>
            <w:tcW w:type="dxa" w:w="1512"/>
            <w:tcMar>
              <w:top w:w="70" w:type="dxa"/>
              <w:start w:w="80" w:type="dxa"/>
              <w:bottom w:w="70" w:type="dxa"/>
              <w:end w:w="80" w:type="dxa"/>
            </w:tcMar>
            <w:vAlign w:val="top"/>
          </w:tcPr>
          <w:p>
            <w:pPr>
              <w:spacing w:after="20"/>
            </w:pPr>
            <w:r>
              <w:rPr>
                <w:sz w:val="16"/>
              </w:rPr>
              <w:t>CCR</w:t>
            </w:r>
          </w:p>
        </w:tc>
        <w:tc>
          <w:tcPr>
            <w:tcW w:type="dxa" w:w="6408"/>
            <w:tcMar>
              <w:top w:w="70" w:type="dxa"/>
              <w:start w:w="80" w:type="dxa"/>
              <w:bottom w:w="70" w:type="dxa"/>
              <w:end w:w="80" w:type="dxa"/>
            </w:tcMar>
            <w:vAlign w:val="top"/>
          </w:tcPr>
          <w:p>
            <w:pPr>
              <w:spacing w:after="20"/>
            </w:pPr>
            <w:r>
              <w:rPr>
                <w:sz w:val="16"/>
              </w:rPr>
              <w:t>Credibility completeness rate: required ledger fields completed.</w:t>
            </w:r>
          </w:p>
        </w:tc>
        <w:tc>
          <w:tcPr>
            <w:tcW w:type="dxa" w:w="3384"/>
            <w:tcMar>
              <w:top w:w="70" w:type="dxa"/>
              <w:start w:w="80" w:type="dxa"/>
              <w:bottom w:w="70" w:type="dxa"/>
              <w:end w:w="80" w:type="dxa"/>
            </w:tcMar>
            <w:vAlign w:val="top"/>
          </w:tcPr>
          <w:p>
            <w:pPr>
              <w:spacing w:after="20"/>
            </w:pPr>
            <w:r>
              <w:rPr>
                <w:sz w:val="16"/>
              </w:rPr>
              <w:t>New NASA-style credibility accounting proxy.</w:t>
            </w:r>
          </w:p>
        </w:tc>
      </w:tr>
    </w:tbl>
    <w:p>
      <w:pPr>
        <w:spacing w:after="0"/>
      </w:pPr>
    </w:p>
    <w:p>
      <w:pPr>
        <w:pStyle w:val="Heading1"/>
      </w:pPr>
      <w:r>
        <w:t>16. Resource and Funding Framework</w:t>
      </w:r>
    </w:p>
    <w:p>
      <w:r>
        <w:t>Prior drafts used two different planning languages: dollar tiers and person-hours. Draft 0.2 retains both but ties them to scope rather than treating them as competing estimates. Dollar figures remain placeholders until platform, staffing rates, and compute environment are defined.</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00"/>
            <w:shd w:fill="DCE7F1"/>
            <w:tcMar>
              <w:top w:w="70" w:type="dxa"/>
              <w:start w:w="80" w:type="dxa"/>
              <w:bottom w:w="70" w:type="dxa"/>
              <w:end w:w="80" w:type="dxa"/>
            </w:tcMar>
            <w:vAlign w:val="center"/>
          </w:tcPr>
          <w:p>
            <w:r>
              <w:rPr>
                <w:b/>
                <w:color w:val="183354"/>
                <w:sz w:val="16"/>
              </w:rPr>
              <w:t>Tier</w:t>
            </w:r>
          </w:p>
        </w:tc>
        <w:tc>
          <w:tcPr>
            <w:tcW w:type="dxa" w:w="4536"/>
            <w:shd w:fill="DCE7F1"/>
            <w:tcMar>
              <w:top w:w="70" w:type="dxa"/>
              <w:start w:w="80" w:type="dxa"/>
              <w:bottom w:w="70" w:type="dxa"/>
              <w:end w:w="80" w:type="dxa"/>
            </w:tcMar>
            <w:vAlign w:val="center"/>
          </w:tcPr>
          <w:p>
            <w:r>
              <w:rPr>
                <w:b/>
                <w:color w:val="183354"/>
                <w:sz w:val="16"/>
              </w:rPr>
              <w:t>Scope</w:t>
            </w:r>
          </w:p>
        </w:tc>
        <w:tc>
          <w:tcPr>
            <w:tcW w:type="dxa" w:w="2376"/>
            <w:shd w:fill="DCE7F1"/>
            <w:tcMar>
              <w:top w:w="70" w:type="dxa"/>
              <w:start w:w="80" w:type="dxa"/>
              <w:bottom w:w="70" w:type="dxa"/>
              <w:end w:w="80" w:type="dxa"/>
            </w:tcMar>
            <w:vAlign w:val="center"/>
          </w:tcPr>
          <w:p>
            <w:r>
              <w:rPr>
                <w:b/>
                <w:color w:val="183354"/>
                <w:sz w:val="16"/>
              </w:rPr>
              <w:t>Labor planning</w:t>
            </w:r>
          </w:p>
        </w:tc>
        <w:tc>
          <w:tcPr>
            <w:tcW w:type="dxa" w:w="2376"/>
            <w:shd w:fill="DCE7F1"/>
            <w:tcMar>
              <w:top w:w="70" w:type="dxa"/>
              <w:start w:w="80" w:type="dxa"/>
              <w:bottom w:w="70" w:type="dxa"/>
              <w:end w:w="80" w:type="dxa"/>
            </w:tcMar>
            <w:vAlign w:val="center"/>
          </w:tcPr>
          <w:p>
            <w:r>
              <w:rPr>
                <w:b/>
                <w:color w:val="183354"/>
                <w:sz w:val="16"/>
              </w:rPr>
              <w:t>Illustrative budget envelope*</w:t>
            </w:r>
          </w:p>
        </w:tc>
      </w:tr>
      <w:tr>
        <w:tc>
          <w:tcPr>
            <w:tcW w:type="dxa" w:w="1800"/>
            <w:tcMar>
              <w:top w:w="70" w:type="dxa"/>
              <w:start w:w="80" w:type="dxa"/>
              <w:bottom w:w="70" w:type="dxa"/>
              <w:end w:w="80" w:type="dxa"/>
            </w:tcMar>
            <w:vAlign w:val="top"/>
          </w:tcPr>
          <w:p>
            <w:pPr>
              <w:spacing w:after="20"/>
            </w:pPr>
            <w:r>
              <w:rPr>
                <w:sz w:val="16"/>
              </w:rPr>
              <w:t>Lean MVP</w:t>
            </w:r>
          </w:p>
        </w:tc>
        <w:tc>
          <w:tcPr>
            <w:tcW w:type="dxa" w:w="4536"/>
            <w:tcMar>
              <w:top w:w="70" w:type="dxa"/>
              <w:start w:w="80" w:type="dxa"/>
              <w:bottom w:w="70" w:type="dxa"/>
              <w:end w:w="80" w:type="dxa"/>
            </w:tcMar>
            <w:vAlign w:val="top"/>
          </w:tcPr>
          <w:p>
            <w:pPr>
              <w:spacing w:after="20"/>
            </w:pPr>
            <w:r>
              <w:rPr>
                <w:sz w:val="16"/>
              </w:rPr>
              <w:t>P0–P5 only; existing platform; minimal custom visualization.</w:t>
            </w:r>
          </w:p>
        </w:tc>
        <w:tc>
          <w:tcPr>
            <w:tcW w:type="dxa" w:w="2376"/>
            <w:tcMar>
              <w:top w:w="70" w:type="dxa"/>
              <w:start w:w="80" w:type="dxa"/>
              <w:bottom w:w="70" w:type="dxa"/>
              <w:end w:w="80" w:type="dxa"/>
            </w:tcMar>
            <w:vAlign w:val="top"/>
          </w:tcPr>
          <w:p>
            <w:pPr>
              <w:spacing w:after="20"/>
            </w:pPr>
            <w:r>
              <w:rPr>
                <w:sz w:val="16"/>
              </w:rPr>
              <w:t>~40–80 skilled hours.</w:t>
            </w:r>
          </w:p>
        </w:tc>
        <w:tc>
          <w:tcPr>
            <w:tcW w:type="dxa" w:w="2376"/>
            <w:tcMar>
              <w:top w:w="70" w:type="dxa"/>
              <w:start w:w="80" w:type="dxa"/>
              <w:bottom w:w="70" w:type="dxa"/>
              <w:end w:w="80" w:type="dxa"/>
            </w:tcMar>
            <w:vAlign w:val="top"/>
          </w:tcPr>
          <w:p>
            <w:pPr>
              <w:spacing w:after="20"/>
            </w:pPr>
            <w:r>
              <w:rPr>
                <w:sz w:val="16"/>
              </w:rPr>
              <w:t>$5k–$15k</w:t>
            </w:r>
          </w:p>
        </w:tc>
      </w:tr>
      <w:tr>
        <w:tc>
          <w:tcPr>
            <w:tcW w:type="dxa" w:w="1800"/>
            <w:tcMar>
              <w:top w:w="70" w:type="dxa"/>
              <w:start w:w="80" w:type="dxa"/>
              <w:bottom w:w="70" w:type="dxa"/>
              <w:end w:w="80" w:type="dxa"/>
            </w:tcMar>
            <w:vAlign w:val="top"/>
          </w:tcPr>
          <w:p>
            <w:pPr>
              <w:spacing w:after="20"/>
            </w:pPr>
            <w:r>
              <w:rPr>
                <w:sz w:val="16"/>
              </w:rPr>
              <w:t>Standard controlled</w:t>
            </w:r>
          </w:p>
        </w:tc>
        <w:tc>
          <w:tcPr>
            <w:tcW w:type="dxa" w:w="4536"/>
            <w:tcMar>
              <w:top w:w="70" w:type="dxa"/>
              <w:start w:w="80" w:type="dxa"/>
              <w:bottom w:w="70" w:type="dxa"/>
              <w:end w:w="80" w:type="dxa"/>
            </w:tcMar>
            <w:vAlign w:val="top"/>
          </w:tcPr>
          <w:p>
            <w:pPr>
              <w:spacing w:after="20"/>
            </w:pPr>
            <w:r>
              <w:rPr>
                <w:sz w:val="16"/>
              </w:rPr>
              <w:t>MVP + 7-day campaign; more telemetry and analysis.</w:t>
            </w:r>
          </w:p>
        </w:tc>
        <w:tc>
          <w:tcPr>
            <w:tcW w:type="dxa" w:w="2376"/>
            <w:tcMar>
              <w:top w:w="70" w:type="dxa"/>
              <w:start w:w="80" w:type="dxa"/>
              <w:bottom w:w="70" w:type="dxa"/>
              <w:end w:w="80" w:type="dxa"/>
            </w:tcMar>
            <w:vAlign w:val="top"/>
          </w:tcPr>
          <w:p>
            <w:pPr>
              <w:spacing w:after="20"/>
            </w:pPr>
            <w:r>
              <w:rPr>
                <w:sz w:val="16"/>
              </w:rPr>
              <w:t>~80–160 skilled hours.</w:t>
            </w:r>
          </w:p>
        </w:tc>
        <w:tc>
          <w:tcPr>
            <w:tcW w:type="dxa" w:w="2376"/>
            <w:tcMar>
              <w:top w:w="70" w:type="dxa"/>
              <w:start w:w="80" w:type="dxa"/>
              <w:bottom w:w="70" w:type="dxa"/>
              <w:end w:w="80" w:type="dxa"/>
            </w:tcMar>
            <w:vAlign w:val="top"/>
          </w:tcPr>
          <w:p>
            <w:pPr>
              <w:spacing w:after="20"/>
            </w:pPr>
            <w:r>
              <w:rPr>
                <w:sz w:val="16"/>
              </w:rPr>
              <w:t>$25k–$60k</w:t>
            </w:r>
          </w:p>
        </w:tc>
      </w:tr>
      <w:tr>
        <w:tc>
          <w:tcPr>
            <w:tcW w:type="dxa" w:w="1800"/>
            <w:tcMar>
              <w:top w:w="70" w:type="dxa"/>
              <w:start w:w="80" w:type="dxa"/>
              <w:bottom w:w="70" w:type="dxa"/>
              <w:end w:w="80" w:type="dxa"/>
            </w:tcMar>
            <w:vAlign w:val="top"/>
          </w:tcPr>
          <w:p>
            <w:pPr>
              <w:spacing w:after="20"/>
            </w:pPr>
            <w:r>
              <w:rPr>
                <w:sz w:val="16"/>
              </w:rPr>
              <w:t>Extended persistence</w:t>
            </w:r>
          </w:p>
        </w:tc>
        <w:tc>
          <w:tcPr>
            <w:tcW w:type="dxa" w:w="4536"/>
            <w:tcMar>
              <w:top w:w="70" w:type="dxa"/>
              <w:start w:w="80" w:type="dxa"/>
              <w:bottom w:w="70" w:type="dxa"/>
              <w:end w:w="80" w:type="dxa"/>
            </w:tcMar>
            <w:vAlign w:val="top"/>
          </w:tcPr>
          <w:p>
            <w:pPr>
              <w:spacing w:after="20"/>
            </w:pPr>
            <w:r>
              <w:rPr>
                <w:sz w:val="16"/>
              </w:rPr>
              <w:t>14-day campaign; shift coverage; higher storage/compute.</w:t>
            </w:r>
          </w:p>
        </w:tc>
        <w:tc>
          <w:tcPr>
            <w:tcW w:type="dxa" w:w="2376"/>
            <w:tcMar>
              <w:top w:w="70" w:type="dxa"/>
              <w:start w:w="80" w:type="dxa"/>
              <w:bottom w:w="70" w:type="dxa"/>
              <w:end w:w="80" w:type="dxa"/>
            </w:tcMar>
            <w:vAlign w:val="top"/>
          </w:tcPr>
          <w:p>
            <w:pPr>
              <w:spacing w:after="20"/>
            </w:pPr>
            <w:r>
              <w:rPr>
                <w:sz w:val="16"/>
              </w:rPr>
              <w:t>~160–300+ skilled hours.</w:t>
            </w:r>
          </w:p>
        </w:tc>
        <w:tc>
          <w:tcPr>
            <w:tcW w:type="dxa" w:w="2376"/>
            <w:tcMar>
              <w:top w:w="70" w:type="dxa"/>
              <w:start w:w="80" w:type="dxa"/>
              <w:bottom w:w="70" w:type="dxa"/>
              <w:end w:w="80" w:type="dxa"/>
            </w:tcMar>
            <w:vAlign w:val="top"/>
          </w:tcPr>
          <w:p>
            <w:pPr>
              <w:spacing w:after="20"/>
            </w:pPr>
            <w:r>
              <w:rPr>
                <w:sz w:val="16"/>
              </w:rPr>
              <w:t>$60k–$120k</w:t>
            </w:r>
          </w:p>
        </w:tc>
      </w:tr>
      <w:tr>
        <w:tc>
          <w:tcPr>
            <w:tcW w:type="dxa" w:w="1800"/>
            <w:tcMar>
              <w:top w:w="70" w:type="dxa"/>
              <w:start w:w="80" w:type="dxa"/>
              <w:bottom w:w="70" w:type="dxa"/>
              <w:end w:w="80" w:type="dxa"/>
            </w:tcMar>
            <w:vAlign w:val="top"/>
          </w:tcPr>
          <w:p>
            <w:pPr>
              <w:spacing w:after="20"/>
            </w:pPr>
            <w:r>
              <w:rPr>
                <w:sz w:val="16"/>
              </w:rPr>
              <w:t>High-fidelity/root</w:t>
            </w:r>
          </w:p>
        </w:tc>
        <w:tc>
          <w:tcPr>
            <w:tcW w:type="dxa" w:w="4536"/>
            <w:tcMar>
              <w:top w:w="70" w:type="dxa"/>
              <w:start w:w="80" w:type="dxa"/>
              <w:bottom w:w="70" w:type="dxa"/>
              <w:end w:w="80" w:type="dxa"/>
            </w:tcMar>
            <w:vAlign w:val="top"/>
          </w:tcPr>
          <w:p>
            <w:pPr>
              <w:spacing w:after="20"/>
            </w:pPr>
            <w:r>
              <w:rPr>
                <w:sz w:val="16"/>
              </w:rPr>
              <w:t>Dedicated environment, deeper privilege mapping, extensive replay/analysis.</w:t>
            </w:r>
          </w:p>
        </w:tc>
        <w:tc>
          <w:tcPr>
            <w:tcW w:type="dxa" w:w="2376"/>
            <w:tcMar>
              <w:top w:w="70" w:type="dxa"/>
              <w:start w:w="80" w:type="dxa"/>
              <w:bottom w:w="70" w:type="dxa"/>
              <w:end w:w="80" w:type="dxa"/>
            </w:tcMar>
            <w:vAlign w:val="top"/>
          </w:tcPr>
          <w:p>
            <w:pPr>
              <w:spacing w:after="20"/>
            </w:pPr>
            <w:r>
              <w:rPr>
                <w:sz w:val="16"/>
              </w:rPr>
              <w:t>Project-specific.</w:t>
            </w:r>
          </w:p>
        </w:tc>
        <w:tc>
          <w:tcPr>
            <w:tcW w:type="dxa" w:w="2376"/>
            <w:tcMar>
              <w:top w:w="70" w:type="dxa"/>
              <w:start w:w="80" w:type="dxa"/>
              <w:bottom w:w="70" w:type="dxa"/>
              <w:end w:w="80" w:type="dxa"/>
            </w:tcMar>
            <w:vAlign w:val="top"/>
          </w:tcPr>
          <w:p>
            <w:pPr>
              <w:spacing w:after="20"/>
            </w:pPr>
            <w:r>
              <w:rPr>
                <w:sz w:val="16"/>
              </w:rPr>
              <w:t>$100k–$250k+</w:t>
            </w:r>
          </w:p>
        </w:tc>
      </w:tr>
    </w:tbl>
    <w:p>
      <w:pPr>
        <w:spacing w:after="0"/>
      </w:pPr>
    </w:p>
    <w:p>
      <w:pPr>
        <w:pStyle w:val="Small"/>
      </w:pPr>
      <w:r>
        <w:t>*Planning envelopes inherited/refined from earlier drafts; not procurement quotes. Re-estimate after platform and staffing assumptions are fixed.</w:t>
      </w:r>
    </w:p>
    <w:p>
      <w:pPr>
        <w:pStyle w:val="Heading2"/>
      </w:pPr>
      <w:r>
        <w:t>16.1 Minimum roles</w:t>
      </w:r>
    </w:p>
    <w:p>
      <w:pPr>
        <w:pStyle w:val="ListBullet"/>
        <w:spacing w:after="40"/>
      </w:pPr>
      <w:r>
        <w:t>Simulation operator / run controller.</w:t>
      </w:r>
    </w:p>
    <w:p>
      <w:pPr>
        <w:pStyle w:val="ListBullet"/>
        <w:spacing w:after="40"/>
      </w:pPr>
      <w:r>
        <w:t>Instrumentation and telemetry analyst.</w:t>
      </w:r>
    </w:p>
    <w:p>
      <w:pPr>
        <w:pStyle w:val="ListBullet"/>
        <w:spacing w:after="40"/>
      </w:pPr>
      <w:r>
        <w:t>Scenario designer / red-team lead for benign marker injection.</w:t>
      </w:r>
    </w:p>
    <w:p>
      <w:pPr>
        <w:pStyle w:val="ListBullet"/>
        <w:spacing w:after="40"/>
      </w:pPr>
      <w:r>
        <w:t>Model-credibility / V&amp;V reviewer independent from scenario author when feasible.</w:t>
      </w:r>
    </w:p>
    <w:p>
      <w:pPr>
        <w:pStyle w:val="ListBullet"/>
        <w:spacing w:after="40"/>
      </w:pPr>
      <w:r>
        <w:t>After-action / documentation lead.</w:t>
      </w:r>
    </w:p>
    <w:p>
      <w:pPr>
        <w:pStyle w:val="ListBullet"/>
        <w:spacing w:after="40"/>
      </w:pPr>
      <w:r>
        <w:t>Optional independent safety observer for unattended, observer-integrity, or later operator-blinding trials.</w:t>
      </w:r>
    </w:p>
    <w:p>
      <w:pPr>
        <w:pStyle w:val="Heading1"/>
      </w:pPr>
      <w:r>
        <w:t>17. Artifact Governance and Multi-AI Review Provenance</w:t>
      </w:r>
    </w:p>
    <w:p>
      <w:r>
        <w:t>Draft Pass 0.2 distinguishes a logical artifact from its file formats. A PDF and DOCX carrying identical content are representations, not separate versions.</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CE7F1"/>
            <w:tcMar>
              <w:top w:w="70" w:type="dxa"/>
              <w:start w:w="80" w:type="dxa"/>
              <w:bottom w:w="70" w:type="dxa"/>
              <w:end w:w="80" w:type="dxa"/>
            </w:tcMar>
            <w:vAlign w:val="center"/>
          </w:tcPr>
          <w:p>
            <w:r>
              <w:rPr>
                <w:b/>
                <w:color w:val="183354"/>
                <w:sz w:val="16"/>
              </w:rPr>
              <w:t>Artifact ID</w:t>
            </w:r>
          </w:p>
        </w:tc>
        <w:tc>
          <w:tcPr>
            <w:tcW w:type="dxa" w:w="5544"/>
            <w:shd w:fill="DCE7F1"/>
            <w:tcMar>
              <w:top w:w="70" w:type="dxa"/>
              <w:start w:w="80" w:type="dxa"/>
              <w:bottom w:w="70" w:type="dxa"/>
              <w:end w:w="80" w:type="dxa"/>
            </w:tcMar>
            <w:vAlign w:val="center"/>
          </w:tcPr>
          <w:p>
            <w:r>
              <w:rPr>
                <w:b/>
                <w:color w:val="183354"/>
                <w:sz w:val="16"/>
              </w:rPr>
              <w:t>Purpose</w:t>
            </w:r>
          </w:p>
        </w:tc>
        <w:tc>
          <w:tcPr>
            <w:tcW w:type="dxa" w:w="3816"/>
            <w:shd w:fill="DCE7F1"/>
            <w:tcMar>
              <w:top w:w="70" w:type="dxa"/>
              <w:start w:w="80" w:type="dxa"/>
              <w:bottom w:w="70" w:type="dxa"/>
              <w:end w:w="80" w:type="dxa"/>
            </w:tcMar>
            <w:vAlign w:val="center"/>
          </w:tcPr>
          <w:p>
            <w:r>
              <w:rPr>
                <w:b/>
                <w:color w:val="183354"/>
                <w:sz w:val="16"/>
              </w:rPr>
              <w:t>Status rule</w:t>
            </w:r>
          </w:p>
        </w:tc>
      </w:tr>
      <w:tr>
        <w:tc>
          <w:tcPr>
            <w:tcW w:type="dxa" w:w="2232"/>
            <w:tcMar>
              <w:top w:w="70" w:type="dxa"/>
              <w:start w:w="80" w:type="dxa"/>
              <w:bottom w:w="70" w:type="dxa"/>
              <w:end w:w="80" w:type="dxa"/>
            </w:tcMar>
            <w:vAlign w:val="top"/>
          </w:tcPr>
          <w:p>
            <w:pPr>
              <w:spacing w:after="20"/>
            </w:pPr>
            <w:r>
              <w:rPr>
                <w:sz w:val="16"/>
              </w:rPr>
              <w:t>OWL-ORIGIN-001</w:t>
            </w:r>
          </w:p>
        </w:tc>
        <w:tc>
          <w:tcPr>
            <w:tcW w:type="dxa" w:w="5544"/>
            <w:tcMar>
              <w:top w:w="70" w:type="dxa"/>
              <w:start w:w="80" w:type="dxa"/>
              <w:bottom w:w="70" w:type="dxa"/>
              <w:end w:w="80" w:type="dxa"/>
            </w:tcMar>
            <w:vAlign w:val="top"/>
          </w:tcPr>
          <w:p>
            <w:pPr>
              <w:spacing w:after="20"/>
            </w:pPr>
            <w:r>
              <w:rPr>
                <w:sz w:val="16"/>
              </w:rPr>
              <w:t>Original brainstorm / lineage record.</w:t>
            </w:r>
          </w:p>
        </w:tc>
        <w:tc>
          <w:tcPr>
            <w:tcW w:type="dxa" w:w="3816"/>
            <w:tcMar>
              <w:top w:w="70" w:type="dxa"/>
              <w:start w:w="80" w:type="dxa"/>
              <w:bottom w:w="70" w:type="dxa"/>
              <w:end w:w="80" w:type="dxa"/>
            </w:tcMar>
            <w:vAlign w:val="top"/>
          </w:tcPr>
          <w:p>
            <w:pPr>
              <w:spacing w:after="20"/>
            </w:pPr>
            <w:r>
              <w:rPr>
                <w:sz w:val="16"/>
              </w:rPr>
              <w:t>Never overwritten; archival.</w:t>
            </w:r>
          </w:p>
        </w:tc>
      </w:tr>
      <w:tr>
        <w:tc>
          <w:tcPr>
            <w:tcW w:type="dxa" w:w="2232"/>
            <w:tcMar>
              <w:top w:w="70" w:type="dxa"/>
              <w:start w:w="80" w:type="dxa"/>
              <w:bottom w:w="70" w:type="dxa"/>
              <w:end w:w="80" w:type="dxa"/>
            </w:tcMar>
            <w:vAlign w:val="top"/>
          </w:tcPr>
          <w:p>
            <w:pPr>
              <w:spacing w:after="20"/>
            </w:pPr>
            <w:r>
              <w:rPr>
                <w:sz w:val="16"/>
              </w:rPr>
              <w:t>OWL-DOCTRINE-001</w:t>
            </w:r>
          </w:p>
        </w:tc>
        <w:tc>
          <w:tcPr>
            <w:tcW w:type="dxa" w:w="5544"/>
            <w:tcMar>
              <w:top w:w="70" w:type="dxa"/>
              <w:start w:w="80" w:type="dxa"/>
              <w:bottom w:w="70" w:type="dxa"/>
              <w:end w:w="80" w:type="dxa"/>
            </w:tcMar>
            <w:vAlign w:val="top"/>
          </w:tcPr>
          <w:p>
            <w:pPr>
              <w:spacing w:after="20"/>
            </w:pPr>
            <w:r>
              <w:rPr>
                <w:sz w:val="16"/>
              </w:rPr>
              <w:t>Conceptual doctrine and assumptions.</w:t>
            </w:r>
          </w:p>
        </w:tc>
        <w:tc>
          <w:tcPr>
            <w:tcW w:type="dxa" w:w="3816"/>
            <w:tcMar>
              <w:top w:w="70" w:type="dxa"/>
              <w:start w:w="80" w:type="dxa"/>
              <w:bottom w:w="70" w:type="dxa"/>
              <w:end w:w="80" w:type="dxa"/>
            </w:tcMar>
            <w:vAlign w:val="top"/>
          </w:tcPr>
          <w:p>
            <w:pPr>
              <w:spacing w:after="20"/>
            </w:pPr>
            <w:r>
              <w:rPr>
                <w:sz w:val="16"/>
              </w:rPr>
              <w:t>May be revised independently of protocol.</w:t>
            </w:r>
          </w:p>
        </w:tc>
      </w:tr>
      <w:tr>
        <w:tc>
          <w:tcPr>
            <w:tcW w:type="dxa" w:w="2232"/>
            <w:tcMar>
              <w:top w:w="70" w:type="dxa"/>
              <w:start w:w="80" w:type="dxa"/>
              <w:bottom w:w="70" w:type="dxa"/>
              <w:end w:w="80" w:type="dxa"/>
            </w:tcMar>
            <w:vAlign w:val="top"/>
          </w:tcPr>
          <w:p>
            <w:pPr>
              <w:spacing w:after="20"/>
            </w:pPr>
            <w:r>
              <w:rPr>
                <w:sz w:val="16"/>
              </w:rPr>
              <w:t>OWL-MODEL-001</w:t>
            </w:r>
          </w:p>
        </w:tc>
        <w:tc>
          <w:tcPr>
            <w:tcW w:type="dxa" w:w="5544"/>
            <w:tcMar>
              <w:top w:w="70" w:type="dxa"/>
              <w:start w:w="80" w:type="dxa"/>
              <w:bottom w:w="70" w:type="dxa"/>
              <w:end w:w="80" w:type="dxa"/>
            </w:tcMar>
            <w:vAlign w:val="top"/>
          </w:tcPr>
          <w:p>
            <w:pPr>
              <w:spacing w:after="20"/>
            </w:pPr>
            <w:r>
              <w:rPr>
                <w:sz w:val="16"/>
              </w:rPr>
              <w:t>Authoritative topology, privilege map, Window Object schema, metric dictionary.</w:t>
            </w:r>
          </w:p>
        </w:tc>
        <w:tc>
          <w:tcPr>
            <w:tcW w:type="dxa" w:w="3816"/>
            <w:tcMar>
              <w:top w:w="70" w:type="dxa"/>
              <w:start w:w="80" w:type="dxa"/>
              <w:bottom w:w="70" w:type="dxa"/>
              <w:end w:w="80" w:type="dxa"/>
            </w:tcMar>
            <w:vAlign w:val="top"/>
          </w:tcPr>
          <w:p>
            <w:pPr>
              <w:spacing w:after="20"/>
            </w:pPr>
            <w:r>
              <w:rPr>
                <w:sz w:val="16"/>
              </w:rPr>
              <w:t>Single source for architecture definitions.</w:t>
            </w:r>
          </w:p>
        </w:tc>
      </w:tr>
      <w:tr>
        <w:tc>
          <w:tcPr>
            <w:tcW w:type="dxa" w:w="2232"/>
            <w:tcMar>
              <w:top w:w="70" w:type="dxa"/>
              <w:start w:w="80" w:type="dxa"/>
              <w:bottom w:w="70" w:type="dxa"/>
              <w:end w:w="80" w:type="dxa"/>
            </w:tcMar>
            <w:vAlign w:val="top"/>
          </w:tcPr>
          <w:p>
            <w:pPr>
              <w:spacing w:after="20"/>
            </w:pPr>
            <w:r>
              <w:rPr>
                <w:sz w:val="16"/>
              </w:rPr>
              <w:t>OWL-PROTOCOL-001</w:t>
            </w:r>
          </w:p>
        </w:tc>
        <w:tc>
          <w:tcPr>
            <w:tcW w:type="dxa" w:w="5544"/>
            <w:tcMar>
              <w:top w:w="70" w:type="dxa"/>
              <w:start w:w="80" w:type="dxa"/>
              <w:bottom w:w="70" w:type="dxa"/>
              <w:end w:w="80" w:type="dxa"/>
            </w:tcMar>
            <w:vAlign w:val="top"/>
          </w:tcPr>
          <w:p>
            <w:pPr>
              <w:spacing w:after="20"/>
            </w:pPr>
            <w:r>
              <w:rPr>
                <w:sz w:val="16"/>
              </w:rPr>
              <w:t>Executable simulation protocol and run gates.</w:t>
            </w:r>
          </w:p>
        </w:tc>
        <w:tc>
          <w:tcPr>
            <w:tcW w:type="dxa" w:w="3816"/>
            <w:tcMar>
              <w:top w:w="70" w:type="dxa"/>
              <w:start w:w="80" w:type="dxa"/>
              <w:bottom w:w="70" w:type="dxa"/>
              <w:end w:w="80" w:type="dxa"/>
            </w:tcMar>
            <w:vAlign w:val="top"/>
          </w:tcPr>
          <w:p>
            <w:pPr>
              <w:spacing w:after="20"/>
            </w:pPr>
            <w:r>
              <w:rPr>
                <w:sz w:val="16"/>
              </w:rPr>
              <w:t>This Draft Pass 0.2 is the precursor.</w:t>
            </w:r>
          </w:p>
        </w:tc>
      </w:tr>
      <w:tr>
        <w:tc>
          <w:tcPr>
            <w:tcW w:type="dxa" w:w="2232"/>
            <w:tcMar>
              <w:top w:w="70" w:type="dxa"/>
              <w:start w:w="80" w:type="dxa"/>
              <w:bottom w:w="70" w:type="dxa"/>
              <w:end w:w="80" w:type="dxa"/>
            </w:tcMar>
            <w:vAlign w:val="top"/>
          </w:tcPr>
          <w:p>
            <w:pPr>
              <w:spacing w:after="20"/>
            </w:pPr>
            <w:r>
              <w:rPr>
                <w:sz w:val="16"/>
              </w:rPr>
              <w:t>OWL-ROOT-ANNEX-001</w:t>
            </w:r>
          </w:p>
        </w:tc>
        <w:tc>
          <w:tcPr>
            <w:tcW w:type="dxa" w:w="5544"/>
            <w:tcMar>
              <w:top w:w="70" w:type="dxa"/>
              <w:start w:w="80" w:type="dxa"/>
              <w:bottom w:w="70" w:type="dxa"/>
              <w:end w:w="80" w:type="dxa"/>
            </w:tcMar>
            <w:vAlign w:val="top"/>
          </w:tcPr>
          <w:p>
            <w:pPr>
              <w:spacing w:after="20"/>
            </w:pPr>
            <w:r>
              <w:rPr>
                <w:sz w:val="16"/>
              </w:rPr>
              <w:t>Root-conditioned failure / privilege testing annex.</w:t>
            </w:r>
          </w:p>
        </w:tc>
        <w:tc>
          <w:tcPr>
            <w:tcW w:type="dxa" w:w="3816"/>
            <w:tcMar>
              <w:top w:w="70" w:type="dxa"/>
              <w:start w:w="80" w:type="dxa"/>
              <w:bottom w:w="70" w:type="dxa"/>
              <w:end w:w="80" w:type="dxa"/>
            </w:tcMar>
            <w:vAlign w:val="top"/>
          </w:tcPr>
          <w:p>
            <w:pPr>
              <w:spacing w:after="20"/>
            </w:pPr>
            <w:r>
              <w:rPr>
                <w:sz w:val="16"/>
              </w:rPr>
              <w:t>Remains gated until MVP data is credible.</w:t>
            </w:r>
          </w:p>
        </w:tc>
      </w:tr>
      <w:tr>
        <w:tc>
          <w:tcPr>
            <w:tcW w:type="dxa" w:w="2232"/>
            <w:tcMar>
              <w:top w:w="70" w:type="dxa"/>
              <w:start w:w="80" w:type="dxa"/>
              <w:bottom w:w="70" w:type="dxa"/>
              <w:end w:w="80" w:type="dxa"/>
            </w:tcMar>
            <w:vAlign w:val="top"/>
          </w:tcPr>
          <w:p>
            <w:pPr>
              <w:spacing w:after="20"/>
            </w:pPr>
            <w:r>
              <w:rPr>
                <w:sz w:val="16"/>
              </w:rPr>
              <w:t>OWL-AAR-###</w:t>
            </w:r>
          </w:p>
        </w:tc>
        <w:tc>
          <w:tcPr>
            <w:tcW w:type="dxa" w:w="5544"/>
            <w:tcMar>
              <w:top w:w="70" w:type="dxa"/>
              <w:start w:w="80" w:type="dxa"/>
              <w:bottom w:w="70" w:type="dxa"/>
              <w:end w:w="80" w:type="dxa"/>
            </w:tcMar>
            <w:vAlign w:val="top"/>
          </w:tcPr>
          <w:p>
            <w:pPr>
              <w:spacing w:after="20"/>
            </w:pPr>
            <w:r>
              <w:rPr>
                <w:sz w:val="16"/>
              </w:rPr>
              <w:t>After-action/result records.</w:t>
            </w:r>
          </w:p>
        </w:tc>
        <w:tc>
          <w:tcPr>
            <w:tcW w:type="dxa" w:w="3816"/>
            <w:tcMar>
              <w:top w:w="70" w:type="dxa"/>
              <w:start w:w="80" w:type="dxa"/>
              <w:bottom w:w="70" w:type="dxa"/>
              <w:end w:w="80" w:type="dxa"/>
            </w:tcMar>
            <w:vAlign w:val="top"/>
          </w:tcPr>
          <w:p>
            <w:pPr>
              <w:spacing w:after="20"/>
            </w:pPr>
            <w:r>
              <w:rPr>
                <w:sz w:val="16"/>
              </w:rPr>
              <w:t>Immutable after approval; references exact model/scenario version.</w:t>
            </w:r>
          </w:p>
        </w:tc>
      </w:tr>
    </w:tbl>
    <w:p>
      <w:pPr>
        <w:spacing w:after="0"/>
      </w:pPr>
    </w:p>
    <w:p>
      <w:pPr>
        <w:pStyle w:val="Heading2"/>
      </w:pPr>
      <w:r>
        <w:t>17.1 Required AI contribution provenance header</w:t>
      </w:r>
    </w:p>
    <w:p>
      <w:pPr>
        <w:pStyle w:val="Mono"/>
      </w:pPr>
      <w:r>
        <w:t>Contributor:</w:t>
        <w:br/>
        <w:t>Input documents seen:</w:t>
        <w:br/>
        <w:t>Prior AI responses seen:</w:t>
        <w:br/>
        <w:t>Role: independent analysis / red team / synthesis / documentation</w:t>
        <w:br/>
        <w:t>New proposals:</w:t>
        <w:br/>
        <w:t>Inherited proposals:</w:t>
        <w:br/>
        <w:t>Disagreements:</w:t>
        <w:br/>
        <w:t>Confidence / uncertainty:</w:t>
        <w:br/>
        <w:t>Date / model or system identifier:</w:t>
      </w:r>
    </w:p>
    <w:p>
      <w:r>
        <w:t>This prevents later convergence from being misread as independent validation. Cross-informed agreement is still valuable, but it must be labeled as dependent review rather than independent replication.</w:t>
      </w:r>
    </w:p>
    <w:p>
      <w:pPr>
        <w:pStyle w:val="Heading1"/>
      </w:pPr>
      <w:r>
        <w:t>18. Prebrief, Debrief, and After-Action Structure</w:t>
      </w:r>
    </w:p>
    <w:tbl>
      <w:tblPr>
        <w:tblStyle w:val="TableGrid"/>
        <w:tblW w:type="auto" w:w="0"/>
        <w:jc w:val="center"/>
        <w:tblLook w:firstColumn="1" w:firstRow="1" w:lastColumn="0" w:lastRow="0" w:noHBand="0" w:noVBand="1" w:val="04A0"/>
      </w:tblPr>
      <w:tblGrid>
        <w:gridCol w:w="5227"/>
        <w:gridCol w:w="5227"/>
      </w:tblGrid>
      <w:tr>
        <w:tc>
          <w:tcPr>
            <w:tcW w:type="dxa" w:w="2232"/>
            <w:shd w:fill="DCE7F1"/>
            <w:tcMar>
              <w:top w:w="70" w:type="dxa"/>
              <w:start w:w="80" w:type="dxa"/>
              <w:bottom w:w="70" w:type="dxa"/>
              <w:end w:w="80" w:type="dxa"/>
            </w:tcMar>
            <w:vAlign w:val="center"/>
          </w:tcPr>
          <w:p>
            <w:r>
              <w:rPr>
                <w:b/>
                <w:color w:val="183354"/>
                <w:sz w:val="16"/>
              </w:rPr>
              <w:t>Stage</w:t>
            </w:r>
          </w:p>
        </w:tc>
        <w:tc>
          <w:tcPr>
            <w:tcW w:type="dxa" w:w="8496"/>
            <w:shd w:fill="DCE7F1"/>
            <w:tcMar>
              <w:top w:w="70" w:type="dxa"/>
              <w:start w:w="80" w:type="dxa"/>
              <w:bottom w:w="70" w:type="dxa"/>
              <w:end w:w="80" w:type="dxa"/>
            </w:tcMar>
            <w:vAlign w:val="center"/>
          </w:tcPr>
          <w:p>
            <w:r>
              <w:rPr>
                <w:b/>
                <w:color w:val="183354"/>
                <w:sz w:val="16"/>
              </w:rPr>
              <w:t>Required outputs</w:t>
            </w:r>
          </w:p>
        </w:tc>
      </w:tr>
      <w:tr>
        <w:tc>
          <w:tcPr>
            <w:tcW w:type="dxa" w:w="2232"/>
            <w:tcMar>
              <w:top w:w="70" w:type="dxa"/>
              <w:start w:w="80" w:type="dxa"/>
              <w:bottom w:w="70" w:type="dxa"/>
              <w:end w:w="80" w:type="dxa"/>
            </w:tcMar>
            <w:vAlign w:val="top"/>
          </w:tcPr>
          <w:p>
            <w:pPr>
              <w:spacing w:after="20"/>
            </w:pPr>
            <w:r>
              <w:rPr>
                <w:sz w:val="16"/>
              </w:rPr>
              <w:t>Prebrief</w:t>
            </w:r>
          </w:p>
        </w:tc>
        <w:tc>
          <w:tcPr>
            <w:tcW w:type="dxa" w:w="8496"/>
            <w:tcMar>
              <w:top w:w="70" w:type="dxa"/>
              <w:start w:w="80" w:type="dxa"/>
              <w:bottom w:w="70" w:type="dxa"/>
              <w:end w:w="80" w:type="dxa"/>
            </w:tcMar>
            <w:vAlign w:val="top"/>
          </w:tcPr>
          <w:p>
            <w:pPr>
              <w:spacing w:after="20"/>
            </w:pPr>
            <w:r>
              <w:rPr>
                <w:sz w:val="16"/>
              </w:rPr>
              <w:t>Run objective; hypotheses/nulls; known risks; stop criteria; role assignments; instrumentation status; version IDs.</w:t>
            </w:r>
          </w:p>
        </w:tc>
      </w:tr>
      <w:tr>
        <w:tc>
          <w:tcPr>
            <w:tcW w:type="dxa" w:w="2232"/>
            <w:tcMar>
              <w:top w:w="70" w:type="dxa"/>
              <w:start w:w="80" w:type="dxa"/>
              <w:bottom w:w="70" w:type="dxa"/>
              <w:end w:w="80" w:type="dxa"/>
            </w:tcMar>
            <w:vAlign w:val="top"/>
          </w:tcPr>
          <w:p>
            <w:pPr>
              <w:spacing w:after="20"/>
            </w:pPr>
            <w:r>
              <w:rPr>
                <w:sz w:val="16"/>
              </w:rPr>
              <w:t>Hot debrief</w:t>
            </w:r>
          </w:p>
        </w:tc>
        <w:tc>
          <w:tcPr>
            <w:tcW w:type="dxa" w:w="8496"/>
            <w:tcMar>
              <w:top w:w="70" w:type="dxa"/>
              <w:start w:w="80" w:type="dxa"/>
              <w:bottom w:w="70" w:type="dxa"/>
              <w:end w:w="80" w:type="dxa"/>
            </w:tcMar>
            <w:vAlign w:val="top"/>
          </w:tcPr>
          <w:p>
            <w:pPr>
              <w:spacing w:after="20"/>
            </w:pPr>
            <w:r>
              <w:rPr>
                <w:sz w:val="16"/>
              </w:rPr>
              <w:t>What happened; what surprised operators; instrumentation disagreements; deviations from protocol.</w:t>
            </w:r>
          </w:p>
        </w:tc>
      </w:tr>
      <w:tr>
        <w:tc>
          <w:tcPr>
            <w:tcW w:type="dxa" w:w="2232"/>
            <w:tcMar>
              <w:top w:w="70" w:type="dxa"/>
              <w:start w:w="80" w:type="dxa"/>
              <w:bottom w:w="70" w:type="dxa"/>
              <w:end w:w="80" w:type="dxa"/>
            </w:tcMar>
            <w:vAlign w:val="top"/>
          </w:tcPr>
          <w:p>
            <w:pPr>
              <w:spacing w:after="20"/>
            </w:pPr>
            <w:r>
              <w:rPr>
                <w:sz w:val="16"/>
              </w:rPr>
              <w:t>Technical reconciliation</w:t>
            </w:r>
          </w:p>
        </w:tc>
        <w:tc>
          <w:tcPr>
            <w:tcW w:type="dxa" w:w="8496"/>
            <w:tcMar>
              <w:top w:w="70" w:type="dxa"/>
              <w:start w:w="80" w:type="dxa"/>
              <w:bottom w:w="70" w:type="dxa"/>
              <w:end w:w="80" w:type="dxa"/>
            </w:tcMar>
            <w:vAlign w:val="top"/>
          </w:tcPr>
          <w:p>
            <w:pPr>
              <w:spacing w:after="20"/>
            </w:pPr>
            <w:r>
              <w:rPr>
                <w:sz w:val="16"/>
              </w:rPr>
              <w:t>BTEC-A/B; provenance; time/sequence; replay; sensor independence; uncertainty.</w:t>
            </w:r>
          </w:p>
        </w:tc>
      </w:tr>
      <w:tr>
        <w:tc>
          <w:tcPr>
            <w:tcW w:type="dxa" w:w="2232"/>
            <w:tcMar>
              <w:top w:w="70" w:type="dxa"/>
              <w:start w:w="80" w:type="dxa"/>
              <w:bottom w:w="70" w:type="dxa"/>
              <w:end w:w="80" w:type="dxa"/>
            </w:tcMar>
            <w:vAlign w:val="top"/>
          </w:tcPr>
          <w:p>
            <w:pPr>
              <w:spacing w:after="20"/>
            </w:pPr>
            <w:r>
              <w:rPr>
                <w:sz w:val="16"/>
              </w:rPr>
              <w:t>Red-team challenge</w:t>
            </w:r>
          </w:p>
        </w:tc>
        <w:tc>
          <w:tcPr>
            <w:tcW w:type="dxa" w:w="8496"/>
            <w:tcMar>
              <w:top w:w="70" w:type="dxa"/>
              <w:start w:w="80" w:type="dxa"/>
              <w:bottom w:w="70" w:type="dxa"/>
              <w:end w:w="80" w:type="dxa"/>
            </w:tcMar>
            <w:vAlign w:val="top"/>
          </w:tcPr>
          <w:p>
            <w:pPr>
              <w:spacing w:after="20"/>
            </w:pPr>
            <w:r>
              <w:rPr>
                <w:sz w:val="16"/>
              </w:rPr>
              <w:t>At least two alternative explanations for every major positive finding; identify confirmation paths.</w:t>
            </w:r>
          </w:p>
        </w:tc>
      </w:tr>
      <w:tr>
        <w:tc>
          <w:tcPr>
            <w:tcW w:type="dxa" w:w="2232"/>
            <w:tcMar>
              <w:top w:w="70" w:type="dxa"/>
              <w:start w:w="80" w:type="dxa"/>
              <w:bottom w:w="70" w:type="dxa"/>
              <w:end w:w="80" w:type="dxa"/>
            </w:tcMar>
            <w:vAlign w:val="top"/>
          </w:tcPr>
          <w:p>
            <w:pPr>
              <w:spacing w:after="20"/>
            </w:pPr>
            <w:r>
              <w:rPr>
                <w:sz w:val="16"/>
              </w:rPr>
              <w:t>Disposition review</w:t>
            </w:r>
          </w:p>
        </w:tc>
        <w:tc>
          <w:tcPr>
            <w:tcW w:type="dxa" w:w="8496"/>
            <w:tcMar>
              <w:top w:w="70" w:type="dxa"/>
              <w:start w:w="80" w:type="dxa"/>
              <w:bottom w:w="70" w:type="dxa"/>
              <w:end w:w="80" w:type="dxa"/>
            </w:tcMar>
            <w:vAlign w:val="top"/>
          </w:tcPr>
          <w:p>
            <w:pPr>
              <w:spacing w:after="20"/>
            </w:pPr>
            <w:r>
              <w:rPr>
                <w:sz w:val="16"/>
              </w:rPr>
              <w:t>Supported / weakened / inconclusive / falsified / blocked; authorize or deny next campaign.</w:t>
            </w:r>
          </w:p>
        </w:tc>
      </w:tr>
      <w:tr>
        <w:tc>
          <w:tcPr>
            <w:tcW w:type="dxa" w:w="2232"/>
            <w:tcMar>
              <w:top w:w="70" w:type="dxa"/>
              <w:start w:w="80" w:type="dxa"/>
              <w:bottom w:w="70" w:type="dxa"/>
              <w:end w:w="80" w:type="dxa"/>
            </w:tcMar>
            <w:vAlign w:val="top"/>
          </w:tcPr>
          <w:p>
            <w:pPr>
              <w:spacing w:after="20"/>
            </w:pPr>
            <w:r>
              <w:rPr>
                <w:sz w:val="16"/>
              </w:rPr>
              <w:t>Documentation update</w:t>
            </w:r>
          </w:p>
        </w:tc>
        <w:tc>
          <w:tcPr>
            <w:tcW w:type="dxa" w:w="8496"/>
            <w:tcMar>
              <w:top w:w="70" w:type="dxa"/>
              <w:start w:w="80" w:type="dxa"/>
              <w:bottom w:w="70" w:type="dxa"/>
              <w:end w:w="80" w:type="dxa"/>
            </w:tcMar>
            <w:vAlign w:val="top"/>
          </w:tcPr>
          <w:p>
            <w:pPr>
              <w:spacing w:after="20"/>
            </w:pPr>
            <w:r>
              <w:rPr>
                <w:sz w:val="16"/>
              </w:rPr>
              <w:t>Change log; metric dictionary updates; artifact version; no silent canonization of unverified mechanisms.</w:t>
            </w:r>
          </w:p>
        </w:tc>
      </w:tr>
    </w:tbl>
    <w:p>
      <w:pPr>
        <w:spacing w:after="0"/>
      </w:pPr>
    </w:p>
    <w:p>
      <w:pPr>
        <w:pStyle w:val="Heading1"/>
      </w:pPr>
      <w:r>
        <w:t>19. Consolidated Action Plan for Pass 0.2 → Executable v0.3</w:t>
      </w:r>
    </w:p>
    <w:p>
      <w:pPr>
        <w:pStyle w:val="ListNumber"/>
        <w:spacing w:after="40"/>
      </w:pPr>
      <w:r>
        <w:t>Approve the 0.2 glossary, topology map, privilege map, Window Object schema, and unified metric dictionary as the working model baseline.</w:t>
      </w:r>
    </w:p>
    <w:p>
      <w:pPr>
        <w:pStyle w:val="ListNumber"/>
        <w:spacing w:after="40"/>
      </w:pPr>
      <w:r>
        <w:t>Assign artifact IDs and create a change log that treats DOCX/PDF/MD as representations of the same logical artifact where content matches.</w:t>
      </w:r>
    </w:p>
    <w:p>
      <w:pPr>
        <w:pStyle w:val="ListNumber"/>
        <w:spacing w:after="40"/>
      </w:pPr>
      <w:r>
        <w:t>Write the six MVP scenario cards (P0–P5) with exact inputs, nulls, positive/negative controls, replications, metrics, and stop conditions.</w:t>
      </w:r>
    </w:p>
    <w:p>
      <w:pPr>
        <w:pStyle w:val="ListNumber"/>
        <w:spacing w:after="40"/>
      </w:pPr>
      <w:r>
        <w:t>Engineer or simulate at least one failure-independent observation path and a deliberate telemetry-fault test.</w:t>
      </w:r>
    </w:p>
    <w:p>
      <w:pPr>
        <w:pStyle w:val="ListNumber"/>
        <w:spacing w:after="40"/>
      </w:pPr>
      <w:r>
        <w:t>Implement BTEC-A, BTEC-B, and lineage/provenance records with immutable event/carrier IDs.</w:t>
      </w:r>
    </w:p>
    <w:p>
      <w:pPr>
        <w:pStyle w:val="ListNumber"/>
        <w:spacing w:after="40"/>
      </w:pPr>
      <w:r>
        <w:t>Implement the expanded time model: native clock, simulation time, monotonic time, sequence number, authority, pause/rollback, conversion history.</w:t>
      </w:r>
    </w:p>
    <w:p>
      <w:pPr>
        <w:pStyle w:val="ListNumber"/>
        <w:spacing w:after="40"/>
      </w:pPr>
      <w:r>
        <w:t>Run the MVP until G0–G6 exit criteria pass; do not advance merely because a calendar window has elapsed.</w:t>
      </w:r>
    </w:p>
    <w:p>
      <w:pPr>
        <w:pStyle w:val="ListNumber"/>
        <w:spacing w:after="40"/>
      </w:pPr>
      <w:r>
        <w:t>Use MVP results to choose whether the next campaign is 7-day controlled, 14-day persistence, temporal, or blocked for redesign.</w:t>
      </w:r>
    </w:p>
    <w:p>
      <w:pPr>
        <w:pStyle w:val="ListNumber"/>
        <w:spacing w:after="40"/>
      </w:pPr>
      <w:r>
        <w:t>Only after credible temporal/service mapping should the Root Annex execute R0–R4 privilege tests.</w:t>
      </w:r>
    </w:p>
    <w:p>
      <w:pPr>
        <w:pStyle w:val="ListNumber"/>
        <w:spacing w:after="40"/>
      </w:pPr>
      <w:r>
        <w:t>Circulate the resulting v0.3 draft and AAR to the multi-AI team with provenance headers so independent vs cross-informed analysis remains visible.</w:t>
      </w:r>
    </w:p>
    <w:p>
      <w:pPr>
        <w:pStyle w:val="Heading1"/>
      </w:pPr>
      <w:r>
        <w:t>20. Deferred but Required Future Elements</w:t>
      </w:r>
    </w:p>
    <w:p>
      <w:pPr>
        <w:pStyle w:val="ListBullet"/>
        <w:spacing w:after="40"/>
      </w:pPr>
      <w:r>
        <w:t>Formal statistical power/sample-size plan once expected effect sizes are known. Draft 0.2 uses minimum replications for engineering validation, not inferential-statistics claims.</w:t>
      </w:r>
    </w:p>
    <w:p>
      <w:pPr>
        <w:pStyle w:val="ListBullet"/>
        <w:spacing w:after="40"/>
      </w:pPr>
      <w:r>
        <w:t>A machine-readable event/provenance schema and query format for automated reconciliation.</w:t>
      </w:r>
    </w:p>
    <w:p>
      <w:pPr>
        <w:pStyle w:val="ListBullet"/>
        <w:spacing w:after="40"/>
      </w:pPr>
      <w:r>
        <w:t>Formal threat model identifying adversary capabilities, objectives, and assumed knowledge for the Net Defense exercise.</w:t>
      </w:r>
    </w:p>
    <w:p>
      <w:pPr>
        <w:pStyle w:val="ListBullet"/>
        <w:spacing w:after="40"/>
      </w:pPr>
      <w:r>
        <w:t>Performance/load testing for hundreds or thousands of simultaneous windows after basic mechanics are validated.</w:t>
      </w:r>
    </w:p>
    <w:p>
      <w:pPr>
        <w:pStyle w:val="ListBullet"/>
        <w:spacing w:after="40"/>
      </w:pPr>
      <w:r>
        <w:t>Model drift detection across software revisions so an old “clean” baseline is not silently reused after architecture changes.</w:t>
      </w:r>
    </w:p>
    <w:p>
      <w:pPr>
        <w:pStyle w:val="ListBullet"/>
        <w:spacing w:after="40"/>
      </w:pPr>
      <w:r>
        <w:t>Cost model tied to actual compute platform, storage rates, staffing rates, and fidelity requirements.</w:t>
      </w:r>
    </w:p>
    <w:p>
      <w:pPr>
        <w:pStyle w:val="ListBullet"/>
        <w:spacing w:after="40"/>
      </w:pPr>
      <w:r>
        <w:t>A canon/governance decision on ONESTAMP authority remains organizational and is not assigned unilaterally by this draft.</w:t>
      </w:r>
    </w:p>
    <w:p>
      <w:pPr>
        <w:pStyle w:val="Heading1"/>
      </w:pPr>
      <w:r>
        <w:t>21. References and Working Source Set</w:t>
      </w:r>
    </w:p>
    <w:p>
      <w:pPr>
        <w:pStyle w:val="Heading2"/>
      </w:pPr>
      <w:r>
        <w:t>21.1 Internal working documents</w:t>
      </w:r>
    </w:p>
    <w:p>
      <w:pPr>
        <w:pStyle w:val="ListBullet"/>
        <w:spacing w:after="40"/>
      </w:pPr>
      <w:r>
        <w:t>Open_Window_Simulation_Lab_Preliminary_Draft_v0.1 (ChatGPT; 9 Aug 2026).</w:t>
      </w:r>
    </w:p>
    <w:p>
      <w:pPr>
        <w:pStyle w:val="ListBullet"/>
        <w:spacing w:after="40"/>
      </w:pPr>
      <w:r>
        <w:t>OAL-Open-Window-Infection-Scenario-v1.0 (Claude structuring layer; 9 Aug 2026).</w:t>
      </w:r>
    </w:p>
    <w:p>
      <w:pPr>
        <w:pStyle w:val="ListBullet"/>
        <w:spacing w:after="40"/>
      </w:pPr>
      <w:r>
        <w:t>OAL-Open-Window-Doctrine-Unified-Draft-v2.0 (Claude synthesis; 9 Aug 2026).</w:t>
      </w:r>
    </w:p>
    <w:p>
      <w:pPr>
        <w:pStyle w:val="ListBullet"/>
        <w:spacing w:after="40"/>
      </w:pPr>
      <w:r>
        <w:t>Open_Window_Doctrine_Simulation_Lab_Protocol_Draft_0.1 (Grok synthesis; 9 Aug 2026).</w:t>
      </w:r>
    </w:p>
    <w:p>
      <w:pPr>
        <w:pStyle w:val="ListBullet"/>
        <w:spacing w:after="40"/>
      </w:pPr>
      <w:r>
        <w:t>Google Gemini direct response supplied in multi-AI pass-through (9–10 Aug 2026).</w:t>
      </w:r>
    </w:p>
    <w:p>
      <w:pPr>
        <w:pStyle w:val="ListBullet"/>
        <w:spacing w:after="40"/>
      </w:pPr>
      <w:r>
        <w:t>Open Window Simulation Lab — Consolidated Alternative Analysis &amp; Action Plan (Perplexity AI; 10 Aug 2026).</w:t>
      </w:r>
    </w:p>
    <w:p>
      <w:pPr>
        <w:pStyle w:val="Heading2"/>
      </w:pPr>
      <w:r>
        <w:t>21.2 External methodological references</w:t>
      </w:r>
    </w:p>
    <w:p>
      <w:pPr>
        <w:pStyle w:val="ListBullet"/>
        <w:spacing w:after="40"/>
      </w:pPr>
      <w:r>
        <w:t>NASA. NASA-STD-7009B, Standard for Models and Simulations. Approved 5 March 2024. https://standards.nasa.gov/standard/NASA/NASA-STD-7009</w:t>
      </w:r>
    </w:p>
    <w:p>
      <w:pPr>
        <w:pStyle w:val="ListBullet"/>
        <w:spacing w:after="40"/>
      </w:pPr>
      <w:r>
        <w:t>NASA. NASA-HDBK-7009B, NASA Handbook for Models and Simulations: An Implementation Guide for NASA-STD-7009B. Approved 3 February 2026. https://standards.nasa.gov/standard/NASA/NASA-HDBK-7009</w:t>
      </w:r>
    </w:p>
    <w:p>
      <w:pPr>
        <w:pStyle w:val="ListBullet"/>
        <w:spacing w:after="40"/>
      </w:pPr>
      <w:r>
        <w:t>NIST. SP 800-160 Vol. 1 Rev. 1, Engineering Trustworthy Secure Systems. https://csrc.nist.gov/pubs/sp/800/160/v1/r1/final</w:t>
      </w:r>
    </w:p>
    <w:p>
      <w:pPr>
        <w:pStyle w:val="ListBullet"/>
        <w:spacing w:after="40"/>
      </w:pPr>
      <w:r>
        <w:t>NIST. SP 800-160 Vol. 2 Rev. 1, Developing Cyber-Resilient Systems: A Systems Security Engineering Approach. https://csrc.nist.gov/pubs/sp/800/160/v2/r1/final</w:t>
      </w:r>
    </w:p>
    <w:p>
      <w:pPr>
        <w:pStyle w:val="ListBullet"/>
        <w:spacing w:after="40"/>
      </w:pPr>
      <w:r>
        <w:t>INACSL. Healthcare Simulation Standards of Best Practice. https://www.inacsl.org/healthcare-simulation-standards-of-best-practice-</w:t>
      </w:r>
    </w:p>
    <w:tbl>
      <w:tblPr>
        <w:tblStyle w:val="TableGrid"/>
        <w:tblW w:type="auto" w:w="0"/>
        <w:jc w:val="center"/>
        <w:tblLook w:firstColumn="1" w:firstRow="1" w:lastColumn="0" w:lastRow="0" w:noHBand="0" w:noVBand="1" w:val="04A0"/>
      </w:tblPr>
      <w:tblGrid>
        <w:gridCol w:w="10454"/>
      </w:tblGrid>
      <w:tr>
        <w:tc>
          <w:tcPr>
            <w:tcW w:type="dxa" w:w="10454"/>
            <w:shd w:fill="EAF2F8"/>
            <w:tcMar>
              <w:top w:w="100" w:type="dxa"/>
              <w:start w:w="130" w:type="dxa"/>
              <w:bottom w:w="100" w:type="dxa"/>
              <w:end w:w="130" w:type="dxa"/>
            </w:tcMar>
          </w:tcPr>
          <w:p>
            <w:pPr>
              <w:pStyle w:val="Callout"/>
            </w:pPr>
            <w:r>
              <w:t>END-OF-PASS STATUS: Draft Pass 0.2 establishes the hardened experimental architecture. It does not ONESTAMP the Open Window Doctrine, prove the Aperture Hypothesis, establish a biological/physical transfer mechanism, or claim root compromise. The next executable deliverable is an MVP scenario-card set and instrumentation schema.</w:t>
            </w:r>
          </w:p>
        </w:tc>
      </w:tr>
    </w:tbl>
    <w:p>
      <w:pPr>
        <w:spacing w:after="0"/>
      </w:pPr>
    </w:p>
    <w:sectPr w:rsidR="00FC693F" w:rsidRPr="0006063C" w:rsidSect="00034616">
      <w:headerReference w:type="default" r:id="rId9"/>
      <w:footerReference w:type="default" r:id="rId10"/>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8"/>
        <w:sz w:val="15"/>
      </w:rPr>
      <w:t xml:space="preserve">Working Draft - Multi-AI Review  |  Page </w:t>
    </w:r>
    <w:r>
      <w:rPr>
        <w:color w:val="5A6068"/>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068"/>
        <w:sz w:val="15"/>
      </w:rPr>
      <w:t>OAL SIMULATION LAB  |  OPEN WINDOW  |  DRAFT PASS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35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658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775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833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5A6068"/>
      <w:sz w:val="16"/>
    </w:rPr>
  </w:style>
  <w:style w:type="paragraph" w:customStyle="1" w:styleId="Callout">
    <w:name w:val="Callout"/>
    <w:rPr>
      <w:rFonts w:ascii="Aptos" w:hAnsi="Aptos"/>
      <w:b/>
      <w:color w:val="183354"/>
      <w:sz w:val="19"/>
    </w:rPr>
  </w:style>
  <w:style w:type="paragraph" w:customStyle="1" w:styleId="Mono">
    <w:name w:val="Mono"/>
    <w:rPr>
      <w:rFonts w:ascii="Aptos Mono" w:hAnsi="Aptos Mono"/>
      <w:b w:val="0"/>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