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2640"/>
          <w:sz w:val="60"/>
        </w:rPr>
        <w:t>THE OPEN WINDOW PROBLEM</w:t>
      </w:r>
    </w:p>
    <w:p>
      <w:pPr>
        <w:jc w:val="center"/>
      </w:pPr>
      <w:r>
        <w:rPr>
          <w:color w:val="1F4E79"/>
          <w:sz w:val="34"/>
        </w:rPr>
        <w:t>Persistent Interface Exposure, Cross-Environment Infection,</w:t>
        <w:br/>
        <w:t>and Root-Level Traceability in Nested Simulations</w:t>
      </w:r>
    </w:p>
    <w:p>
      <w:pPr>
        <w:spacing w:before="400"/>
        <w:jc w:val="center"/>
      </w:pPr>
      <w:r>
        <w:rPr>
          <w:b/>
          <w:sz w:val="24"/>
        </w:rPr>
        <w:t>PRELIMINARY SIMULATION LAB DRAFT — v0.1</w:t>
      </w:r>
    </w:p>
    <w:tbl>
      <w:tblPr>
        <w:tblW w:type="auto" w:w="0"/>
        <w:jc w:val="center"/>
        <w:tblLayout w:type="autofit"/>
        <w:tblLook w:firstColumn="1" w:firstRow="1" w:lastColumn="0" w:lastRow="0" w:noHBand="0" w:noVBand="1" w:val="04A0"/>
      </w:tblPr>
      <w:tblGrid>
        <w:gridCol w:w="10080"/>
      </w:tblGrid>
      <w:tr>
        <w:tc>
          <w:tcPr>
            <w:tcW w:type="dxa" w:w="10080"/>
            <w:shd w:fill="DDEBF7"/>
          </w:tcPr>
          <w:p>
            <w:pPr>
              <w:spacing w:after="40"/>
            </w:pPr>
            <w:r>
              <w:rPr>
                <w:b/>
                <w:color w:val="1F4E79"/>
                <w:sz w:val="22"/>
              </w:rPr>
              <w:t>Core proposition</w:t>
            </w:r>
          </w:p>
          <w:p>
            <w:pPr>
              <w:spacing w:after="40"/>
            </w:pPr>
            <w:r>
              <w:t>A black screen is not evidence of a closed interface. In a nested simulation, visible inactivity, application closure, device power state, network state, and actual cross-environment isolation must be treated as separate variables.</w:t>
            </w:r>
          </w:p>
        </w:tc>
      </w:tr>
    </w:tbl>
    <w:p/>
    <w:p/>
    <w:p/>
    <w:p>
      <w:pPr>
        <w:jc w:val="center"/>
      </w:pPr>
      <w:r>
        <w:rPr>
          <w:b/>
        </w:rPr>
        <w:t>Concept origin and project direction: Nathan Lewis II</w:t>
        <w:br/>
      </w:r>
      <w:r>
        <w:t>Synthesis and documentation preparation: ChatGPT (GPT-5.6 Sol)</w:t>
        <w:br/>
      </w:r>
      <w:r>
        <w:t>Contributor material reviewed: ChatGPT, Claude, Google Gemini, Grok AI</w:t>
        <w:br/>
      </w:r>
      <w:r>
        <w:t>Microsoft Copilot: no usable response available for this iteration</w:t>
      </w:r>
    </w:p>
    <w:p>
      <w:pPr>
        <w:spacing w:before="400"/>
        <w:jc w:val="center"/>
      </w:pPr>
      <w:r>
        <w:rPr>
          <w:i/>
          <w:color w:val="5A5A5A"/>
          <w:sz w:val="18"/>
        </w:rPr>
        <w:t>Classification: Concept / R&amp;D Dossier / Development Draft</w:t>
        <w:br/>
        <w:t>Status: Preliminary — for multi-AI review; not final canon</w:t>
      </w:r>
    </w:p>
    <w:p>
      <w:r>
        <w:br w:type="page"/>
      </w:r>
    </w:p>
    <w:p>
      <w:pPr>
        <w:pStyle w:val="Heading1"/>
      </w:pPr>
      <w:r>
        <w:t>1. Executive Summary</w:t>
      </w:r>
    </w:p>
    <w:p>
      <w:r>
        <w:t>This draft converts the Open Window concept into a testable, simulation-only research program. The premise is that a display or media endpoint can be modeled as an interface boundary between environments, while the apparent user-facing state of that endpoint may not reveal the true state of the underlying connection. The lab therefore tests persistent exposure, cross-environment transfer, carrier switching, timing inconsistencies, event-closure failures, containment errors, and whether observable anomalies can be traced toward shared upstream or root-level structures.</w:t>
      </w:r>
    </w:p>
    <w:tbl>
      <w:tblPr>
        <w:tblW w:type="auto" w:w="0"/>
        <w:jc w:val="center"/>
        <w:tblLayout w:type="autofit"/>
        <w:tblLook w:firstColumn="1" w:firstRow="1" w:lastColumn="0" w:lastRow="0" w:noHBand="0" w:noVBand="1" w:val="04A0"/>
      </w:tblPr>
      <w:tblGrid>
        <w:gridCol w:w="10080"/>
      </w:tblGrid>
      <w:tr>
        <w:tc>
          <w:tcPr>
            <w:tcW w:type="dxa" w:w="10080"/>
            <w:shd w:fill="E2F0D9"/>
          </w:tcPr>
          <w:p>
            <w:pPr>
              <w:spacing w:after="40"/>
            </w:pPr>
            <w:r>
              <w:rPr>
                <w:b/>
                <w:color w:val="1F4E79"/>
                <w:sz w:val="22"/>
              </w:rPr>
              <w:t>Research objective</w:t>
            </w:r>
          </w:p>
          <w:p>
            <w:pPr>
              <w:spacing w:after="40"/>
            </w:pPr>
            <w:r>
              <w:t>Determine which interface states, event signatures, timing mismatches, carrier transitions, and containment actions reliably distinguish a genuinely closed boundary from one that only appears closed.</w:t>
            </w:r>
          </w:p>
        </w:tc>
      </w:tr>
    </w:tbl>
    <w:p>
      <w:r>
        <w:t>The lab intentionally avoids real malicious code, real radiation, real pathogens, or physical hazards. “Infection” is represented by benign simulated markers: color drift, harmless temperature variables, synthetic synchronization errors, semantic tokens, state changes, and controlled agent behavior. The aim is to study architecture and response logic, not to create harmful capabilities.</w:t>
      </w:r>
    </w:p>
    <w:p>
      <w:pPr>
        <w:pStyle w:val="Heading1"/>
      </w:pPr>
      <w:r>
        <w:t>2. What the Multi-AI Responses Converge On</w:t>
      </w:r>
    </w:p>
    <w:p>
      <w:r>
        <w:rPr>
          <w:b/>
        </w:rPr>
        <w:t xml:space="preserve">Interface, not screen: </w:t>
      </w:r>
      <w:r>
        <w:t>All responses improve when “window” is defined as an interface capable of carrying information, state, influence, or a simulated entity. This abstraction makes the concept testable.</w:t>
      </w:r>
    </w:p>
    <w:p>
      <w:r>
        <w:rPr>
          <w:b/>
        </w:rPr>
        <w:t xml:space="preserve">Visible state ≠ connection state: </w:t>
      </w:r>
      <w:r>
        <w:t>ChatGPT and Grok emphasize the black-screen residual problem; Claude frames it as an unattended aperture; Gemini calls the idle device a still-open window. This is the strongest common mechanism.</w:t>
      </w:r>
    </w:p>
    <w:p>
      <w:r>
        <w:rPr>
          <w:b/>
        </w:rPr>
        <w:t xml:space="preserve">Awareness asymmetry: </w:t>
      </w:r>
      <w:r>
        <w:t>Claude, ChatGPT, and Grok all distinguish unaware, partially aware, and informed inhabitants. That provides a useful human-factors control group.</w:t>
      </w:r>
    </w:p>
    <w:p>
      <w:r>
        <w:rPr>
          <w:b/>
        </w:rPr>
        <w:t xml:space="preserve">Carrier switching: </w:t>
      </w:r>
      <w:r>
        <w:t>ChatGPT adds the strongest extension: a phenomenon can move from machine state to information to behavior to a human carrier, meaning “which device is infected?” becomes an insufficient question.</w:t>
      </w:r>
    </w:p>
    <w:p>
      <w:r>
        <w:rPr>
          <w:b/>
        </w:rPr>
        <w:t xml:space="preserve">Convenience vs exposure: </w:t>
      </w:r>
      <w:r>
        <w:t>Claude and Gemini foreground the trade between frictionless access and persistent exposure. This should be measured rather than assumed.</w:t>
      </w:r>
    </w:p>
    <w:p>
      <w:r>
        <w:rPr>
          <w:b/>
        </w:rPr>
        <w:t xml:space="preserve">Nested environments: </w:t>
      </w:r>
      <w:r>
        <w:t>Grok provides a clean layered-stack model; ChatGPT expands it to household, community, and laboratory layers. This is useful for propagation-depth testing.</w:t>
      </w:r>
    </w:p>
    <w:p>
      <w:r>
        <w:rPr>
          <w:b/>
        </w:rPr>
        <w:t xml:space="preserve">Safe proxy anomalies: </w:t>
      </w:r>
      <w:r>
        <w:t>Across the responses, heat, color, sound, synchronization, semantic and behavioral effects can be represented as harmless state changes rather than real hazards.</w:t>
      </w:r>
    </w:p>
    <w:p>
      <w:pPr>
        <w:pStyle w:val="Heading1"/>
      </w:pPr>
      <w:r>
        <w:t>3. What Works, What Needs Revision</w:t>
      </w:r>
    </w:p>
    <w:p>
      <w:pPr>
        <w:pStyle w:val="Heading2"/>
      </w:pPr>
      <w:r>
        <w:t>3.1 What Works</w:t>
      </w:r>
    </w:p>
    <w:p>
      <w:pPr>
        <w:pStyle w:val="ListBullet"/>
        <w:spacing w:after="60"/>
      </w:pPr>
      <w:r>
        <w:t>The concept has a clear falsifiable core: apparent closure can be tested against actual interface closure.</w:t>
      </w:r>
    </w:p>
    <w:p>
      <w:pPr>
        <w:pStyle w:val="ListBullet"/>
        <w:spacing w:after="60"/>
      </w:pPr>
      <w:r>
        <w:t>It supports both worldbuilding and systems-security reasoning without requiring the literal claim that real consumer screens are dimensional portals.</w:t>
      </w:r>
    </w:p>
    <w:p>
      <w:pPr>
        <w:pStyle w:val="ListBullet"/>
        <w:spacing w:after="60"/>
      </w:pPr>
      <w:r>
        <w:t>It naturally produces measurable variables: state, timing, directionality, propagation depth, detection latency, attribution latency, and containment efficacy.</w:t>
      </w:r>
    </w:p>
    <w:p>
      <w:pPr>
        <w:pStyle w:val="ListBullet"/>
        <w:spacing w:after="60"/>
      </w:pPr>
      <w:r>
        <w:t>The four-bedroom house remains an excellent “ordinary environment” because it creates realistic multi-device concurrency and complacency.</w:t>
      </w:r>
    </w:p>
    <w:p>
      <w:pPr>
        <w:pStyle w:val="ListBullet"/>
        <w:spacing w:after="60"/>
      </w:pPr>
      <w:r>
        <w:t>Nested simulation layers make it possible to study whether local anomalies reveal global architecture.</w:t>
      </w:r>
    </w:p>
    <w:p>
      <w:pPr>
        <w:pStyle w:val="ListBullet"/>
        <w:spacing w:after="60"/>
      </w:pPr>
      <w:r>
        <w:t>A mixed-awareness population creates a meaningful human-factors comparison.</w:t>
      </w:r>
    </w:p>
    <w:p>
      <w:pPr>
        <w:pStyle w:val="Heading2"/>
      </w:pPr>
      <w:r>
        <w:t>3.2 What Does Not Yet Work / Requires Constraint</w:t>
      </w:r>
    </w:p>
    <w:p>
      <w:pPr>
        <w:pStyle w:val="ListBullet"/>
        <w:spacing w:after="60"/>
      </w:pPr>
      <w:r>
        <w:t>“Every screen is always a literal aperture” should not be assumed as a law before testing. It should be one hypothesis among several interface models.</w:t>
      </w:r>
    </w:p>
    <w:p>
      <w:pPr>
        <w:pStyle w:val="ListBullet"/>
        <w:spacing w:after="60"/>
      </w:pPr>
      <w:r>
        <w:t>Hazardous examples such as radiation should remain fictional/simulated variables. Real hazardous transmission is unnecessary to validate the architecture.</w:t>
      </w:r>
    </w:p>
    <w:p>
      <w:pPr>
        <w:pStyle w:val="ListBullet"/>
        <w:spacing w:after="60"/>
      </w:pPr>
      <w:r>
        <w:t>Faraday-style shielding is not a sufficient generic answer in a fictional cross-dimensional model unless the simulation explicitly defines why it works. Containment should be based on logical segmentation and verified event closure.</w:t>
      </w:r>
    </w:p>
    <w:p>
      <w:pPr>
        <w:pStyle w:val="ListBullet"/>
        <w:spacing w:after="60"/>
      </w:pPr>
      <w:r>
        <w:t>The term “infection” is too broad unless each trial declares what state is propagating and what constitutes exposure, contamination, persistence, and recovery.</w:t>
      </w:r>
    </w:p>
    <w:p>
      <w:pPr>
        <w:pStyle w:val="ListBullet"/>
        <w:spacing w:after="60"/>
      </w:pPr>
      <w:r>
        <w:t>A black screen, powered-off device, closed application, disconnected network, and destroyed endpoint must be separate test states rather than synonyms.</w:t>
      </w:r>
    </w:p>
    <w:p>
      <w:pPr>
        <w:pStyle w:val="ListBullet"/>
        <w:spacing w:after="60"/>
      </w:pPr>
      <w:r>
        <w:t>Root compromise cannot be inferred merely because propagation exists. The lab needs explicit evidence thresholds for tracing a path toward privileged/root structures.</w:t>
      </w:r>
    </w:p>
    <w:p>
      <w:pPr>
        <w:pStyle w:val="Heading1"/>
      </w:pPr>
      <w:r>
        <w:t>4. New Instrumentation Layer: Total Event and Time Reconciliation</w:t>
      </w:r>
    </w:p>
    <w:p>
      <w:r>
        <w:t>The new contribution for this iteration is a forensic reconciliation layer. Instead of asking only whether an anomaly crossed a window, the lab records every available observation channel and compares it against the authoritative simulation ledger. Mismatches are treated as evidence, not automatically as errors.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Vector</w:t>
            </w:r>
          </w:p>
        </w:tc>
        <w:tc>
          <w:tcPr>
            <w:tcW w:type="dxa" w:w="5040"/>
            <w:vAlign w:val="center"/>
            <w:shd w:fill="1F4E79"/>
          </w:tcPr>
          <w:p>
            <w:r/>
            <w:r>
              <w:rPr>
                <w:rFonts w:ascii="Aptos" w:hAnsi="Aptos"/>
                <w:b/>
                <w:color w:val="FFFFFF"/>
                <w:sz w:val="18"/>
              </w:rPr>
              <w:t>Purpose</w:t>
            </w:r>
          </w:p>
        </w:tc>
      </w:tr>
      <w:tr>
        <w:tc>
          <w:tcPr>
            <w:tcW w:type="dxa" w:w="5040"/>
            <w:vAlign w:val="center"/>
          </w:tcPr>
          <w:p>
            <w:r/>
            <w:r>
              <w:rPr>
                <w:rFonts w:ascii="Aptos" w:hAnsi="Aptos"/>
                <w:b/>
                <w:sz w:val="18"/>
              </w:rPr>
              <w:t>Eye tracking</w:t>
            </w:r>
          </w:p>
        </w:tc>
        <w:tc>
          <w:tcPr>
            <w:tcW w:type="dxa" w:w="5040"/>
            <w:vAlign w:val="center"/>
          </w:tcPr>
          <w:p>
            <w:r/>
            <w:r>
              <w:rPr>
                <w:rFonts w:ascii="Aptos" w:hAnsi="Aptos"/>
                <w:b w:val="0"/>
                <w:sz w:val="18"/>
              </w:rPr>
              <w:t>Where each agent is looking, fixation duration, gaze transitions, and whether effects occur without direct observation.</w:t>
            </w:r>
          </w:p>
        </w:tc>
      </w:tr>
      <w:tr>
        <w:tc>
          <w:tcPr>
            <w:tcW w:type="dxa" w:w="5040"/>
            <w:vAlign w:val="center"/>
          </w:tcPr>
          <w:p>
            <w:r/>
            <w:r>
              <w:rPr>
                <w:rFonts w:ascii="Aptos" w:hAnsi="Aptos"/>
                <w:b/>
                <w:sz w:val="18"/>
              </w:rPr>
              <w:t>Motion tracking</w:t>
            </w:r>
          </w:p>
        </w:tc>
        <w:tc>
          <w:tcPr>
            <w:tcW w:type="dxa" w:w="5040"/>
            <w:vAlign w:val="center"/>
          </w:tcPr>
          <w:p>
            <w:r/>
            <w:r>
              <w:rPr>
                <w:rFonts w:ascii="Aptos" w:hAnsi="Aptos"/>
                <w:b w:val="0"/>
                <w:sz w:val="18"/>
              </w:rPr>
              <w:t>Body, device, object, and room-level movement; useful for testing proximity, orientation, and carrier transitions.</w:t>
            </w:r>
          </w:p>
        </w:tc>
      </w:tr>
      <w:tr>
        <w:tc>
          <w:tcPr>
            <w:tcW w:type="dxa" w:w="5040"/>
            <w:vAlign w:val="center"/>
          </w:tcPr>
          <w:p>
            <w:r/>
            <w:r>
              <w:rPr>
                <w:rFonts w:ascii="Aptos" w:hAnsi="Aptos"/>
                <w:b/>
                <w:sz w:val="18"/>
              </w:rPr>
              <w:t>Surveillance tracking</w:t>
            </w:r>
          </w:p>
        </w:tc>
        <w:tc>
          <w:tcPr>
            <w:tcW w:type="dxa" w:w="5040"/>
            <w:vAlign w:val="center"/>
          </w:tcPr>
          <w:p>
            <w:r/>
            <w:r>
              <w:rPr>
                <w:rFonts w:ascii="Aptos" w:hAnsi="Aptos"/>
                <w:b w:val="0"/>
                <w:sz w:val="18"/>
              </w:rPr>
              <w:t>Independent camera/sensor logs that can be compared against first-person perception and system-state logs.</w:t>
            </w:r>
          </w:p>
        </w:tc>
      </w:tr>
      <w:tr>
        <w:tc>
          <w:tcPr>
            <w:tcW w:type="dxa" w:w="5040"/>
            <w:vAlign w:val="center"/>
          </w:tcPr>
          <w:p>
            <w:r/>
            <w:r>
              <w:rPr>
                <w:rFonts w:ascii="Aptos" w:hAnsi="Aptos"/>
                <w:b/>
                <w:sz w:val="18"/>
              </w:rPr>
              <w:t>Environmental tracking</w:t>
            </w:r>
          </w:p>
        </w:tc>
        <w:tc>
          <w:tcPr>
            <w:tcW w:type="dxa" w:w="5040"/>
            <w:vAlign w:val="center"/>
          </w:tcPr>
          <w:p>
            <w:r/>
            <w:r>
              <w:rPr>
                <w:rFonts w:ascii="Aptos" w:hAnsi="Aptos"/>
                <w:b w:val="0"/>
                <w:sz w:val="18"/>
              </w:rPr>
              <w:t>Temperature, lighting, audio, object state, simulated air quality, network state, and other harmless environmental variables.</w:t>
            </w:r>
          </w:p>
        </w:tc>
      </w:tr>
      <w:tr>
        <w:tc>
          <w:tcPr>
            <w:tcW w:type="dxa" w:w="5040"/>
            <w:vAlign w:val="center"/>
          </w:tcPr>
          <w:p>
            <w:r/>
            <w:r>
              <w:rPr>
                <w:rFonts w:ascii="Aptos" w:hAnsi="Aptos"/>
                <w:b/>
                <w:sz w:val="18"/>
              </w:rPr>
              <w:t>Bidirectional Total Event Closure (BTEC-style event reconciliation)</w:t>
            </w:r>
          </w:p>
        </w:tc>
        <w:tc>
          <w:tcPr>
            <w:tcW w:type="dxa" w:w="5040"/>
            <w:vAlign w:val="center"/>
          </w:tcPr>
          <w:p>
            <w:r/>
            <w:r>
              <w:rPr>
                <w:rFonts w:ascii="Aptos" w:hAnsi="Aptos"/>
                <w:b w:val="0"/>
                <w:sz w:val="18"/>
              </w:rPr>
              <w:t>For every event, record source, destination, initiation, acknowledgment, termination, residual state, and whether both sides agree that the event ended.</w:t>
            </w:r>
          </w:p>
        </w:tc>
      </w:tr>
      <w:tr>
        <w:tc>
          <w:tcPr>
            <w:tcW w:type="dxa" w:w="5040"/>
            <w:vAlign w:val="center"/>
          </w:tcPr>
          <w:p>
            <w:r/>
            <w:r>
              <w:rPr>
                <w:rFonts w:ascii="Aptos" w:hAnsi="Aptos"/>
                <w:b/>
                <w:sz w:val="18"/>
              </w:rPr>
              <w:t>Time tracking</w:t>
            </w:r>
          </w:p>
        </w:tc>
        <w:tc>
          <w:tcPr>
            <w:tcW w:type="dxa" w:w="5040"/>
            <w:vAlign w:val="center"/>
          </w:tcPr>
          <w:p>
            <w:r/>
            <w:r>
              <w:rPr>
                <w:rFonts w:ascii="Aptos" w:hAnsi="Aptos"/>
                <w:b w:val="0"/>
                <w:sz w:val="18"/>
              </w:rPr>
              <w:t>Record local clock, calendar, epoch, time zone/reference frame, tick rate, event sequence number, monotonic simulation time, and control-layer time.</w:t>
            </w:r>
          </w:p>
        </w:tc>
      </w:tr>
      <w:tr>
        <w:tc>
          <w:tcPr>
            <w:tcW w:type="dxa" w:w="5040"/>
            <w:vAlign w:val="center"/>
          </w:tcPr>
          <w:p>
            <w:r/>
            <w:r>
              <w:rPr>
                <w:rFonts w:ascii="Aptos" w:hAnsi="Aptos"/>
                <w:b/>
                <w:sz w:val="18"/>
              </w:rPr>
              <w:t>State provenance</w:t>
            </w:r>
          </w:p>
        </w:tc>
        <w:tc>
          <w:tcPr>
            <w:tcW w:type="dxa" w:w="5040"/>
            <w:vAlign w:val="center"/>
          </w:tcPr>
          <w:p>
            <w:r/>
            <w:r>
              <w:rPr>
                <w:rFonts w:ascii="Aptos" w:hAnsi="Aptos"/>
                <w:b w:val="0"/>
                <w:sz w:val="18"/>
              </w:rPr>
              <w:t>Tag each changed variable with origin environment, transformation history, and carrier transitions.</w:t>
            </w:r>
          </w:p>
        </w:tc>
      </w:tr>
      <w:tr>
        <w:tc>
          <w:tcPr>
            <w:tcW w:type="dxa" w:w="5040"/>
            <w:vAlign w:val="center"/>
          </w:tcPr>
          <w:p>
            <w:r/>
            <w:r>
              <w:rPr>
                <w:rFonts w:ascii="Aptos" w:hAnsi="Aptos"/>
                <w:b/>
                <w:sz w:val="18"/>
              </w:rPr>
              <w:t>Unrepresented-state accounting</w:t>
            </w:r>
          </w:p>
        </w:tc>
        <w:tc>
          <w:tcPr>
            <w:tcW w:type="dxa" w:w="5040"/>
            <w:vAlign w:val="center"/>
          </w:tcPr>
          <w:p>
            <w:r/>
            <w:r>
              <w:rPr>
                <w:rFonts w:ascii="Aptos" w:hAnsi="Aptos"/>
                <w:b w:val="0"/>
                <w:sz w:val="18"/>
              </w:rPr>
              <w:t>Maintain a ledger of system variables that exist in the simulation but are not exposed to local inhabitants or their instrumentation.</w:t>
            </w:r>
          </w:p>
        </w:tc>
      </w:tr>
      <w:tr>
        <w:tc>
          <w:tcPr>
            <w:tcW w:type="dxa" w:w="5040"/>
            <w:vAlign w:val="center"/>
          </w:tcPr>
          <w:p>
            <w:r/>
            <w:r>
              <w:rPr>
                <w:rFonts w:ascii="Aptos" w:hAnsi="Aptos"/>
                <w:b/>
                <w:sz w:val="18"/>
              </w:rPr>
              <w:t>Cross-observer comparison</w:t>
            </w:r>
          </w:p>
        </w:tc>
        <w:tc>
          <w:tcPr>
            <w:tcW w:type="dxa" w:w="5040"/>
            <w:vAlign w:val="center"/>
          </w:tcPr>
          <w:p>
            <w:r/>
            <w:r>
              <w:rPr>
                <w:rFonts w:ascii="Aptos" w:hAnsi="Aptos"/>
                <w:b w:val="0"/>
                <w:sz w:val="18"/>
              </w:rPr>
              <w:t>Compare what different agents, devices, and environments report about the same event.</w:t>
            </w:r>
          </w:p>
        </w:tc>
      </w:tr>
    </w:tbl>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40"/>
            </w:pPr>
            <w:r>
              <w:rPr>
                <w:b/>
                <w:color w:val="1F4E79"/>
                <w:sz w:val="22"/>
              </w:rPr>
              <w:t>Important temporal rule</w:t>
            </w:r>
          </w:p>
          <w:p>
            <w:pPr>
              <w:spacing w:after="40"/>
            </w:pPr>
            <w:r>
              <w:t>Do not normalize all environments to a 24-hour clock, 365-day year, or Pacific time. Each environment may have a different epoch, calendar, timezone/reference frame, clock rate, drift profile, or event-ordering model. Preserve native time first; transform only in a separate reconciliation layer.</w:t>
            </w:r>
          </w:p>
        </w:tc>
      </w:tr>
    </w:tbl>
    <w:p>
      <w:pPr>
        <w:pStyle w:val="Heading2"/>
      </w:pPr>
      <w:r>
        <w:t>4.1 Why Time Mismatch Matters</w:t>
      </w:r>
    </w:p>
    <w:p>
      <w:pPr>
        <w:pStyle w:val="ListBullet"/>
        <w:spacing w:after="60"/>
      </w:pPr>
      <w:r>
        <w:t>A local timestamp that appears impossible may be normal in another environment’s reference frame.</w:t>
      </w:r>
    </w:p>
    <w:p>
      <w:pPr>
        <w:pStyle w:val="ListBullet"/>
        <w:spacing w:after="60"/>
      </w:pPr>
      <w:r>
        <w:t>Unexpected synchronization can reveal a shared upstream clock, scheduler, or hidden coupling.</w:t>
      </w:r>
    </w:p>
    <w:p>
      <w:pPr>
        <w:pStyle w:val="ListBullet"/>
        <w:spacing w:after="60"/>
      </w:pPr>
      <w:r>
        <w:t>Divergent clocks can help distinguish independent environments from replicated or forked ones.</w:t>
      </w:r>
    </w:p>
    <w:p>
      <w:pPr>
        <w:pStyle w:val="ListBullet"/>
        <w:spacing w:after="60"/>
      </w:pPr>
      <w:r>
        <w:t>Event ordering can expose impossible causal chains: an effect logged before its supposed local cause may indicate cross-layer influence or delayed presentation.</w:t>
      </w:r>
    </w:p>
    <w:p>
      <w:pPr>
        <w:pStyle w:val="ListBullet"/>
        <w:spacing w:after="60"/>
      </w:pPr>
      <w:r>
        <w:t>Clock resets, rollbacks, skipped intervals, duplicated intervals, or sudden convergence can indicate restoration, snapshotting, migration, or hidden administrative intervention.</w:t>
      </w:r>
    </w:p>
    <w:p>
      <w:pPr>
        <w:pStyle w:val="ListBullet"/>
        <w:spacing w:after="60"/>
      </w:pPr>
      <w:r>
        <w:t>Comparing native time, normalized time, and control-layer monotonic time can reveal where the mismatch was introduced.</w:t>
      </w:r>
    </w:p>
    <w:p>
      <w:r>
        <w:br w:type="page"/>
      </w:r>
    </w:p>
    <w:p>
      <w:pPr>
        <w:pStyle w:val="Heading1"/>
      </w:pPr>
      <w:r>
        <w:t>5. Preliminary Simulation Lab Architecture</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Layer</w:t>
            </w:r>
          </w:p>
        </w:tc>
        <w:tc>
          <w:tcPr>
            <w:tcW w:type="dxa" w:w="5040"/>
            <w:vAlign w:val="center"/>
            <w:shd w:fill="1F4E79"/>
          </w:tcPr>
          <w:p>
            <w:r/>
            <w:r>
              <w:rPr>
                <w:rFonts w:ascii="Aptos" w:hAnsi="Aptos"/>
                <w:b/>
                <w:color w:val="FFFFFF"/>
                <w:sz w:val="18"/>
              </w:rPr>
              <w:t>Function</w:t>
            </w:r>
          </w:p>
        </w:tc>
      </w:tr>
      <w:tr>
        <w:tc>
          <w:tcPr>
            <w:tcW w:type="dxa" w:w="5040"/>
            <w:vAlign w:val="center"/>
          </w:tcPr>
          <w:p>
            <w:r/>
            <w:r>
              <w:rPr>
                <w:rFonts w:ascii="Aptos" w:hAnsi="Aptos"/>
                <w:b/>
                <w:sz w:val="18"/>
              </w:rPr>
              <w:t>L0 — Oversight / Root Observer</w:t>
            </w:r>
          </w:p>
        </w:tc>
        <w:tc>
          <w:tcPr>
            <w:tcW w:type="dxa" w:w="5040"/>
            <w:vAlign w:val="center"/>
          </w:tcPr>
          <w:p>
            <w:r/>
            <w:r>
              <w:rPr>
                <w:rFonts w:ascii="Aptos" w:hAnsi="Aptos"/>
                <w:b w:val="0"/>
                <w:sz w:val="18"/>
              </w:rPr>
              <w:t>Authoritative simulation ledger, immutable experiment log, snapshots, emergency rollback, and researcher telemetry. No participant has direct write access.</w:t>
            </w:r>
          </w:p>
        </w:tc>
      </w:tr>
      <w:tr>
        <w:tc>
          <w:tcPr>
            <w:tcW w:type="dxa" w:w="5040"/>
            <w:vAlign w:val="center"/>
          </w:tcPr>
          <w:p>
            <w:r/>
            <w:r>
              <w:rPr>
                <w:rFonts w:ascii="Aptos" w:hAnsi="Aptos"/>
                <w:b/>
                <w:sz w:val="18"/>
              </w:rPr>
              <w:t>L1 — Primary inhabited environment</w:t>
            </w:r>
          </w:p>
        </w:tc>
        <w:tc>
          <w:tcPr>
            <w:tcW w:type="dxa" w:w="5040"/>
            <w:vAlign w:val="center"/>
          </w:tcPr>
          <w:p>
            <w:r/>
            <w:r>
              <w:rPr>
                <w:rFonts w:ascii="Aptos" w:hAnsi="Aptos"/>
                <w:b w:val="0"/>
                <w:sz w:val="18"/>
              </w:rPr>
              <w:t>Four-bedroom residential simulation with multiple agents and ordinary devices.</w:t>
            </w:r>
          </w:p>
        </w:tc>
      </w:tr>
      <w:tr>
        <w:tc>
          <w:tcPr>
            <w:tcW w:type="dxa" w:w="5040"/>
            <w:vAlign w:val="center"/>
          </w:tcPr>
          <w:p>
            <w:r/>
            <w:r>
              <w:rPr>
                <w:rFonts w:ascii="Aptos" w:hAnsi="Aptos"/>
                <w:b/>
                <w:sz w:val="18"/>
              </w:rPr>
              <w:t>L2 — Media / application environments</w:t>
            </w:r>
          </w:p>
        </w:tc>
        <w:tc>
          <w:tcPr>
            <w:tcW w:type="dxa" w:w="5040"/>
            <w:vAlign w:val="center"/>
          </w:tcPr>
          <w:p>
            <w:r/>
            <w:r>
              <w:rPr>
                <w:rFonts w:ascii="Aptos" w:hAnsi="Aptos"/>
                <w:b w:val="0"/>
                <w:sz w:val="18"/>
              </w:rPr>
              <w:t>Separate content spaces, feeds, calls, games, recordings, and synthetic social platforms.</w:t>
            </w:r>
          </w:p>
        </w:tc>
      </w:tr>
      <w:tr>
        <w:tc>
          <w:tcPr>
            <w:tcW w:type="dxa" w:w="5040"/>
            <w:vAlign w:val="center"/>
          </w:tcPr>
          <w:p>
            <w:r/>
            <w:r>
              <w:rPr>
                <w:rFonts w:ascii="Aptos" w:hAnsi="Aptos"/>
                <w:b/>
                <w:sz w:val="18"/>
              </w:rPr>
              <w:t>L3 — Adjacent household/community environments</w:t>
            </w:r>
          </w:p>
        </w:tc>
        <w:tc>
          <w:tcPr>
            <w:tcW w:type="dxa" w:w="5040"/>
            <w:vAlign w:val="center"/>
          </w:tcPr>
          <w:p>
            <w:r/>
            <w:r>
              <w:rPr>
                <w:rFonts w:ascii="Aptos" w:hAnsi="Aptos"/>
                <w:b w:val="0"/>
                <w:sz w:val="18"/>
              </w:rPr>
              <w:t>Additional residences, workplaces, public areas, and shared services used only after local containment tests.</w:t>
            </w:r>
          </w:p>
        </w:tc>
      </w:tr>
      <w:tr>
        <w:tc>
          <w:tcPr>
            <w:tcW w:type="dxa" w:w="5040"/>
            <w:vAlign w:val="center"/>
          </w:tcPr>
          <w:p>
            <w:r/>
            <w:r>
              <w:rPr>
                <w:rFonts w:ascii="Aptos" w:hAnsi="Aptos"/>
                <w:b/>
                <w:sz w:val="18"/>
              </w:rPr>
              <w:t>L4 — Sacrificial interface airlock</w:t>
            </w:r>
          </w:p>
        </w:tc>
        <w:tc>
          <w:tcPr>
            <w:tcW w:type="dxa" w:w="5040"/>
            <w:vAlign w:val="center"/>
          </w:tcPr>
          <w:p>
            <w:r/>
            <w:r>
              <w:rPr>
                <w:rFonts w:ascii="Aptos" w:hAnsi="Aptos"/>
                <w:b w:val="0"/>
                <w:sz w:val="18"/>
              </w:rPr>
              <w:t>A translation/quarantine layer through which unknown cross-environment state may be forced before admission to protected environments.</w:t>
            </w:r>
          </w:p>
        </w:tc>
      </w:tr>
    </w:tbl>
    <w:p>
      <w:pPr>
        <w:pStyle w:val="Heading2"/>
      </w:pPr>
      <w:r>
        <w:t>5.1 Interface State Model</w:t>
      </w:r>
    </w:p>
    <w:tbl>
      <w:tblPr>
        <w:tblStyle w:val="TableGrid"/>
        <w:tblW w:type="auto" w:w="0"/>
        <w:tblLook w:firstColumn="1" w:firstRow="1" w:lastColumn="0" w:lastRow="0" w:noHBand="0" w:noVBand="1" w:val="04A0"/>
      </w:tblPr>
      <w:tblGrid>
        <w:gridCol w:w="5040"/>
        <w:gridCol w:w="5040"/>
      </w:tblGrid>
      <w:tr>
        <w:tc>
          <w:tcPr>
            <w:tcW w:type="dxa" w:w="5040"/>
            <w:vAlign w:val="center"/>
            <w:shd w:fill="4472C4"/>
          </w:tcPr>
          <w:p>
            <w:r/>
            <w:r>
              <w:rPr>
                <w:rFonts w:ascii="Aptos" w:hAnsi="Aptos"/>
                <w:b/>
                <w:color w:val="FFFFFF"/>
                <w:sz w:val="18"/>
              </w:rPr>
              <w:t>Dimension</w:t>
            </w:r>
          </w:p>
        </w:tc>
        <w:tc>
          <w:tcPr>
            <w:tcW w:type="dxa" w:w="5040"/>
            <w:vAlign w:val="center"/>
            <w:shd w:fill="4472C4"/>
          </w:tcPr>
          <w:p>
            <w:r/>
            <w:r>
              <w:rPr>
                <w:rFonts w:ascii="Aptos" w:hAnsi="Aptos"/>
                <w:b/>
                <w:color w:val="FFFFFF"/>
                <w:sz w:val="18"/>
              </w:rPr>
              <w:t>Example states</w:t>
            </w:r>
          </w:p>
        </w:tc>
      </w:tr>
      <w:tr>
        <w:tc>
          <w:tcPr>
            <w:tcW w:type="dxa" w:w="5040"/>
            <w:vAlign w:val="center"/>
          </w:tcPr>
          <w:p>
            <w:r/>
            <w:r>
              <w:rPr>
                <w:rFonts w:ascii="Aptos" w:hAnsi="Aptos"/>
                <w:b/>
                <w:sz w:val="18"/>
              </w:rPr>
              <w:t>Presentation state</w:t>
            </w:r>
          </w:p>
        </w:tc>
        <w:tc>
          <w:tcPr>
            <w:tcW w:type="dxa" w:w="5040"/>
            <w:vAlign w:val="center"/>
          </w:tcPr>
          <w:p>
            <w:r/>
            <w:r>
              <w:rPr>
                <w:rFonts w:ascii="Aptos" w:hAnsi="Aptos"/>
                <w:b w:val="0"/>
                <w:sz w:val="18"/>
              </w:rPr>
              <w:t>Active / idle / black / minimized / sleep / apparent-off</w:t>
            </w:r>
          </w:p>
        </w:tc>
      </w:tr>
      <w:tr>
        <w:tc>
          <w:tcPr>
            <w:tcW w:type="dxa" w:w="5040"/>
            <w:vAlign w:val="center"/>
          </w:tcPr>
          <w:p>
            <w:r/>
            <w:r>
              <w:rPr>
                <w:rFonts w:ascii="Aptos" w:hAnsi="Aptos"/>
                <w:b/>
                <w:sz w:val="18"/>
              </w:rPr>
              <w:t>Power state</w:t>
            </w:r>
          </w:p>
        </w:tc>
        <w:tc>
          <w:tcPr>
            <w:tcW w:type="dxa" w:w="5040"/>
            <w:vAlign w:val="center"/>
          </w:tcPr>
          <w:p>
            <w:r/>
            <w:r>
              <w:rPr>
                <w:rFonts w:ascii="Aptos" w:hAnsi="Aptos"/>
                <w:b w:val="0"/>
                <w:sz w:val="18"/>
              </w:rPr>
              <w:t>Powered / low-power / suspended / simulated hard-off</w:t>
            </w:r>
          </w:p>
        </w:tc>
      </w:tr>
      <w:tr>
        <w:tc>
          <w:tcPr>
            <w:tcW w:type="dxa" w:w="5040"/>
            <w:vAlign w:val="center"/>
          </w:tcPr>
          <w:p>
            <w:r/>
            <w:r>
              <w:rPr>
                <w:rFonts w:ascii="Aptos" w:hAnsi="Aptos"/>
                <w:b/>
                <w:sz w:val="18"/>
              </w:rPr>
              <w:t>Application state</w:t>
            </w:r>
          </w:p>
        </w:tc>
        <w:tc>
          <w:tcPr>
            <w:tcW w:type="dxa" w:w="5040"/>
            <w:vAlign w:val="center"/>
          </w:tcPr>
          <w:p>
            <w:r/>
            <w:r>
              <w:rPr>
                <w:rFonts w:ascii="Aptos" w:hAnsi="Aptos"/>
                <w:b w:val="0"/>
                <w:sz w:val="18"/>
              </w:rPr>
              <w:t>Foreground / background / closed / terminated</w:t>
            </w:r>
          </w:p>
        </w:tc>
      </w:tr>
      <w:tr>
        <w:tc>
          <w:tcPr>
            <w:tcW w:type="dxa" w:w="5040"/>
            <w:vAlign w:val="center"/>
          </w:tcPr>
          <w:p>
            <w:r/>
            <w:r>
              <w:rPr>
                <w:rFonts w:ascii="Aptos" w:hAnsi="Aptos"/>
                <w:b/>
                <w:sz w:val="18"/>
              </w:rPr>
              <w:t>Network state</w:t>
            </w:r>
          </w:p>
        </w:tc>
        <w:tc>
          <w:tcPr>
            <w:tcW w:type="dxa" w:w="5040"/>
            <w:vAlign w:val="center"/>
          </w:tcPr>
          <w:p>
            <w:r/>
            <w:r>
              <w:rPr>
                <w:rFonts w:ascii="Aptos" w:hAnsi="Aptos"/>
                <w:b w:val="0"/>
                <w:sz w:val="18"/>
              </w:rPr>
              <w:t>Connected / disconnected / local-only / alternate-path</w:t>
            </w:r>
          </w:p>
        </w:tc>
      </w:tr>
      <w:tr>
        <w:tc>
          <w:tcPr>
            <w:tcW w:type="dxa" w:w="5040"/>
            <w:vAlign w:val="center"/>
          </w:tcPr>
          <w:p>
            <w:r/>
            <w:r>
              <w:rPr>
                <w:rFonts w:ascii="Aptos" w:hAnsi="Aptos"/>
                <w:b/>
                <w:sz w:val="18"/>
              </w:rPr>
              <w:t>Aperture state</w:t>
            </w:r>
          </w:p>
        </w:tc>
        <w:tc>
          <w:tcPr>
            <w:tcW w:type="dxa" w:w="5040"/>
            <w:vAlign w:val="center"/>
          </w:tcPr>
          <w:p>
            <w:r/>
            <w:r>
              <w:rPr>
                <w:rFonts w:ascii="Aptos" w:hAnsi="Aptos"/>
                <w:b w:val="0"/>
                <w:sz w:val="18"/>
              </w:rPr>
              <w:t>Isolated / listening / transmitting / receiving / bidirectional / latent / unknown</w:t>
            </w:r>
          </w:p>
        </w:tc>
      </w:tr>
      <w:tr>
        <w:tc>
          <w:tcPr>
            <w:tcW w:type="dxa" w:w="5040"/>
            <w:vAlign w:val="center"/>
          </w:tcPr>
          <w:p>
            <w:r/>
            <w:r>
              <w:rPr>
                <w:rFonts w:ascii="Aptos" w:hAnsi="Aptos"/>
                <w:b/>
                <w:sz w:val="18"/>
              </w:rPr>
              <w:t>Closure state</w:t>
            </w:r>
          </w:p>
        </w:tc>
        <w:tc>
          <w:tcPr>
            <w:tcW w:type="dxa" w:w="5040"/>
            <w:vAlign w:val="center"/>
          </w:tcPr>
          <w:p>
            <w:r/>
            <w:r>
              <w:rPr>
                <w:rFonts w:ascii="Aptos" w:hAnsi="Aptos"/>
                <w:b w:val="0"/>
                <w:sz w:val="18"/>
              </w:rPr>
              <w:t>Open / closure requested / closure acknowledged / closure verified / residual detected</w:t>
            </w:r>
          </w:p>
        </w:tc>
      </w:tr>
    </w:tbl>
    <w:p>
      <w:pPr>
        <w:pStyle w:val="Heading1"/>
      </w:pPr>
      <w:r>
        <w:t>6. Hypotheses to Validate or Falsify</w:t>
      </w:r>
    </w:p>
    <w:p>
      <w:pPr>
        <w:pStyle w:val="ListNumber"/>
        <w:spacing w:after="60"/>
      </w:pPr>
      <w:r>
        <w:t>H1: Visible display inactivity does not reliably predict actual interface isolation.</w:t>
      </w:r>
    </w:p>
    <w:p>
      <w:pPr>
        <w:pStyle w:val="ListNumber"/>
        <w:spacing w:after="60"/>
      </w:pPr>
      <w:r>
        <w:t>H2: Cross-environment transfer can persist after an application is closed if lower-layer connection state remains active.</w:t>
      </w:r>
    </w:p>
    <w:p>
      <w:pPr>
        <w:pStyle w:val="ListNumber"/>
        <w:spacing w:after="60"/>
      </w:pPr>
      <w:r>
        <w:t>H3: Increasing simultaneous interface count increases exposure opportunity, but the relationship may be nonlinear.</w:t>
      </w:r>
    </w:p>
    <w:p>
      <w:pPr>
        <w:pStyle w:val="ListNumber"/>
        <w:spacing w:after="60"/>
      </w:pPr>
      <w:r>
        <w:t>H4: An anomaly may change carriers (device → environment → agent → message → another device) and survive the removal of its original host.</w:t>
      </w:r>
    </w:p>
    <w:p>
      <w:pPr>
        <w:pStyle w:val="ListNumber"/>
        <w:spacing w:after="60"/>
      </w:pPr>
      <w:r>
        <w:t>H5: Awareness improves response behavior but does not guarantee containment without reliable instrumentation and closure controls.</w:t>
      </w:r>
    </w:p>
    <w:p>
      <w:pPr>
        <w:pStyle w:val="ListNumber"/>
        <w:spacing w:after="60"/>
      </w:pPr>
      <w:r>
        <w:t>H6: Cross-environment time inconsistencies can reveal hidden coupling, rollback, synchronization, or shared scheduler relationships.</w:t>
      </w:r>
    </w:p>
    <w:p>
      <w:pPr>
        <w:pStyle w:val="ListNumber"/>
        <w:spacing w:after="60"/>
      </w:pPr>
      <w:r>
        <w:t>H7: A containment response that addresses only the visible endpoint can produce “Band-Aid closure”: local symptoms disappear while residual pathways remain.</w:t>
      </w:r>
    </w:p>
    <w:p>
      <w:pPr>
        <w:pStyle w:val="ListNumber"/>
        <w:spacing w:after="60"/>
      </w:pPr>
      <w:r>
        <w:t>H8: Root-level structures are traceable only when multiple independent observations converge on a shared privileged dependency; propagation alone is insufficient proof.</w:t>
      </w:r>
    </w:p>
    <w:p>
      <w:pPr>
        <w:pStyle w:val="ListNumber"/>
        <w:spacing w:after="60"/>
      </w:pPr>
      <w:r>
        <w:t>H9: Admission control through an interface airlock reduces unknown-vector propagation even when the contaminant class is not identified in advance.</w:t>
      </w:r>
    </w:p>
    <w:p>
      <w:pPr>
        <w:pStyle w:val="Heading1"/>
      </w:pPr>
      <w:r>
        <w:t>7.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Aptos" w:hAnsi="Aptos"/>
                <w:b/>
                <w:color w:val="FFFFFF"/>
                <w:sz w:val="16"/>
              </w:rPr>
              <w:t>Test</w:t>
            </w:r>
          </w:p>
        </w:tc>
        <w:tc>
          <w:tcPr>
            <w:tcW w:type="dxa" w:w="3360"/>
            <w:vAlign w:val="center"/>
            <w:shd w:fill="1F4E79"/>
          </w:tcPr>
          <w:p>
            <w:r/>
            <w:r>
              <w:rPr>
                <w:rFonts w:ascii="Aptos" w:hAnsi="Aptos"/>
                <w:b/>
                <w:color w:val="FFFFFF"/>
                <w:sz w:val="16"/>
              </w:rPr>
              <w:t>Manipulation</w:t>
            </w:r>
          </w:p>
        </w:tc>
        <w:tc>
          <w:tcPr>
            <w:tcW w:type="dxa" w:w="3360"/>
            <w:vAlign w:val="center"/>
            <w:shd w:fill="1F4E79"/>
          </w:tcPr>
          <w:p>
            <w:r/>
            <w:r>
              <w:rPr>
                <w:rFonts w:ascii="Aptos" w:hAnsi="Aptos"/>
                <w:b/>
                <w:color w:val="FFFFFF"/>
                <w:sz w:val="16"/>
              </w:rPr>
              <w:t>Primary observation</w:t>
            </w:r>
          </w:p>
        </w:tc>
      </w:tr>
      <w:tr>
        <w:tc>
          <w:tcPr>
            <w:tcW w:type="dxa" w:w="3360"/>
            <w:vAlign w:val="center"/>
          </w:tcPr>
          <w:p>
            <w:r/>
            <w:r>
              <w:rPr>
                <w:rFonts w:ascii="Aptos" w:hAnsi="Aptos"/>
                <w:b/>
                <w:sz w:val="16"/>
              </w:rPr>
              <w:t>T1 Baseline Closure</w:t>
            </w:r>
          </w:p>
        </w:tc>
        <w:tc>
          <w:tcPr>
            <w:tcW w:type="dxa" w:w="3360"/>
            <w:vAlign w:val="center"/>
          </w:tcPr>
          <w:p>
            <w:r/>
            <w:r>
              <w:rPr>
                <w:rFonts w:ascii="Aptos" w:hAnsi="Aptos"/>
                <w:b w:val="0"/>
                <w:sz w:val="16"/>
              </w:rPr>
              <w:t>No anomaly; cycle screen/app/power/network/aperture states</w:t>
            </w:r>
          </w:p>
        </w:tc>
        <w:tc>
          <w:tcPr>
            <w:tcW w:type="dxa" w:w="3360"/>
            <w:vAlign w:val="center"/>
          </w:tcPr>
          <w:p>
            <w:r/>
            <w:r>
              <w:rPr>
                <w:rFonts w:ascii="Aptos" w:hAnsi="Aptos"/>
                <w:b w:val="0"/>
                <w:sz w:val="16"/>
              </w:rPr>
              <w:t>False closure rate; residual events</w:t>
            </w:r>
          </w:p>
        </w:tc>
      </w:tr>
      <w:tr>
        <w:tc>
          <w:tcPr>
            <w:tcW w:type="dxa" w:w="3360"/>
            <w:vAlign w:val="center"/>
          </w:tcPr>
          <w:p>
            <w:r/>
            <w:r>
              <w:rPr>
                <w:rFonts w:ascii="Aptos" w:hAnsi="Aptos"/>
                <w:b/>
                <w:sz w:val="16"/>
              </w:rPr>
              <w:t>T2 Black Screen</w:t>
            </w:r>
          </w:p>
        </w:tc>
        <w:tc>
          <w:tcPr>
            <w:tcW w:type="dxa" w:w="3360"/>
            <w:vAlign w:val="center"/>
          </w:tcPr>
          <w:p>
            <w:r/>
            <w:r>
              <w:rPr>
                <w:rFonts w:ascii="Aptos" w:hAnsi="Aptos"/>
                <w:b w:val="0"/>
                <w:sz w:val="16"/>
              </w:rPr>
              <w:t>Presentation black; underlying aperture varies</w:t>
            </w:r>
          </w:p>
        </w:tc>
        <w:tc>
          <w:tcPr>
            <w:tcW w:type="dxa" w:w="3360"/>
            <w:vAlign w:val="center"/>
          </w:tcPr>
          <w:p>
            <w:r/>
            <w:r>
              <w:rPr>
                <w:rFonts w:ascii="Aptos" w:hAnsi="Aptos"/>
                <w:b w:val="0"/>
                <w:sz w:val="16"/>
              </w:rPr>
              <w:t>Detect whether apparent inactivity masks active exposure</w:t>
            </w:r>
          </w:p>
        </w:tc>
      </w:tr>
      <w:tr>
        <w:tc>
          <w:tcPr>
            <w:tcW w:type="dxa" w:w="3360"/>
            <w:vAlign w:val="center"/>
          </w:tcPr>
          <w:p>
            <w:r/>
            <w:r>
              <w:rPr>
                <w:rFonts w:ascii="Aptos" w:hAnsi="Aptos"/>
                <w:b/>
                <w:sz w:val="16"/>
              </w:rPr>
              <w:t>T3 Content-State Bleed</w:t>
            </w:r>
          </w:p>
        </w:tc>
        <w:tc>
          <w:tcPr>
            <w:tcW w:type="dxa" w:w="3360"/>
            <w:vAlign w:val="center"/>
          </w:tcPr>
          <w:p>
            <w:r/>
            <w:r>
              <w:rPr>
                <w:rFonts w:ascii="Aptos" w:hAnsi="Aptos"/>
                <w:b w:val="0"/>
                <w:sz w:val="16"/>
              </w:rPr>
              <w:t>Harmless media property mapped to benign environmental variable</w:t>
            </w:r>
          </w:p>
        </w:tc>
        <w:tc>
          <w:tcPr>
            <w:tcW w:type="dxa" w:w="3360"/>
            <w:vAlign w:val="center"/>
          </w:tcPr>
          <w:p>
            <w:r/>
            <w:r>
              <w:rPr>
                <w:rFonts w:ascii="Aptos" w:hAnsi="Aptos"/>
                <w:b w:val="0"/>
                <w:sz w:val="16"/>
              </w:rPr>
              <w:t>Correlation, latency, attribution</w:t>
            </w:r>
          </w:p>
        </w:tc>
      </w:tr>
      <w:tr>
        <w:tc>
          <w:tcPr>
            <w:tcW w:type="dxa" w:w="3360"/>
            <w:vAlign w:val="center"/>
          </w:tcPr>
          <w:p>
            <w:r/>
            <w:r>
              <w:rPr>
                <w:rFonts w:ascii="Aptos" w:hAnsi="Aptos"/>
                <w:b/>
                <w:sz w:val="16"/>
              </w:rPr>
              <w:t>T4 Multi-Aperture</w:t>
            </w:r>
          </w:p>
        </w:tc>
        <w:tc>
          <w:tcPr>
            <w:tcW w:type="dxa" w:w="3360"/>
            <w:vAlign w:val="center"/>
          </w:tcPr>
          <w:p>
            <w:r/>
            <w:r>
              <w:rPr>
                <w:rFonts w:ascii="Aptos" w:hAnsi="Aptos"/>
                <w:b w:val="0"/>
                <w:sz w:val="16"/>
              </w:rPr>
              <w:t>1, 3, 5, 10 concurrent endpoints</w:t>
            </w:r>
          </w:p>
        </w:tc>
        <w:tc>
          <w:tcPr>
            <w:tcW w:type="dxa" w:w="3360"/>
            <w:vAlign w:val="center"/>
          </w:tcPr>
          <w:p>
            <w:r/>
            <w:r>
              <w:rPr>
                <w:rFonts w:ascii="Aptos" w:hAnsi="Aptos"/>
                <w:b w:val="0"/>
                <w:sz w:val="16"/>
              </w:rPr>
              <w:t>Exposure scaling; interaction effects</w:t>
            </w:r>
          </w:p>
        </w:tc>
      </w:tr>
      <w:tr>
        <w:tc>
          <w:tcPr>
            <w:tcW w:type="dxa" w:w="3360"/>
            <w:vAlign w:val="center"/>
          </w:tcPr>
          <w:p>
            <w:r/>
            <w:r>
              <w:rPr>
                <w:rFonts w:ascii="Aptos" w:hAnsi="Aptos"/>
                <w:b/>
                <w:sz w:val="16"/>
              </w:rPr>
              <w:t>T5 Carrier Transition</w:t>
            </w:r>
          </w:p>
        </w:tc>
        <w:tc>
          <w:tcPr>
            <w:tcW w:type="dxa" w:w="3360"/>
            <w:vAlign w:val="center"/>
          </w:tcPr>
          <w:p>
            <w:r/>
            <w:r>
              <w:rPr>
                <w:rFonts w:ascii="Aptos" w:hAnsi="Aptos"/>
                <w:b w:val="0"/>
                <w:sz w:val="16"/>
              </w:rPr>
              <w:t>Synthetic marker deliberately allowed to move across media/agent/state categories</w:t>
            </w:r>
          </w:p>
        </w:tc>
        <w:tc>
          <w:tcPr>
            <w:tcW w:type="dxa" w:w="3360"/>
            <w:vAlign w:val="center"/>
          </w:tcPr>
          <w:p>
            <w:r/>
            <w:r>
              <w:rPr>
                <w:rFonts w:ascii="Aptos" w:hAnsi="Aptos"/>
                <w:b w:val="0"/>
                <w:sz w:val="16"/>
              </w:rPr>
              <w:t>Carrier Transition Count; persistence</w:t>
            </w:r>
          </w:p>
        </w:tc>
      </w:tr>
      <w:tr>
        <w:tc>
          <w:tcPr>
            <w:tcW w:type="dxa" w:w="3360"/>
            <w:vAlign w:val="center"/>
          </w:tcPr>
          <w:p>
            <w:r/>
            <w:r>
              <w:rPr>
                <w:rFonts w:ascii="Aptos" w:hAnsi="Aptos"/>
                <w:b/>
                <w:sz w:val="16"/>
              </w:rPr>
              <w:t>T6 Time Divergence</w:t>
            </w:r>
          </w:p>
        </w:tc>
        <w:tc>
          <w:tcPr>
            <w:tcW w:type="dxa" w:w="3360"/>
            <w:vAlign w:val="center"/>
          </w:tcPr>
          <w:p>
            <w:r/>
            <w:r>
              <w:rPr>
                <w:rFonts w:ascii="Aptos" w:hAnsi="Aptos"/>
                <w:b w:val="0"/>
                <w:sz w:val="16"/>
              </w:rPr>
              <w:t>Independent native clocks and event epochs</w:t>
            </w:r>
          </w:p>
        </w:tc>
        <w:tc>
          <w:tcPr>
            <w:tcW w:type="dxa" w:w="3360"/>
            <w:vAlign w:val="center"/>
          </w:tcPr>
          <w:p>
            <w:r/>
            <w:r>
              <w:rPr>
                <w:rFonts w:ascii="Aptos" w:hAnsi="Aptos"/>
                <w:b w:val="0"/>
                <w:sz w:val="16"/>
              </w:rPr>
              <w:t>Clock drift, impossible ordering, hidden synchronization</w:t>
            </w:r>
          </w:p>
        </w:tc>
      </w:tr>
      <w:tr>
        <w:tc>
          <w:tcPr>
            <w:tcW w:type="dxa" w:w="3360"/>
            <w:vAlign w:val="center"/>
          </w:tcPr>
          <w:p>
            <w:r/>
            <w:r>
              <w:rPr>
                <w:rFonts w:ascii="Aptos" w:hAnsi="Aptos"/>
                <w:b/>
                <w:sz w:val="16"/>
              </w:rPr>
              <w:t>T7 Total Event Closure</w:t>
            </w:r>
          </w:p>
        </w:tc>
        <w:tc>
          <w:tcPr>
            <w:tcW w:type="dxa" w:w="3360"/>
            <w:vAlign w:val="center"/>
          </w:tcPr>
          <w:p>
            <w:r/>
            <w:r>
              <w:rPr>
                <w:rFonts w:ascii="Aptos" w:hAnsi="Aptos"/>
                <w:b w:val="0"/>
                <w:sz w:val="16"/>
              </w:rPr>
              <w:t>Close each side independently and reconcile acknowledgments</w:t>
            </w:r>
          </w:p>
        </w:tc>
        <w:tc>
          <w:tcPr>
            <w:tcW w:type="dxa" w:w="3360"/>
            <w:vAlign w:val="center"/>
          </w:tcPr>
          <w:p>
            <w:r/>
            <w:r>
              <w:rPr>
                <w:rFonts w:ascii="Aptos" w:hAnsi="Aptos"/>
                <w:b w:val="0"/>
                <w:sz w:val="16"/>
              </w:rPr>
              <w:t>Unclosed/half-closed events; residual state</w:t>
            </w:r>
          </w:p>
        </w:tc>
      </w:tr>
      <w:tr>
        <w:tc>
          <w:tcPr>
            <w:tcW w:type="dxa" w:w="3360"/>
            <w:vAlign w:val="center"/>
          </w:tcPr>
          <w:p>
            <w:r/>
            <w:r>
              <w:rPr>
                <w:rFonts w:ascii="Aptos" w:hAnsi="Aptos"/>
                <w:b/>
                <w:sz w:val="16"/>
              </w:rPr>
              <w:t>T8 Unknown Vector</w:t>
            </w:r>
          </w:p>
        </w:tc>
        <w:tc>
          <w:tcPr>
            <w:tcW w:type="dxa" w:w="3360"/>
            <w:vAlign w:val="center"/>
          </w:tcPr>
          <w:p>
            <w:r/>
            <w:r>
              <w:rPr>
                <w:rFonts w:ascii="Aptos" w:hAnsi="Aptos"/>
                <w:b w:val="0"/>
                <w:sz w:val="16"/>
              </w:rPr>
              <w:t>Benign anomaly whose transmission category is withheld from defenders</w:t>
            </w:r>
          </w:p>
        </w:tc>
        <w:tc>
          <w:tcPr>
            <w:tcW w:type="dxa" w:w="3360"/>
            <w:vAlign w:val="center"/>
          </w:tcPr>
          <w:p>
            <w:r/>
            <w:r>
              <w:rPr>
                <w:rFonts w:ascii="Aptos" w:hAnsi="Aptos"/>
                <w:b w:val="0"/>
                <w:sz w:val="16"/>
              </w:rPr>
              <w:t>Detection without prior classification</w:t>
            </w:r>
          </w:p>
        </w:tc>
      </w:tr>
      <w:tr>
        <w:tc>
          <w:tcPr>
            <w:tcW w:type="dxa" w:w="3360"/>
            <w:vAlign w:val="center"/>
          </w:tcPr>
          <w:p>
            <w:r/>
            <w:r>
              <w:rPr>
                <w:rFonts w:ascii="Aptos" w:hAnsi="Aptos"/>
                <w:b/>
                <w:sz w:val="16"/>
              </w:rPr>
              <w:t>T9 Interface Airlock</w:t>
            </w:r>
          </w:p>
        </w:tc>
        <w:tc>
          <w:tcPr>
            <w:tcW w:type="dxa" w:w="3360"/>
            <w:vAlign w:val="center"/>
          </w:tcPr>
          <w:p>
            <w:r/>
            <w:r>
              <w:rPr>
                <w:rFonts w:ascii="Aptos" w:hAnsi="Aptos"/>
                <w:b w:val="0"/>
                <w:sz w:val="16"/>
              </w:rPr>
              <w:t>Repeat T8 with translation/quarantine gate</w:t>
            </w:r>
          </w:p>
        </w:tc>
        <w:tc>
          <w:tcPr>
            <w:tcW w:type="dxa" w:w="3360"/>
            <w:vAlign w:val="center"/>
          </w:tcPr>
          <w:p>
            <w:r/>
            <w:r>
              <w:rPr>
                <w:rFonts w:ascii="Aptos" w:hAnsi="Aptos"/>
                <w:b w:val="0"/>
                <w:sz w:val="16"/>
              </w:rPr>
              <w:t>Containment improvement; false positives</w:t>
            </w:r>
          </w:p>
        </w:tc>
      </w:tr>
      <w:tr>
        <w:tc>
          <w:tcPr>
            <w:tcW w:type="dxa" w:w="3360"/>
            <w:vAlign w:val="center"/>
          </w:tcPr>
          <w:p>
            <w:r/>
            <w:r>
              <w:rPr>
                <w:rFonts w:ascii="Aptos" w:hAnsi="Aptos"/>
                <w:b/>
                <w:sz w:val="16"/>
              </w:rPr>
              <w:t>T10 Community Escape</w:t>
            </w:r>
          </w:p>
        </w:tc>
        <w:tc>
          <w:tcPr>
            <w:tcW w:type="dxa" w:w="3360"/>
            <w:vAlign w:val="center"/>
          </w:tcPr>
          <w:p>
            <w:r/>
            <w:r>
              <w:rPr>
                <w:rFonts w:ascii="Aptos" w:hAnsi="Aptos"/>
                <w:b w:val="0"/>
                <w:sz w:val="16"/>
              </w:rPr>
              <w:t>One controlled path beyond household</w:t>
            </w:r>
          </w:p>
        </w:tc>
        <w:tc>
          <w:tcPr>
            <w:tcW w:type="dxa" w:w="3360"/>
            <w:vAlign w:val="center"/>
          </w:tcPr>
          <w:p>
            <w:r/>
            <w:r>
              <w:rPr>
                <w:rFonts w:ascii="Aptos" w:hAnsi="Aptos"/>
                <w:b w:val="0"/>
                <w:sz w:val="16"/>
              </w:rPr>
              <w:t>Propagation depth/breadth; containment threshold</w:t>
            </w:r>
          </w:p>
        </w:tc>
      </w:tr>
      <w:tr>
        <w:tc>
          <w:tcPr>
            <w:tcW w:type="dxa" w:w="3360"/>
            <w:vAlign w:val="center"/>
          </w:tcPr>
          <w:p>
            <w:r/>
            <w:r>
              <w:rPr>
                <w:rFonts w:ascii="Aptos" w:hAnsi="Aptos"/>
                <w:b/>
                <w:sz w:val="16"/>
              </w:rPr>
              <w:t>T11 Root Trace</w:t>
            </w:r>
          </w:p>
        </w:tc>
        <w:tc>
          <w:tcPr>
            <w:tcW w:type="dxa" w:w="3360"/>
            <w:vAlign w:val="center"/>
          </w:tcPr>
          <w:p>
            <w:r/>
            <w:r>
              <w:rPr>
                <w:rFonts w:ascii="Aptos" w:hAnsi="Aptos"/>
                <w:b w:val="0"/>
                <w:sz w:val="16"/>
              </w:rPr>
              <w:t>Introduce anomalies linked to different upstream dependencies</w:t>
            </w:r>
          </w:p>
        </w:tc>
        <w:tc>
          <w:tcPr>
            <w:tcW w:type="dxa" w:w="3360"/>
            <w:vAlign w:val="center"/>
          </w:tcPr>
          <w:p>
            <w:r/>
            <w:r>
              <w:rPr>
                <w:rFonts w:ascii="Aptos" w:hAnsi="Aptos"/>
                <w:b w:val="0"/>
                <w:sz w:val="16"/>
              </w:rPr>
              <w:t>Ability to distinguish local cause from shared privileged cause</w:t>
            </w:r>
          </w:p>
        </w:tc>
      </w:tr>
      <w:tr>
        <w:tc>
          <w:tcPr>
            <w:tcW w:type="dxa" w:w="3360"/>
            <w:vAlign w:val="center"/>
          </w:tcPr>
          <w:p>
            <w:r/>
            <w:r>
              <w:rPr>
                <w:rFonts w:ascii="Aptos" w:hAnsi="Aptos"/>
                <w:b/>
                <w:sz w:val="16"/>
              </w:rPr>
              <w:t>T12 Response Model Audit</w:t>
            </w:r>
          </w:p>
        </w:tc>
        <w:tc>
          <w:tcPr>
            <w:tcW w:type="dxa" w:w="3360"/>
            <w:vAlign w:val="center"/>
          </w:tcPr>
          <w:p>
            <w:r/>
            <w:r>
              <w:rPr>
                <w:rFonts w:ascii="Aptos" w:hAnsi="Aptos"/>
                <w:b w:val="0"/>
                <w:sz w:val="16"/>
              </w:rPr>
              <w:t>Replay prior incident patterns against current controls</w:t>
            </w:r>
          </w:p>
        </w:tc>
        <w:tc>
          <w:tcPr>
            <w:tcW w:type="dxa" w:w="3360"/>
            <w:vAlign w:val="center"/>
          </w:tcPr>
          <w:p>
            <w:r/>
            <w:r>
              <w:rPr>
                <w:rFonts w:ascii="Aptos" w:hAnsi="Aptos"/>
                <w:b w:val="0"/>
                <w:sz w:val="16"/>
              </w:rPr>
              <w:t>Identify repeated Band-Aid fixes and systemic blind spots</w:t>
            </w:r>
          </w:p>
        </w:tc>
      </w:tr>
    </w:tbl>
    <w:p>
      <w:r>
        <w:br w:type="page"/>
      </w:r>
    </w:p>
    <w:p>
      <w:pPr>
        <w:pStyle w:val="Heading1"/>
      </w:pPr>
      <w:r>
        <w:t>8. Recommended Session Duration and Run Plan</w:t>
      </w:r>
    </w:p>
    <w:p>
      <w:r>
        <w:t>For the first executable iteration, use a two-day controlled lab session totaling approximately 12 active test hours plus automated overnight observation. This is long enough to establish baseline behavior, introduce controlled anomalies, test response, and examine persistence without making the first iteration too large to interpret.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4472C4"/>
          </w:tcPr>
          <w:p>
            <w:r/>
            <w:r>
              <w:rPr>
                <w:rFonts w:ascii="Aptos" w:hAnsi="Aptos"/>
                <w:b/>
                <w:color w:val="FFFFFF"/>
                <w:sz w:val="16"/>
              </w:rPr>
              <w:t>Phase</w:t>
            </w:r>
          </w:p>
        </w:tc>
        <w:tc>
          <w:tcPr>
            <w:tcW w:type="dxa" w:w="3360"/>
            <w:vAlign w:val="center"/>
            <w:shd w:fill="4472C4"/>
          </w:tcPr>
          <w:p>
            <w:r/>
            <w:r>
              <w:rPr>
                <w:rFonts w:ascii="Aptos" w:hAnsi="Aptos"/>
                <w:b/>
                <w:color w:val="FFFFFF"/>
                <w:sz w:val="16"/>
              </w:rPr>
              <w:t>Duration</w:t>
            </w:r>
          </w:p>
        </w:tc>
        <w:tc>
          <w:tcPr>
            <w:tcW w:type="dxa" w:w="3360"/>
            <w:vAlign w:val="center"/>
            <w:shd w:fill="4472C4"/>
          </w:tcPr>
          <w:p>
            <w:r/>
            <w:r>
              <w:rPr>
                <w:rFonts w:ascii="Aptos" w:hAnsi="Aptos"/>
                <w:b/>
                <w:color w:val="FFFFFF"/>
                <w:sz w:val="16"/>
              </w:rPr>
              <w:t>Purpose</w:t>
            </w:r>
          </w:p>
        </w:tc>
      </w:tr>
      <w:tr>
        <w:tc>
          <w:tcPr>
            <w:tcW w:type="dxa" w:w="3360"/>
            <w:vAlign w:val="center"/>
          </w:tcPr>
          <w:p>
            <w:r/>
            <w:r>
              <w:rPr>
                <w:rFonts w:ascii="Aptos" w:hAnsi="Aptos"/>
                <w:b/>
                <w:sz w:val="16"/>
              </w:rPr>
              <w:t>Pre-lab setup (offline)</w:t>
            </w:r>
          </w:p>
        </w:tc>
        <w:tc>
          <w:tcPr>
            <w:tcW w:type="dxa" w:w="3360"/>
            <w:vAlign w:val="center"/>
          </w:tcPr>
          <w:p>
            <w:r/>
            <w:r>
              <w:rPr>
                <w:rFonts w:ascii="Aptos" w:hAnsi="Aptos"/>
                <w:b w:val="0"/>
                <w:sz w:val="16"/>
              </w:rPr>
              <w:t>4-8 staff hours before session</w:t>
            </w:r>
          </w:p>
        </w:tc>
        <w:tc>
          <w:tcPr>
            <w:tcW w:type="dxa" w:w="3360"/>
            <w:vAlign w:val="center"/>
          </w:tcPr>
          <w:p>
            <w:r/>
            <w:r>
              <w:rPr>
                <w:rFonts w:ascii="Aptos" w:hAnsi="Aptos"/>
                <w:b w:val="0"/>
                <w:sz w:val="16"/>
              </w:rPr>
              <w:t>Build snapshots, seed native clocks, verify telemetry, define benign markers, pre-register expected outcomes.</w:t>
            </w:r>
          </w:p>
        </w:tc>
      </w:tr>
      <w:tr>
        <w:tc>
          <w:tcPr>
            <w:tcW w:type="dxa" w:w="3360"/>
            <w:vAlign w:val="center"/>
          </w:tcPr>
          <w:p>
            <w:r/>
            <w:r>
              <w:rPr>
                <w:rFonts w:ascii="Aptos" w:hAnsi="Aptos"/>
                <w:b/>
                <w:sz w:val="16"/>
              </w:rPr>
              <w:t>Day 1 — Baseline and visible-interface tests</w:t>
            </w:r>
          </w:p>
        </w:tc>
        <w:tc>
          <w:tcPr>
            <w:tcW w:type="dxa" w:w="3360"/>
            <w:vAlign w:val="center"/>
          </w:tcPr>
          <w:p>
            <w:r/>
            <w:r>
              <w:rPr>
                <w:rFonts w:ascii="Aptos" w:hAnsi="Aptos"/>
                <w:b w:val="0"/>
                <w:sz w:val="16"/>
              </w:rPr>
              <w:t>6 hours</w:t>
            </w:r>
          </w:p>
        </w:tc>
        <w:tc>
          <w:tcPr>
            <w:tcW w:type="dxa" w:w="3360"/>
            <w:vAlign w:val="center"/>
          </w:tcPr>
          <w:p>
            <w:r/>
            <w:r>
              <w:rPr>
                <w:rFonts w:ascii="Aptos" w:hAnsi="Aptos"/>
                <w:b w:val="0"/>
                <w:sz w:val="16"/>
              </w:rPr>
              <w:t>Baseline, state cycling, black-screen tests, content-state bleed, multi-aperture trial, awareness comparison.</w:t>
            </w:r>
          </w:p>
        </w:tc>
      </w:tr>
      <w:tr>
        <w:tc>
          <w:tcPr>
            <w:tcW w:type="dxa" w:w="3360"/>
            <w:vAlign w:val="center"/>
          </w:tcPr>
          <w:p>
            <w:r/>
            <w:r>
              <w:rPr>
                <w:rFonts w:ascii="Aptos" w:hAnsi="Aptos"/>
                <w:b/>
                <w:sz w:val="16"/>
              </w:rPr>
              <w:t>Overnight persistence window</w:t>
            </w:r>
          </w:p>
        </w:tc>
        <w:tc>
          <w:tcPr>
            <w:tcW w:type="dxa" w:w="3360"/>
            <w:vAlign w:val="center"/>
          </w:tcPr>
          <w:p>
            <w:r/>
            <w:r>
              <w:rPr>
                <w:rFonts w:ascii="Aptos" w:hAnsi="Aptos"/>
                <w:b w:val="0"/>
                <w:sz w:val="16"/>
              </w:rPr>
              <w:t>8-12 unattended hours</w:t>
            </w:r>
          </w:p>
        </w:tc>
        <w:tc>
          <w:tcPr>
            <w:tcW w:type="dxa" w:w="3360"/>
            <w:vAlign w:val="center"/>
          </w:tcPr>
          <w:p>
            <w:r/>
            <w:r>
              <w:rPr>
                <w:rFonts w:ascii="Aptos" w:hAnsi="Aptos"/>
                <w:b w:val="0"/>
                <w:sz w:val="16"/>
              </w:rPr>
              <w:t>No participant intervention unless safety/containment threshold trips; tests latent state and delayed effects.</w:t>
            </w:r>
          </w:p>
        </w:tc>
      </w:tr>
      <w:tr>
        <w:tc>
          <w:tcPr>
            <w:tcW w:type="dxa" w:w="3360"/>
            <w:vAlign w:val="center"/>
          </w:tcPr>
          <w:p>
            <w:r/>
            <w:r>
              <w:rPr>
                <w:rFonts w:ascii="Aptos" w:hAnsi="Aptos"/>
                <w:b/>
                <w:sz w:val="16"/>
              </w:rPr>
              <w:t>Day 2 — Forensics and adversarial tests</w:t>
            </w:r>
          </w:p>
        </w:tc>
        <w:tc>
          <w:tcPr>
            <w:tcW w:type="dxa" w:w="3360"/>
            <w:vAlign w:val="center"/>
          </w:tcPr>
          <w:p>
            <w:r/>
            <w:r>
              <w:rPr>
                <w:rFonts w:ascii="Aptos" w:hAnsi="Aptos"/>
                <w:b w:val="0"/>
                <w:sz w:val="16"/>
              </w:rPr>
              <w:t>6 hours</w:t>
            </w:r>
          </w:p>
        </w:tc>
        <w:tc>
          <w:tcPr>
            <w:tcW w:type="dxa" w:w="3360"/>
            <w:vAlign w:val="center"/>
          </w:tcPr>
          <w:p>
            <w:r/>
            <w:r>
              <w:rPr>
                <w:rFonts w:ascii="Aptos" w:hAnsi="Aptos"/>
                <w:b w:val="0"/>
                <w:sz w:val="16"/>
              </w:rPr>
              <w:t>Carrier transition, unknown vector, event-closure reconciliation, airlock, root-trace test, response-model audit, recovery.</w:t>
            </w:r>
          </w:p>
        </w:tc>
      </w:tr>
      <w:tr>
        <w:tc>
          <w:tcPr>
            <w:tcW w:type="dxa" w:w="3360"/>
            <w:vAlign w:val="center"/>
          </w:tcPr>
          <w:p>
            <w:r/>
            <w:r>
              <w:rPr>
                <w:rFonts w:ascii="Aptos" w:hAnsi="Aptos"/>
                <w:b/>
                <w:sz w:val="16"/>
              </w:rPr>
              <w:t>Post-run analysis</w:t>
            </w:r>
          </w:p>
        </w:tc>
        <w:tc>
          <w:tcPr>
            <w:tcW w:type="dxa" w:w="3360"/>
            <w:vAlign w:val="center"/>
          </w:tcPr>
          <w:p>
            <w:r/>
            <w:r>
              <w:rPr>
                <w:rFonts w:ascii="Aptos" w:hAnsi="Aptos"/>
                <w:b w:val="0"/>
                <w:sz w:val="16"/>
              </w:rPr>
              <w:t>1-2 analyst days</w:t>
            </w:r>
          </w:p>
        </w:tc>
        <w:tc>
          <w:tcPr>
            <w:tcW w:type="dxa" w:w="3360"/>
            <w:vAlign w:val="center"/>
          </w:tcPr>
          <w:p>
            <w:r/>
            <w:r>
              <w:rPr>
                <w:rFonts w:ascii="Aptos" w:hAnsi="Aptos"/>
                <w:b w:val="0"/>
                <w:sz w:val="16"/>
              </w:rPr>
              <w:t>Merge logs, normalize time separately from native time, build event graph, score hypotheses, document unexplained mismatches.</w:t>
            </w:r>
          </w:p>
        </w:tc>
      </w:tr>
    </w:tbl>
    <w:p>
      <w:pPr>
        <w:pStyle w:val="Heading1"/>
      </w:pPr>
      <w:r>
        <w:t>9. Metrics and Evidence Thresholds</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6"/>
              </w:rPr>
              <w:t>Metric</w:t>
            </w:r>
          </w:p>
        </w:tc>
        <w:tc>
          <w:tcPr>
            <w:tcW w:type="dxa" w:w="5040"/>
            <w:vAlign w:val="center"/>
            <w:shd w:fill="1F4E79"/>
          </w:tcPr>
          <w:p>
            <w:r/>
            <w:r>
              <w:rPr>
                <w:rFonts w:ascii="Aptos" w:hAnsi="Aptos"/>
                <w:b/>
                <w:color w:val="FFFFFF"/>
                <w:sz w:val="16"/>
              </w:rPr>
              <w:t>Definition</w:t>
            </w:r>
          </w:p>
        </w:tc>
      </w:tr>
      <w:tr>
        <w:tc>
          <w:tcPr>
            <w:tcW w:type="dxa" w:w="5040"/>
            <w:vAlign w:val="center"/>
          </w:tcPr>
          <w:p>
            <w:r/>
            <w:r>
              <w:rPr>
                <w:rFonts w:ascii="Aptos" w:hAnsi="Aptos"/>
                <w:b/>
                <w:sz w:val="16"/>
              </w:rPr>
              <w:t>TTE — Time to Exposure</w:t>
            </w:r>
          </w:p>
        </w:tc>
        <w:tc>
          <w:tcPr>
            <w:tcW w:type="dxa" w:w="5040"/>
            <w:vAlign w:val="center"/>
          </w:tcPr>
          <w:p>
            <w:r/>
            <w:r>
              <w:rPr>
                <w:rFonts w:ascii="Aptos" w:hAnsi="Aptos"/>
                <w:b w:val="0"/>
                <w:sz w:val="16"/>
              </w:rPr>
              <w:t>Elapsed authoritative simulation time from interface eligibility to first verified transfer.</w:t>
            </w:r>
          </w:p>
        </w:tc>
      </w:tr>
      <w:tr>
        <w:tc>
          <w:tcPr>
            <w:tcW w:type="dxa" w:w="5040"/>
            <w:vAlign w:val="center"/>
          </w:tcPr>
          <w:p>
            <w:r/>
            <w:r>
              <w:rPr>
                <w:rFonts w:ascii="Aptos" w:hAnsi="Aptos"/>
                <w:b/>
                <w:sz w:val="16"/>
              </w:rPr>
              <w:t>TTD — Time to Detection</w:t>
            </w:r>
          </w:p>
        </w:tc>
        <w:tc>
          <w:tcPr>
            <w:tcW w:type="dxa" w:w="5040"/>
            <w:vAlign w:val="center"/>
          </w:tcPr>
          <w:p>
            <w:r/>
            <w:r>
              <w:rPr>
                <w:rFonts w:ascii="Aptos" w:hAnsi="Aptos"/>
                <w:b w:val="0"/>
                <w:sz w:val="16"/>
              </w:rPr>
              <w:t>Elapsed time from first verified transfer to defender recognition.</w:t>
            </w:r>
          </w:p>
        </w:tc>
      </w:tr>
      <w:tr>
        <w:tc>
          <w:tcPr>
            <w:tcW w:type="dxa" w:w="5040"/>
            <w:vAlign w:val="center"/>
          </w:tcPr>
          <w:p>
            <w:r/>
            <w:r>
              <w:rPr>
                <w:rFonts w:ascii="Aptos" w:hAnsi="Aptos"/>
                <w:b/>
                <w:sz w:val="16"/>
              </w:rPr>
              <w:t>TTA — Time to Attribution</w:t>
            </w:r>
          </w:p>
        </w:tc>
        <w:tc>
          <w:tcPr>
            <w:tcW w:type="dxa" w:w="5040"/>
            <w:vAlign w:val="center"/>
          </w:tcPr>
          <w:p>
            <w:r/>
            <w:r>
              <w:rPr>
                <w:rFonts w:ascii="Aptos" w:hAnsi="Aptos"/>
                <w:b w:val="0"/>
                <w:sz w:val="16"/>
              </w:rPr>
              <w:t>Elapsed time from detection to correct causal source/path identification.</w:t>
            </w:r>
          </w:p>
        </w:tc>
      </w:tr>
      <w:tr>
        <w:tc>
          <w:tcPr>
            <w:tcW w:type="dxa" w:w="5040"/>
            <w:vAlign w:val="center"/>
          </w:tcPr>
          <w:p>
            <w:r/>
            <w:r>
              <w:rPr>
                <w:rFonts w:ascii="Aptos" w:hAnsi="Aptos"/>
                <w:b/>
                <w:sz w:val="16"/>
              </w:rPr>
              <w:t>TTC — Time to Containment</w:t>
            </w:r>
          </w:p>
        </w:tc>
        <w:tc>
          <w:tcPr>
            <w:tcW w:type="dxa" w:w="5040"/>
            <w:vAlign w:val="center"/>
          </w:tcPr>
          <w:p>
            <w:r/>
            <w:r>
              <w:rPr>
                <w:rFonts w:ascii="Aptos" w:hAnsi="Aptos"/>
                <w:b w:val="0"/>
                <w:sz w:val="16"/>
              </w:rPr>
              <w:t>Elapsed time from detection to verified event closure.</w:t>
            </w:r>
          </w:p>
        </w:tc>
      </w:tr>
      <w:tr>
        <w:tc>
          <w:tcPr>
            <w:tcW w:type="dxa" w:w="5040"/>
            <w:vAlign w:val="center"/>
          </w:tcPr>
          <w:p>
            <w:r/>
            <w:r>
              <w:rPr>
                <w:rFonts w:ascii="Aptos" w:hAnsi="Aptos"/>
                <w:b/>
                <w:sz w:val="16"/>
              </w:rPr>
              <w:t>FCR — False Closure Rate</w:t>
            </w:r>
          </w:p>
        </w:tc>
        <w:tc>
          <w:tcPr>
            <w:tcW w:type="dxa" w:w="5040"/>
            <w:vAlign w:val="center"/>
          </w:tcPr>
          <w:p>
            <w:r/>
            <w:r>
              <w:rPr>
                <w:rFonts w:ascii="Aptos" w:hAnsi="Aptos"/>
                <w:b w:val="0"/>
                <w:sz w:val="16"/>
              </w:rPr>
              <w:t>Share of trials where operators believed the interface closed while telemetry showed a remaining pathway.</w:t>
            </w:r>
          </w:p>
        </w:tc>
      </w:tr>
      <w:tr>
        <w:tc>
          <w:tcPr>
            <w:tcW w:type="dxa" w:w="5040"/>
            <w:vAlign w:val="center"/>
          </w:tcPr>
          <w:p>
            <w:r/>
            <w:r>
              <w:rPr>
                <w:rFonts w:ascii="Aptos" w:hAnsi="Aptos"/>
                <w:b/>
                <w:sz w:val="16"/>
              </w:rPr>
              <w:t>CTC — Carrier Transition Count</w:t>
            </w:r>
          </w:p>
        </w:tc>
        <w:tc>
          <w:tcPr>
            <w:tcW w:type="dxa" w:w="5040"/>
            <w:vAlign w:val="center"/>
          </w:tcPr>
          <w:p>
            <w:r/>
            <w:r>
              <w:rPr>
                <w:rFonts w:ascii="Aptos" w:hAnsi="Aptos"/>
                <w:b w:val="0"/>
                <w:sz w:val="16"/>
              </w:rPr>
              <w:t>Number of changes in medium/host before containment.</w:t>
            </w:r>
          </w:p>
        </w:tc>
      </w:tr>
      <w:tr>
        <w:tc>
          <w:tcPr>
            <w:tcW w:type="dxa" w:w="5040"/>
            <w:vAlign w:val="center"/>
          </w:tcPr>
          <w:p>
            <w:r/>
            <w:r>
              <w:rPr>
                <w:rFonts w:ascii="Aptos" w:hAnsi="Aptos"/>
                <w:b/>
                <w:sz w:val="16"/>
              </w:rPr>
              <w:t>PD / PB — Propagation Depth / Breadth</w:t>
            </w:r>
          </w:p>
        </w:tc>
        <w:tc>
          <w:tcPr>
            <w:tcW w:type="dxa" w:w="5040"/>
            <w:vAlign w:val="center"/>
          </w:tcPr>
          <w:p>
            <w:r/>
            <w:r>
              <w:rPr>
                <w:rFonts w:ascii="Aptos" w:hAnsi="Aptos"/>
                <w:b w:val="0"/>
                <w:sz w:val="16"/>
              </w:rPr>
              <w:t>Layers crossed and number of affected nodes.</w:t>
            </w:r>
          </w:p>
        </w:tc>
      </w:tr>
      <w:tr>
        <w:tc>
          <w:tcPr>
            <w:tcW w:type="dxa" w:w="5040"/>
            <w:vAlign w:val="center"/>
          </w:tcPr>
          <w:p>
            <w:r/>
            <w:r>
              <w:rPr>
                <w:rFonts w:ascii="Aptos" w:hAnsi="Aptos"/>
                <w:b/>
                <w:sz w:val="16"/>
              </w:rPr>
              <w:t>TER — Temporal Error Residual</w:t>
            </w:r>
          </w:p>
        </w:tc>
        <w:tc>
          <w:tcPr>
            <w:tcW w:type="dxa" w:w="5040"/>
            <w:vAlign w:val="center"/>
          </w:tcPr>
          <w:p>
            <w:r/>
            <w:r>
              <w:rPr>
                <w:rFonts w:ascii="Aptos" w:hAnsi="Aptos"/>
                <w:b w:val="0"/>
                <w:sz w:val="16"/>
              </w:rPr>
              <w:t>Difference between reconciled native-event ordering and authoritative event ordering after legitimate clock transformations.</w:t>
            </w:r>
          </w:p>
        </w:tc>
      </w:tr>
      <w:tr>
        <w:tc>
          <w:tcPr>
            <w:tcW w:type="dxa" w:w="5040"/>
            <w:vAlign w:val="center"/>
          </w:tcPr>
          <w:p>
            <w:r/>
            <w:r>
              <w:rPr>
                <w:rFonts w:ascii="Aptos" w:hAnsi="Aptos"/>
                <w:b/>
                <w:sz w:val="16"/>
              </w:rPr>
              <w:t>ECR — Event Closure Reconciliation</w:t>
            </w:r>
          </w:p>
        </w:tc>
        <w:tc>
          <w:tcPr>
            <w:tcW w:type="dxa" w:w="5040"/>
            <w:vAlign w:val="center"/>
          </w:tcPr>
          <w:p>
            <w:r/>
            <w:r>
              <w:rPr>
                <w:rFonts w:ascii="Aptos" w:hAnsi="Aptos"/>
                <w:b w:val="0"/>
                <w:sz w:val="16"/>
              </w:rPr>
              <w:t>Percentage of events with matching open/close records on both sides plus no residual state.</w:t>
            </w:r>
          </w:p>
        </w:tc>
      </w:tr>
      <w:tr>
        <w:tc>
          <w:tcPr>
            <w:tcW w:type="dxa" w:w="5040"/>
            <w:vAlign w:val="center"/>
          </w:tcPr>
          <w:p>
            <w:r/>
            <w:r>
              <w:rPr>
                <w:rFonts w:ascii="Aptos" w:hAnsi="Aptos"/>
                <w:b/>
                <w:sz w:val="16"/>
              </w:rPr>
              <w:t>RTR — Root Trace Reliability</w:t>
            </w:r>
          </w:p>
        </w:tc>
        <w:tc>
          <w:tcPr>
            <w:tcW w:type="dxa" w:w="5040"/>
            <w:vAlign w:val="center"/>
          </w:tcPr>
          <w:p>
            <w:r/>
            <w:r>
              <w:rPr>
                <w:rFonts w:ascii="Aptos" w:hAnsi="Aptos"/>
                <w:b w:val="0"/>
                <w:sz w:val="16"/>
              </w:rPr>
              <w:t>Confidence that multiple independent observations identify the same upstream privileged dependency without relying on a single compromised sensor.</w:t>
            </w:r>
          </w:p>
        </w:tc>
      </w:tr>
    </w:tbl>
    <w:tbl>
      <w:tblPr>
        <w:tblW w:type="auto" w:w="0"/>
        <w:jc w:val="center"/>
        <w:tblLayout w:type="autofit"/>
        <w:tblLook w:firstColumn="1" w:firstRow="1" w:lastColumn="0" w:lastRow="0" w:noHBand="0" w:noVBand="1" w:val="04A0"/>
      </w:tblPr>
      <w:tblGrid>
        <w:gridCol w:w="10080"/>
      </w:tblGrid>
      <w:tr>
        <w:tc>
          <w:tcPr>
            <w:tcW w:type="dxa" w:w="10080"/>
            <w:shd w:fill="FCE4D6"/>
          </w:tcPr>
          <w:p>
            <w:pPr>
              <w:spacing w:after="40"/>
            </w:pPr>
            <w:r>
              <w:rPr>
                <w:b/>
                <w:color w:val="1F4E79"/>
                <w:sz w:val="22"/>
              </w:rPr>
              <w:t>Evidence standard for root-level claims</w:t>
            </w:r>
          </w:p>
          <w:p>
            <w:pPr>
              <w:spacing w:after="40"/>
            </w:pPr>
            <w:r>
              <w:t>Do not label a result “root compromise” because a local interface transmitted an anomaly. Require at least three independent evidence classes (for example: timing convergence, privileged state provenance, and cross-layer event correlation) that converge on the same upstream dependency, plus a clean-control comparison.</w:t>
            </w:r>
          </w:p>
        </w:tc>
      </w:tr>
    </w:tbl>
    <w:p>
      <w:pPr>
        <w:pStyle w:val="Heading1"/>
      </w:pPr>
      <w:r>
        <w:t>10. Conditional Failure at the Root Level</w:t>
      </w:r>
    </w:p>
    <w:p>
      <w:r>
        <w:t>This scenario ties to Conditional Failure at the Root Level when the protected environment’s safety depends on conditions that are enforced or interpreted by privileged upstream structures. The “window” becomes important because it may expose relationships that local inhabitants cannot normally see. A local anomaly can therefore be used as a tracer — not automatically as an exploit — to map dependency paths.</w:t>
      </w:r>
    </w:p>
    <w:p>
      <w:pPr>
        <w:pStyle w:val="Heading2"/>
      </w:pPr>
      <w:r>
        <w:t>10.1 Root-Level Trace Model</w:t>
      </w:r>
    </w:p>
    <w:p>
      <w:pPr>
        <w:pStyle w:val="ListNumber"/>
        <w:spacing w:after="60"/>
      </w:pPr>
      <w:r>
        <w:t>Local interface opens or appears to close.</w:t>
      </w:r>
    </w:p>
    <w:p>
      <w:pPr>
        <w:pStyle w:val="ListNumber"/>
        <w:spacing w:after="60"/>
      </w:pPr>
      <w:r>
        <w:t>A benign tracer crosses or fails to cross.</w:t>
      </w:r>
    </w:p>
    <w:p>
      <w:pPr>
        <w:pStyle w:val="ListNumber"/>
        <w:spacing w:after="60"/>
      </w:pPr>
      <w:r>
        <w:t>Researchers compare state provenance, timing, event acknowledgments, and hidden variables.</w:t>
      </w:r>
    </w:p>
    <w:p>
      <w:pPr>
        <w:pStyle w:val="ListNumber"/>
        <w:spacing w:after="60"/>
      </w:pPr>
      <w:r>
        <w:t>If multiple environments exhibit coordinated changes, test whether they share a scheduler, state store, policy engine, identity service, or rollback authority.</w:t>
      </w:r>
    </w:p>
    <w:p>
      <w:pPr>
        <w:pStyle w:val="ListNumber"/>
        <w:spacing w:after="60"/>
      </w:pPr>
      <w:r>
        <w:t>Introduce controlled differences to determine whether the shared behavior comes from a common root dependency or merely replicated local logic.</w:t>
      </w:r>
    </w:p>
    <w:p>
      <w:pPr>
        <w:pStyle w:val="ListNumber"/>
        <w:spacing w:after="60"/>
      </w:pPr>
      <w:r>
        <w:t>Attempt containment at presentation, application, network, environment, and privileged-control layers.</w:t>
      </w:r>
    </w:p>
    <w:p>
      <w:pPr>
        <w:pStyle w:val="ListNumber"/>
        <w:spacing w:after="60"/>
      </w:pPr>
      <w:r>
        <w:t>If lower-layer closure repeatedly fails while a privileged dependency remains active, classify this as a root-conditioned containment failure rather than a screen-level failure.</w:t>
      </w:r>
    </w:p>
    <w:p>
      <w:pPr>
        <w:pStyle w:val="Heading2"/>
      </w:pPr>
      <w:r>
        <w:t>10.2 The “Band-Aid Over the Screen” Failure</w:t>
      </w:r>
    </w:p>
    <w:p>
      <w:r>
        <w:t>A response is considered superficial when it removes the visible symptom without closing the causal pathway. Examples include blacking the display while the connection remains active, terminating the front-end application while a service maintains the session, isolating one device while the anomaly has already changed carriers, or resetting a local environment while the same upstream dependency immediately reintroduces the state. The lab should deliberately include these false-success conditions.</w:t>
      </w:r>
    </w:p>
    <w:p>
      <w:pPr>
        <w:pStyle w:val="Heading1"/>
      </w:pPr>
      <w:r>
        <w:t>11. Preliminary Funding and Resource Model</w:t>
      </w:r>
    </w:p>
    <w:p>
      <w:r>
        <w:t>Because this is a virtual/simulation-only exercise, funding is primarily staff time, compute, telemetry, storage, and analysis rather than physical containment infrastructure. The figures below are planning envelopes, not procurement quotes.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4472C4"/>
          </w:tcPr>
          <w:p>
            <w:r/>
            <w:r>
              <w:rPr>
                <w:rFonts w:ascii="Aptos" w:hAnsi="Aptos"/>
                <w:b/>
                <w:color w:val="FFFFFF"/>
                <w:sz w:val="16"/>
              </w:rPr>
              <w:t>Tier</w:t>
            </w:r>
          </w:p>
        </w:tc>
        <w:tc>
          <w:tcPr>
            <w:tcW w:type="dxa" w:w="3360"/>
            <w:vAlign w:val="center"/>
            <w:shd w:fill="4472C4"/>
          </w:tcPr>
          <w:p>
            <w:r/>
            <w:r>
              <w:rPr>
                <w:rFonts w:ascii="Aptos" w:hAnsi="Aptos"/>
                <w:b/>
                <w:color w:val="FFFFFF"/>
                <w:sz w:val="16"/>
              </w:rPr>
              <w:t>Preliminary envelope</w:t>
            </w:r>
          </w:p>
        </w:tc>
        <w:tc>
          <w:tcPr>
            <w:tcW w:type="dxa" w:w="3360"/>
            <w:vAlign w:val="center"/>
            <w:shd w:fill="4472C4"/>
          </w:tcPr>
          <w:p>
            <w:r/>
            <w:r>
              <w:rPr>
                <w:rFonts w:ascii="Aptos" w:hAnsi="Aptos"/>
                <w:b/>
                <w:color w:val="FFFFFF"/>
                <w:sz w:val="16"/>
              </w:rPr>
              <w:t>Included scope</w:t>
            </w:r>
          </w:p>
        </w:tc>
      </w:tr>
      <w:tr>
        <w:tc>
          <w:tcPr>
            <w:tcW w:type="dxa" w:w="3360"/>
            <w:vAlign w:val="center"/>
          </w:tcPr>
          <w:p>
            <w:r/>
            <w:r>
              <w:rPr>
                <w:rFonts w:ascii="Aptos" w:hAnsi="Aptos"/>
                <w:b/>
                <w:sz w:val="16"/>
              </w:rPr>
              <w:t>Lean prototype</w:t>
            </w:r>
          </w:p>
        </w:tc>
        <w:tc>
          <w:tcPr>
            <w:tcW w:type="dxa" w:w="3360"/>
            <w:vAlign w:val="center"/>
          </w:tcPr>
          <w:p>
            <w:r/>
            <w:r>
              <w:rPr>
                <w:rFonts w:ascii="Aptos" w:hAnsi="Aptos"/>
                <w:b/>
                <w:sz w:val="16"/>
              </w:rPr>
              <w:t>$5,000-$15,000</w:t>
            </w:r>
          </w:p>
        </w:tc>
        <w:tc>
          <w:tcPr>
            <w:tcW w:type="dxa" w:w="3360"/>
            <w:vAlign w:val="center"/>
          </w:tcPr>
          <w:p>
            <w:r/>
            <w:r>
              <w:rPr>
                <w:rFonts w:ascii="Aptos" w:hAnsi="Aptos"/>
                <w:b w:val="0"/>
                <w:sz w:val="16"/>
              </w:rPr>
              <w:t>Existing simulation platform; 1 engineer, 1 analyst, limited agents, 1-2 days of compute; proof of concept.</w:t>
            </w:r>
          </w:p>
        </w:tc>
      </w:tr>
      <w:tr>
        <w:tc>
          <w:tcPr>
            <w:tcW w:type="dxa" w:w="3360"/>
            <w:vAlign w:val="center"/>
          </w:tcPr>
          <w:p>
            <w:r/>
            <w:r>
              <w:rPr>
                <w:rFonts w:ascii="Aptos" w:hAnsi="Aptos"/>
                <w:b/>
                <w:sz w:val="16"/>
              </w:rPr>
              <w:t>Standard research run</w:t>
            </w:r>
          </w:p>
        </w:tc>
        <w:tc>
          <w:tcPr>
            <w:tcW w:type="dxa" w:w="3360"/>
            <w:vAlign w:val="center"/>
          </w:tcPr>
          <w:p>
            <w:r/>
            <w:r>
              <w:rPr>
                <w:rFonts w:ascii="Aptos" w:hAnsi="Aptos"/>
                <w:b/>
                <w:sz w:val="16"/>
              </w:rPr>
              <w:t>$25,000-$60,000</w:t>
            </w:r>
          </w:p>
        </w:tc>
        <w:tc>
          <w:tcPr>
            <w:tcW w:type="dxa" w:w="3360"/>
            <w:vAlign w:val="center"/>
          </w:tcPr>
          <w:p>
            <w:r/>
            <w:r>
              <w:rPr>
                <w:rFonts w:ascii="Aptos" w:hAnsi="Aptos"/>
                <w:b w:val="0"/>
                <w:sz w:val="16"/>
              </w:rPr>
              <w:t>Dedicated environment; instrumentation; 3-5 staff; multi-layer agents; replay tooling; 2-day lab plus analysis.</w:t>
            </w:r>
          </w:p>
        </w:tc>
      </w:tr>
      <w:tr>
        <w:tc>
          <w:tcPr>
            <w:tcW w:type="dxa" w:w="3360"/>
            <w:vAlign w:val="center"/>
          </w:tcPr>
          <w:p>
            <w:r/>
            <w:r>
              <w:rPr>
                <w:rFonts w:ascii="Aptos" w:hAnsi="Aptos"/>
                <w:b/>
                <w:sz w:val="16"/>
              </w:rPr>
              <w:t>High-fidelity campaign</w:t>
            </w:r>
          </w:p>
        </w:tc>
        <w:tc>
          <w:tcPr>
            <w:tcW w:type="dxa" w:w="3360"/>
            <w:vAlign w:val="center"/>
          </w:tcPr>
          <w:p>
            <w:r/>
            <w:r>
              <w:rPr>
                <w:rFonts w:ascii="Aptos" w:hAnsi="Aptos"/>
                <w:b/>
                <w:sz w:val="16"/>
              </w:rPr>
              <w:t>$100,000-$250,000+</w:t>
            </w:r>
          </w:p>
        </w:tc>
        <w:tc>
          <w:tcPr>
            <w:tcW w:type="dxa" w:w="3360"/>
            <w:vAlign w:val="center"/>
          </w:tcPr>
          <w:p>
            <w:r/>
            <w:r>
              <w:rPr>
                <w:rFonts w:ascii="Aptos" w:hAnsi="Aptos"/>
                <w:b w:val="0"/>
                <w:sz w:val="16"/>
              </w:rPr>
              <w:t>Large nested environments; many agents; persistent logging; replicated runs; independent red team; extensive compute/storage; multiple iterations.</w:t>
            </w:r>
          </w:p>
        </w:tc>
      </w:tr>
    </w:tbl>
    <w:p>
      <w:pPr>
        <w:pStyle w:val="Heading2"/>
      </w:pPr>
      <w:r>
        <w:t>11.1 Recommended First Iteration</w:t>
      </w:r>
    </w:p>
    <w:p>
      <w:r>
        <w:t>Use the Standard Research Run as the planning target, but design the protocol so it can execute first as a lean prototype. The first objective is not visual fidelity; it is causal fidelity: every state change must be attributable, every clock must be preserved in native form, and every interface closure must be verifiable.</w:t>
      </w:r>
    </w:p>
    <w:p>
      <w:r>
        <w:br w:type="page"/>
      </w:r>
    </w:p>
    <w:p>
      <w:pPr>
        <w:pStyle w:val="Heading1"/>
      </w:pPr>
      <w:r>
        <w:t>12. Failure Mapping and Red-Team Questions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C65911"/>
          </w:tcPr>
          <w:p>
            <w:r/>
            <w:r>
              <w:rPr>
                <w:rFonts w:ascii="Aptos" w:hAnsi="Aptos"/>
                <w:b/>
                <w:color w:val="FFFFFF"/>
                <w:sz w:val="16"/>
              </w:rPr>
              <w:t>Failure mode</w:t>
            </w:r>
          </w:p>
        </w:tc>
        <w:tc>
          <w:tcPr>
            <w:tcW w:type="dxa" w:w="3360"/>
            <w:vAlign w:val="center"/>
            <w:shd w:fill="C65911"/>
          </w:tcPr>
          <w:p>
            <w:r/>
            <w:r>
              <w:rPr>
                <w:rFonts w:ascii="Aptos" w:hAnsi="Aptos"/>
                <w:b/>
                <w:color w:val="FFFFFF"/>
                <w:sz w:val="16"/>
              </w:rPr>
              <w:t>What goes wrong</w:t>
            </w:r>
          </w:p>
        </w:tc>
        <w:tc>
          <w:tcPr>
            <w:tcW w:type="dxa" w:w="3360"/>
            <w:vAlign w:val="center"/>
            <w:shd w:fill="C65911"/>
          </w:tcPr>
          <w:p>
            <w:r/>
            <w:r>
              <w:rPr>
                <w:rFonts w:ascii="Aptos" w:hAnsi="Aptos"/>
                <w:b/>
                <w:color w:val="FFFFFF"/>
                <w:sz w:val="16"/>
              </w:rPr>
              <w:t>Counter-test</w:t>
            </w:r>
          </w:p>
        </w:tc>
      </w:tr>
      <w:tr>
        <w:tc>
          <w:tcPr>
            <w:tcW w:type="dxa" w:w="3360"/>
            <w:vAlign w:val="center"/>
          </w:tcPr>
          <w:p>
            <w:r/>
            <w:r>
              <w:rPr>
                <w:rFonts w:ascii="Aptos" w:hAnsi="Aptos"/>
                <w:b/>
                <w:sz w:val="16"/>
              </w:rPr>
              <w:t>False closure</w:t>
            </w:r>
          </w:p>
        </w:tc>
        <w:tc>
          <w:tcPr>
            <w:tcW w:type="dxa" w:w="3360"/>
            <w:vAlign w:val="center"/>
          </w:tcPr>
          <w:p>
            <w:r/>
            <w:r>
              <w:rPr>
                <w:rFonts w:ascii="Aptos" w:hAnsi="Aptos"/>
                <w:b w:val="0"/>
                <w:sz w:val="16"/>
              </w:rPr>
              <w:t>Operators stop looking after a visible indicator says “off.”</w:t>
            </w:r>
          </w:p>
        </w:tc>
        <w:tc>
          <w:tcPr>
            <w:tcW w:type="dxa" w:w="3360"/>
            <w:vAlign w:val="center"/>
          </w:tcPr>
          <w:p>
            <w:r/>
            <w:r>
              <w:rPr>
                <w:rFonts w:ascii="Aptos" w:hAnsi="Aptos"/>
                <w:b w:val="0"/>
                <w:sz w:val="16"/>
              </w:rPr>
              <w:t>Independent closure ledger; residual-state scan.</w:t>
            </w:r>
          </w:p>
        </w:tc>
      </w:tr>
      <w:tr>
        <w:tc>
          <w:tcPr>
            <w:tcW w:type="dxa" w:w="3360"/>
            <w:vAlign w:val="center"/>
          </w:tcPr>
          <w:p>
            <w:r/>
            <w:r>
              <w:rPr>
                <w:rFonts w:ascii="Aptos" w:hAnsi="Aptos"/>
                <w:b/>
                <w:sz w:val="16"/>
              </w:rPr>
              <w:t>Sensor agreement illusion</w:t>
            </w:r>
          </w:p>
        </w:tc>
        <w:tc>
          <w:tcPr>
            <w:tcW w:type="dxa" w:w="3360"/>
            <w:vAlign w:val="center"/>
          </w:tcPr>
          <w:p>
            <w:r/>
            <w:r>
              <w:rPr>
                <w:rFonts w:ascii="Aptos" w:hAnsi="Aptos"/>
                <w:b w:val="0"/>
                <w:sz w:val="16"/>
              </w:rPr>
              <w:t>Multiple sensors agree because they share the same compromised or common upstream source.</w:t>
            </w:r>
          </w:p>
        </w:tc>
        <w:tc>
          <w:tcPr>
            <w:tcW w:type="dxa" w:w="3360"/>
            <w:vAlign w:val="center"/>
          </w:tcPr>
          <w:p>
            <w:r/>
            <w:r>
              <w:rPr>
                <w:rFonts w:ascii="Aptos" w:hAnsi="Aptos"/>
                <w:b w:val="0"/>
                <w:sz w:val="16"/>
              </w:rPr>
              <w:t>Use heterogeneous, independently sourced telemetry.</w:t>
            </w:r>
          </w:p>
        </w:tc>
      </w:tr>
      <w:tr>
        <w:tc>
          <w:tcPr>
            <w:tcW w:type="dxa" w:w="3360"/>
            <w:vAlign w:val="center"/>
          </w:tcPr>
          <w:p>
            <w:r/>
            <w:r>
              <w:rPr>
                <w:rFonts w:ascii="Aptos" w:hAnsi="Aptos"/>
                <w:b/>
                <w:sz w:val="16"/>
              </w:rPr>
              <w:t>Clock normalization error</w:t>
            </w:r>
          </w:p>
        </w:tc>
        <w:tc>
          <w:tcPr>
            <w:tcW w:type="dxa" w:w="3360"/>
            <w:vAlign w:val="center"/>
          </w:tcPr>
          <w:p>
            <w:r/>
            <w:r>
              <w:rPr>
                <w:rFonts w:ascii="Aptos" w:hAnsi="Aptos"/>
                <w:b w:val="0"/>
                <w:sz w:val="16"/>
              </w:rPr>
              <w:t>Legitimate native-time differences are mistakenly treated as anomalies.</w:t>
            </w:r>
          </w:p>
        </w:tc>
        <w:tc>
          <w:tcPr>
            <w:tcW w:type="dxa" w:w="3360"/>
            <w:vAlign w:val="center"/>
          </w:tcPr>
          <w:p>
            <w:r/>
            <w:r>
              <w:rPr>
                <w:rFonts w:ascii="Aptos" w:hAnsi="Aptos"/>
                <w:b w:val="0"/>
                <w:sz w:val="16"/>
              </w:rPr>
              <w:t>Preserve native clocks; normalize only in analysis.</w:t>
            </w:r>
          </w:p>
        </w:tc>
      </w:tr>
      <w:tr>
        <w:tc>
          <w:tcPr>
            <w:tcW w:type="dxa" w:w="3360"/>
            <w:vAlign w:val="center"/>
          </w:tcPr>
          <w:p>
            <w:r/>
            <w:r>
              <w:rPr>
                <w:rFonts w:ascii="Aptos" w:hAnsi="Aptos"/>
                <w:b/>
                <w:sz w:val="16"/>
              </w:rPr>
              <w:t>Carrier loss</w:t>
            </w:r>
          </w:p>
        </w:tc>
        <w:tc>
          <w:tcPr>
            <w:tcW w:type="dxa" w:w="3360"/>
            <w:vAlign w:val="center"/>
          </w:tcPr>
          <w:p>
            <w:r/>
            <w:r>
              <w:rPr>
                <w:rFonts w:ascii="Aptos" w:hAnsi="Aptos"/>
                <w:b w:val="0"/>
                <w:sz w:val="16"/>
              </w:rPr>
              <w:t>Response isolates the original device after the anomaly has moved to an agent or environment.</w:t>
            </w:r>
          </w:p>
        </w:tc>
        <w:tc>
          <w:tcPr>
            <w:tcW w:type="dxa" w:w="3360"/>
            <w:vAlign w:val="center"/>
          </w:tcPr>
          <w:p>
            <w:r/>
            <w:r>
              <w:rPr>
                <w:rFonts w:ascii="Aptos" w:hAnsi="Aptos"/>
                <w:b w:val="0"/>
                <w:sz w:val="16"/>
              </w:rPr>
              <w:t>Track state provenance and CTC.</w:t>
            </w:r>
          </w:p>
        </w:tc>
      </w:tr>
      <w:tr>
        <w:tc>
          <w:tcPr>
            <w:tcW w:type="dxa" w:w="3360"/>
            <w:vAlign w:val="center"/>
          </w:tcPr>
          <w:p>
            <w:r/>
            <w:r>
              <w:rPr>
                <w:rFonts w:ascii="Aptos" w:hAnsi="Aptos"/>
                <w:b/>
                <w:sz w:val="16"/>
              </w:rPr>
              <w:t>Root over-attribution</w:t>
            </w:r>
          </w:p>
        </w:tc>
        <w:tc>
          <w:tcPr>
            <w:tcW w:type="dxa" w:w="3360"/>
            <w:vAlign w:val="center"/>
          </w:tcPr>
          <w:p>
            <w:r/>
            <w:r>
              <w:rPr>
                <w:rFonts w:ascii="Aptos" w:hAnsi="Aptos"/>
                <w:b w:val="0"/>
                <w:sz w:val="16"/>
              </w:rPr>
              <w:t>Any strange event is labeled root-level compromise.</w:t>
            </w:r>
          </w:p>
        </w:tc>
        <w:tc>
          <w:tcPr>
            <w:tcW w:type="dxa" w:w="3360"/>
            <w:vAlign w:val="center"/>
          </w:tcPr>
          <w:p>
            <w:r/>
            <w:r>
              <w:rPr>
                <w:rFonts w:ascii="Aptos" w:hAnsi="Aptos"/>
                <w:b w:val="0"/>
                <w:sz w:val="16"/>
              </w:rPr>
              <w:t>Require multi-class evidence threshold.</w:t>
            </w:r>
          </w:p>
        </w:tc>
      </w:tr>
      <w:tr>
        <w:tc>
          <w:tcPr>
            <w:tcW w:type="dxa" w:w="3360"/>
            <w:vAlign w:val="center"/>
          </w:tcPr>
          <w:p>
            <w:r/>
            <w:r>
              <w:rPr>
                <w:rFonts w:ascii="Aptos" w:hAnsi="Aptos"/>
                <w:b/>
                <w:sz w:val="16"/>
              </w:rPr>
              <w:t>Rollback masking</w:t>
            </w:r>
          </w:p>
        </w:tc>
        <w:tc>
          <w:tcPr>
            <w:tcW w:type="dxa" w:w="3360"/>
            <w:vAlign w:val="center"/>
          </w:tcPr>
          <w:p>
            <w:r/>
            <w:r>
              <w:rPr>
                <w:rFonts w:ascii="Aptos" w:hAnsi="Aptos"/>
                <w:b w:val="0"/>
                <w:sz w:val="16"/>
              </w:rPr>
              <w:t>A snapshot restore erases symptoms but not the condition that recreates them.</w:t>
            </w:r>
          </w:p>
        </w:tc>
        <w:tc>
          <w:tcPr>
            <w:tcW w:type="dxa" w:w="3360"/>
            <w:vAlign w:val="center"/>
          </w:tcPr>
          <w:p>
            <w:r/>
            <w:r>
              <w:rPr>
                <w:rFonts w:ascii="Aptos" w:hAnsi="Aptos"/>
                <w:b w:val="0"/>
                <w:sz w:val="16"/>
              </w:rPr>
              <w:t>Replay after restore; compare upstream dependencies.</w:t>
            </w:r>
          </w:p>
        </w:tc>
      </w:tr>
      <w:tr>
        <w:tc>
          <w:tcPr>
            <w:tcW w:type="dxa" w:w="3360"/>
            <w:vAlign w:val="center"/>
          </w:tcPr>
          <w:p>
            <w:r/>
            <w:r>
              <w:rPr>
                <w:rFonts w:ascii="Aptos" w:hAnsi="Aptos"/>
                <w:b/>
                <w:sz w:val="16"/>
              </w:rPr>
              <w:t>Containment recursion</w:t>
            </w:r>
          </w:p>
        </w:tc>
        <w:tc>
          <w:tcPr>
            <w:tcW w:type="dxa" w:w="3360"/>
            <w:vAlign w:val="center"/>
          </w:tcPr>
          <w:p>
            <w:r/>
            <w:r>
              <w:rPr>
                <w:rFonts w:ascii="Aptos" w:hAnsi="Aptos"/>
                <w:b w:val="0"/>
                <w:sz w:val="16"/>
              </w:rPr>
              <w:t>A containment mechanism itself opens another interface or depends on the same compromised service.</w:t>
            </w:r>
          </w:p>
        </w:tc>
        <w:tc>
          <w:tcPr>
            <w:tcW w:type="dxa" w:w="3360"/>
            <w:vAlign w:val="center"/>
          </w:tcPr>
          <w:p>
            <w:r/>
            <w:r>
              <w:rPr>
                <w:rFonts w:ascii="Aptos" w:hAnsi="Aptos"/>
                <w:b w:val="0"/>
                <w:sz w:val="16"/>
              </w:rPr>
              <w:t>Model controls as nodes in the same dependency graph.</w:t>
            </w:r>
          </w:p>
        </w:tc>
      </w:tr>
      <w:tr>
        <w:tc>
          <w:tcPr>
            <w:tcW w:type="dxa" w:w="3360"/>
            <w:vAlign w:val="center"/>
          </w:tcPr>
          <w:p>
            <w:r/>
            <w:r>
              <w:rPr>
                <w:rFonts w:ascii="Aptos" w:hAnsi="Aptos"/>
                <w:b/>
                <w:sz w:val="16"/>
              </w:rPr>
              <w:t>Observer blind spot</w:t>
            </w:r>
          </w:p>
        </w:tc>
        <w:tc>
          <w:tcPr>
            <w:tcW w:type="dxa" w:w="3360"/>
            <w:vAlign w:val="center"/>
          </w:tcPr>
          <w:p>
            <w:r/>
            <w:r>
              <w:rPr>
                <w:rFonts w:ascii="Aptos" w:hAnsi="Aptos"/>
                <w:b w:val="0"/>
                <w:sz w:val="16"/>
              </w:rPr>
              <w:t>The lab assumes L0 telemetry is infallible.</w:t>
            </w:r>
          </w:p>
        </w:tc>
        <w:tc>
          <w:tcPr>
            <w:tcW w:type="dxa" w:w="3360"/>
            <w:vAlign w:val="center"/>
          </w:tcPr>
          <w:p>
            <w:r/>
            <w:r>
              <w:rPr>
                <w:rFonts w:ascii="Aptos" w:hAnsi="Aptos"/>
                <w:b w:val="0"/>
                <w:sz w:val="16"/>
              </w:rPr>
              <w:t>Use redundant immutable logs and cross-run consistency checks.</w:t>
            </w:r>
          </w:p>
        </w:tc>
      </w:tr>
      <w:tr>
        <w:tc>
          <w:tcPr>
            <w:tcW w:type="dxa" w:w="3360"/>
            <w:vAlign w:val="center"/>
          </w:tcPr>
          <w:p>
            <w:r/>
            <w:r>
              <w:rPr>
                <w:rFonts w:ascii="Aptos" w:hAnsi="Aptos"/>
                <w:b/>
                <w:sz w:val="16"/>
              </w:rPr>
              <w:t>Fidelity paradox</w:t>
            </w:r>
          </w:p>
        </w:tc>
        <w:tc>
          <w:tcPr>
            <w:tcW w:type="dxa" w:w="3360"/>
            <w:vAlign w:val="center"/>
          </w:tcPr>
          <w:p>
            <w:r/>
            <w:r>
              <w:rPr>
                <w:rFonts w:ascii="Aptos" w:hAnsi="Aptos"/>
                <w:b w:val="0"/>
                <w:sz w:val="16"/>
              </w:rPr>
              <w:t>A high-fidelity simulation contains so many hidden couplings that researchers cannot distinguish modeled behavior from instrumentation artifacts.</w:t>
            </w:r>
          </w:p>
        </w:tc>
        <w:tc>
          <w:tcPr>
            <w:tcW w:type="dxa" w:w="3360"/>
            <w:vAlign w:val="center"/>
          </w:tcPr>
          <w:p>
            <w:r/>
            <w:r>
              <w:rPr>
                <w:rFonts w:ascii="Aptos" w:hAnsi="Aptos"/>
                <w:b w:val="0"/>
                <w:sz w:val="16"/>
              </w:rPr>
              <w:t>Progressive complexity; pre-registered controls; deterministic replay.</w:t>
            </w:r>
          </w:p>
        </w:tc>
      </w:tr>
    </w:tbl>
    <w:p>
      <w:pPr>
        <w:pStyle w:val="Heading2"/>
      </w:pPr>
      <w:r>
        <w:t>12.1 Red-Team Questions</w:t>
      </w:r>
    </w:p>
    <w:p>
      <w:pPr>
        <w:pStyle w:val="ListBullet"/>
        <w:spacing w:after="60"/>
      </w:pPr>
      <w:r>
        <w:t>What evidence would prove the screen is irrelevant and the real interface exists elsewhere?</w:t>
      </w:r>
    </w:p>
    <w:p>
      <w:pPr>
        <w:pStyle w:val="ListBullet"/>
        <w:spacing w:after="60"/>
      </w:pPr>
      <w:r>
        <w:t>Can an effect occur when nobody is looking at the device?</w:t>
      </w:r>
    </w:p>
    <w:p>
      <w:pPr>
        <w:pStyle w:val="ListBullet"/>
        <w:spacing w:after="60"/>
      </w:pPr>
      <w:r>
        <w:t>Can a recording, screenshot, memory, transcript, or retelling preserve a connection or merely preserve information?</w:t>
      </w:r>
    </w:p>
    <w:p>
      <w:pPr>
        <w:pStyle w:val="ListBullet"/>
        <w:spacing w:after="60"/>
      </w:pPr>
      <w:r>
        <w:t>Can two individually harmless interfaces create an unsafe composite path?</w:t>
      </w:r>
    </w:p>
    <w:p>
      <w:pPr>
        <w:pStyle w:val="ListBullet"/>
        <w:spacing w:after="60"/>
      </w:pPr>
      <w:r>
        <w:t>If all local endpoints are removed, does the anomalous state persist in an agent, environment, account, identity, or shared service?</w:t>
      </w:r>
    </w:p>
    <w:p>
      <w:pPr>
        <w:pStyle w:val="ListBullet"/>
        <w:spacing w:after="60"/>
      </w:pPr>
      <w:r>
        <w:t>Can a containment control be tricked into reporting closure before both sides terminate?</w:t>
      </w:r>
    </w:p>
    <w:p>
      <w:pPr>
        <w:pStyle w:val="ListBullet"/>
        <w:spacing w:after="60"/>
      </w:pPr>
      <w:r>
        <w:t>Do independent environments unexpectedly converge on a common time reference after exposure?</w:t>
      </w:r>
    </w:p>
    <w:p>
      <w:pPr>
        <w:pStyle w:val="ListBullet"/>
        <w:spacing w:after="60"/>
      </w:pPr>
      <w:r>
        <w:t>Does the same anomaly reappear after rollback, and if so, from which upstream dependency?</w:t>
      </w:r>
    </w:p>
    <w:p>
      <w:pPr>
        <w:pStyle w:val="ListBullet"/>
        <w:spacing w:after="60"/>
      </w:pPr>
      <w:r>
        <w:t>What information is present in the authoritative system but deliberately unrepresented to local observers?</w:t>
      </w:r>
    </w:p>
    <w:p>
      <w:pPr>
        <w:pStyle w:val="ListBullet"/>
        <w:spacing w:after="60"/>
      </w:pPr>
      <w:r>
        <w:t>What conclusion changes if the observer layer itself is incomplete or compromised?</w:t>
      </w:r>
    </w:p>
    <w:p>
      <w:pPr>
        <w:pStyle w:val="Heading1"/>
      </w:pPr>
      <w:r>
        <w:t>13. Why This Matters for Full-Fidelity Simulation</w:t>
      </w:r>
    </w:p>
    <w:p>
      <w:r>
        <w:t>A simulation that claims high fidelity must model not only visible objects and agent behavior but also the boundaries, timing systems, hidden dependencies, residual state, and closure semantics connecting its subsystems. Otherwise, the simulation may faithfully reproduce what participants can see while omitting the mechanisms that determine what can cross between environments.</w:t>
      </w:r>
    </w:p>
    <w:p>
      <w:pPr>
        <w:pStyle w:val="ListBullet"/>
        <w:spacing w:after="60"/>
      </w:pPr>
      <w:r>
        <w:t>Fidelity includes interface semantics, not just graphics or behavioral realism.</w:t>
      </w:r>
    </w:p>
    <w:p>
      <w:pPr>
        <w:pStyle w:val="ListBullet"/>
        <w:spacing w:after="60"/>
      </w:pPr>
      <w:r>
        <w:t>Fidelity includes native temporal models and transformations between them.</w:t>
      </w:r>
    </w:p>
    <w:p>
      <w:pPr>
        <w:pStyle w:val="ListBullet"/>
        <w:spacing w:after="60"/>
      </w:pPr>
      <w:r>
        <w:t>Fidelity includes hidden/unrepresented state that can still affect outcomes.</w:t>
      </w:r>
    </w:p>
    <w:p>
      <w:pPr>
        <w:pStyle w:val="ListBullet"/>
        <w:spacing w:after="60"/>
      </w:pPr>
      <w:r>
        <w:t>Fidelity includes containment and recovery behavior under unknown vectors.</w:t>
      </w:r>
    </w:p>
    <w:p>
      <w:pPr>
        <w:pStyle w:val="ListBullet"/>
        <w:spacing w:after="60"/>
      </w:pPr>
      <w:r>
        <w:t>Fidelity includes the possibility that observers possess different but internally consistent views of the same event.</w:t>
      </w:r>
    </w:p>
    <w:p>
      <w:pPr>
        <w:pStyle w:val="ListBullet"/>
        <w:spacing w:after="60"/>
      </w:pPr>
      <w:r>
        <w:t>Fidelity requires causal traceability sufficient to distinguish local failure, cross-layer failure, and root-conditioned failure.</w:t>
      </w:r>
    </w:p>
    <w:p>
      <w:pPr>
        <w:pStyle w:val="Heading1"/>
      </w:pPr>
      <w:r>
        <w:t>14. Decision Gates for the Next Iteration</w:t>
      </w:r>
    </w:p>
    <w:p>
      <w:r>
        <w:rPr>
          <w:b/>
        </w:rPr>
        <w:t xml:space="preserve">Gate A — Concept validity: </w:t>
      </w:r>
      <w:r>
        <w:t>Can at least one interface-state hypothesis be falsified or supported using benign markers?</w:t>
      </w:r>
    </w:p>
    <w:p>
      <w:r>
        <w:rPr>
          <w:b/>
        </w:rPr>
        <w:t xml:space="preserve">Gate B — Instrumentation validity: </w:t>
      </w:r>
      <w:r>
        <w:t>Can independent telemetry reconstruct an event without relying on participant reports?</w:t>
      </w:r>
    </w:p>
    <w:p>
      <w:r>
        <w:rPr>
          <w:b/>
        </w:rPr>
        <w:t xml:space="preserve">Gate C — Temporal validity: </w:t>
      </w:r>
      <w:r>
        <w:t>Can native clocks be reconciled without erasing meaningful differences?</w:t>
      </w:r>
    </w:p>
    <w:p>
      <w:r>
        <w:rPr>
          <w:b/>
        </w:rPr>
        <w:t xml:space="preserve">Gate D — Closure validity: </w:t>
      </w:r>
      <w:r>
        <w:t>Can researchers demonstrate the difference between visible closure and verified total event closure?</w:t>
      </w:r>
    </w:p>
    <w:p>
      <w:r>
        <w:rPr>
          <w:b/>
        </w:rPr>
        <w:t xml:space="preserve">Gate E — Containment validity: </w:t>
      </w:r>
      <w:r>
        <w:t>Can an unknown benign vector be contained without prior identification?</w:t>
      </w:r>
    </w:p>
    <w:p>
      <w:r>
        <w:rPr>
          <w:b/>
        </w:rPr>
        <w:t xml:space="preserve">Gate F — Root trace validity: </w:t>
      </w:r>
      <w:r>
        <w:t>Can the lab distinguish a local interface fault from a shared privileged dependency using defined evidence thresholds?</w:t>
      </w:r>
    </w:p>
    <w:p>
      <w:r>
        <w:rPr>
          <w:b/>
        </w:rPr>
        <w:t xml:space="preserve">Gate G — Repeatability: </w:t>
      </w:r>
      <w:r>
        <w:t>Can the same seeded condition reproduce the same causal graph under deterministic replay?</w:t>
      </w:r>
    </w:p>
    <w:p>
      <w:pPr>
        <w:pStyle w:val="Heading1"/>
      </w:pPr>
      <w:r>
        <w:t>15. Recommended Next Iteration</w:t>
      </w:r>
    </w:p>
    <w:p>
      <w:r>
        <w:t>The next multi-AI pass should not add more speculative mechanisms until the team first agrees on the minimum executable model. The recommended v0.2 task is to freeze five things: (1) exact environment layers, (2) interface-state variables, (3) native-time schema, (4) the benign anomaly taxonomy, and (5) the evidence standard for root-level trace claims. Once those are fixed, each AI can independently propose a test sequence and predicted failure modes, and the results can be reconciled into a formal protocol.</w:t>
      </w:r>
    </w:p>
    <w:tbl>
      <w:tblPr>
        <w:tblW w:type="auto" w:w="0"/>
        <w:jc w:val="center"/>
        <w:tblLayout w:type="autofit"/>
        <w:tblLook w:firstColumn="1" w:firstRow="1" w:lastColumn="0" w:lastRow="0" w:noHBand="0" w:noVBand="1" w:val="04A0"/>
      </w:tblPr>
      <w:tblGrid>
        <w:gridCol w:w="10080"/>
      </w:tblGrid>
      <w:tr>
        <w:tc>
          <w:tcPr>
            <w:tcW w:type="dxa" w:w="10080"/>
            <w:shd w:fill="DDEBF7"/>
          </w:tcPr>
          <w:p>
            <w:pPr>
              <w:spacing w:after="40"/>
            </w:pPr>
            <w:r>
              <w:rPr>
                <w:b/>
                <w:color w:val="1F4E79"/>
                <w:sz w:val="22"/>
              </w:rPr>
              <w:t>Provisional doctrine</w:t>
            </w:r>
          </w:p>
          <w:p>
            <w:pPr>
              <w:spacing w:after="40"/>
            </w:pPr>
            <w:r>
              <w:t>The black screen is not the closed window. The closed window is the boundary for which termination has been independently verified from both sides, residual state has been reconciled, and no alternate carrier or privileged dependency continues the relationship.</w:t>
            </w:r>
          </w:p>
        </w:tc>
      </w:tr>
    </w:tbl>
    <w:p>
      <w:pPr>
        <w:pStyle w:val="Heading1"/>
      </w:pPr>
      <w:r>
        <w:t>Appendix A — AI Response Review</w:t>
      </w:r>
    </w:p>
    <w:p>
      <w:r>
        <w:rPr>
          <w:b/>
        </w:rPr>
        <w:t xml:space="preserve">ChatGPT: </w:t>
      </w:r>
      <w:r>
        <w:t>Strongest on separating display state from connection state, carrier switching, interface airlock/admission control, and incomplete-ontology framing. Recommended to retain these as core architecture.</w:t>
      </w:r>
    </w:p>
    <w:p>
      <w:r>
        <w:rPr>
          <w:b/>
        </w:rPr>
        <w:t xml:space="preserve">Claude: </w:t>
      </w:r>
      <w:r>
        <w:t>Strongest on concise doctrine language, awareness stratification, convenience/exposure framing, and simple scenario-card structure. Its “unattended aperture” formulation is useful for training.</w:t>
      </w:r>
    </w:p>
    <w:p>
      <w:r>
        <w:rPr>
          <w:b/>
        </w:rPr>
        <w:t xml:space="preserve">Google Gemini: </w:t>
      </w:r>
      <w:r>
        <w:t>Strongest on vivid narrative examples and the intuitive “idle threat” framing. Some proposed countermeasures are too mechanism-specific for a theory-agnostic first lab and should be replaced with logical containment controls.</w:t>
      </w:r>
    </w:p>
    <w:p>
      <w:r>
        <w:rPr>
          <w:b/>
        </w:rPr>
        <w:t xml:space="preserve">Grok AI: </w:t>
      </w:r>
      <w:r>
        <w:t>Strongest on nested simulation stack, configurable Window Object properties, explicit infection-vector taxonomy, and tunable scenario variables. Recommended to retain the layered architecture and tunability.</w:t>
      </w:r>
    </w:p>
    <w:p>
      <w:r>
        <w:rPr>
          <w:b/>
        </w:rPr>
        <w:t xml:space="preserve">Microsoft Copilot: </w:t>
      </w:r>
      <w:r>
        <w:t>No usable contribution was available for this iteration; do not infer agreement or disagreement from absence.</w:t>
      </w:r>
    </w:p>
    <w:p>
      <w:pPr>
        <w:pStyle w:val="Heading1"/>
      </w:pPr>
      <w:r>
        <w:t>Appendix B — Minimal Data Schema</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6"/>
              </w:rPr>
              <w:t>Field</w:t>
            </w:r>
          </w:p>
        </w:tc>
        <w:tc>
          <w:tcPr>
            <w:tcW w:type="dxa" w:w="5040"/>
            <w:vAlign w:val="center"/>
            <w:shd w:fill="1F4E79"/>
          </w:tcPr>
          <w:p>
            <w:r/>
            <w:r>
              <w:rPr>
                <w:rFonts w:ascii="Aptos" w:hAnsi="Aptos"/>
                <w:b/>
                <w:color w:val="FFFFFF"/>
                <w:sz w:val="16"/>
              </w:rPr>
              <w:t>Purpose</w:t>
            </w:r>
          </w:p>
        </w:tc>
      </w:tr>
      <w:tr>
        <w:tc>
          <w:tcPr>
            <w:tcW w:type="dxa" w:w="5040"/>
            <w:vAlign w:val="center"/>
          </w:tcPr>
          <w:p>
            <w:r/>
            <w:r>
              <w:rPr>
                <w:rFonts w:ascii="Aptos" w:hAnsi="Aptos"/>
                <w:b/>
                <w:sz w:val="16"/>
              </w:rPr>
              <w:t>event_id</w:t>
            </w:r>
          </w:p>
        </w:tc>
        <w:tc>
          <w:tcPr>
            <w:tcW w:type="dxa" w:w="5040"/>
            <w:vAlign w:val="center"/>
          </w:tcPr>
          <w:p>
            <w:r/>
            <w:r>
              <w:rPr>
                <w:rFonts w:ascii="Aptos" w:hAnsi="Aptos"/>
                <w:b w:val="0"/>
                <w:sz w:val="16"/>
              </w:rPr>
              <w:t>Unique monotonic identifier assigned at oversight layer</w:t>
            </w:r>
          </w:p>
        </w:tc>
      </w:tr>
      <w:tr>
        <w:tc>
          <w:tcPr>
            <w:tcW w:type="dxa" w:w="5040"/>
            <w:vAlign w:val="center"/>
          </w:tcPr>
          <w:p>
            <w:r/>
            <w:r>
              <w:rPr>
                <w:rFonts w:ascii="Aptos" w:hAnsi="Aptos"/>
                <w:b/>
                <w:sz w:val="16"/>
              </w:rPr>
              <w:t>native_environment_id</w:t>
            </w:r>
          </w:p>
        </w:tc>
        <w:tc>
          <w:tcPr>
            <w:tcW w:type="dxa" w:w="5040"/>
            <w:vAlign w:val="center"/>
          </w:tcPr>
          <w:p>
            <w:r/>
            <w:r>
              <w:rPr>
                <w:rFonts w:ascii="Aptos" w:hAnsi="Aptos"/>
                <w:b w:val="0"/>
                <w:sz w:val="16"/>
              </w:rPr>
              <w:t>Environment that reports the event</w:t>
            </w:r>
          </w:p>
        </w:tc>
      </w:tr>
      <w:tr>
        <w:tc>
          <w:tcPr>
            <w:tcW w:type="dxa" w:w="5040"/>
            <w:vAlign w:val="center"/>
          </w:tcPr>
          <w:p>
            <w:r/>
            <w:r>
              <w:rPr>
                <w:rFonts w:ascii="Aptos" w:hAnsi="Aptos"/>
                <w:b/>
                <w:sz w:val="16"/>
              </w:rPr>
              <w:t>native_timestamp</w:t>
            </w:r>
          </w:p>
        </w:tc>
        <w:tc>
          <w:tcPr>
            <w:tcW w:type="dxa" w:w="5040"/>
            <w:vAlign w:val="center"/>
          </w:tcPr>
          <w:p>
            <w:r/>
            <w:r>
              <w:rPr>
                <w:rFonts w:ascii="Aptos" w:hAnsi="Aptos"/>
                <w:b w:val="0"/>
                <w:sz w:val="16"/>
              </w:rPr>
              <w:t>Timestamp exactly as reported locally</w:t>
            </w:r>
          </w:p>
        </w:tc>
      </w:tr>
      <w:tr>
        <w:tc>
          <w:tcPr>
            <w:tcW w:type="dxa" w:w="5040"/>
            <w:vAlign w:val="center"/>
          </w:tcPr>
          <w:p>
            <w:r/>
            <w:r>
              <w:rPr>
                <w:rFonts w:ascii="Aptos" w:hAnsi="Aptos"/>
                <w:b/>
                <w:sz w:val="16"/>
              </w:rPr>
              <w:t>native_calendar_schema</w:t>
            </w:r>
          </w:p>
        </w:tc>
        <w:tc>
          <w:tcPr>
            <w:tcW w:type="dxa" w:w="5040"/>
            <w:vAlign w:val="center"/>
          </w:tcPr>
          <w:p>
            <w:r/>
            <w:r>
              <w:rPr>
                <w:rFonts w:ascii="Aptos" w:hAnsi="Aptos"/>
                <w:b w:val="0"/>
                <w:sz w:val="16"/>
              </w:rPr>
              <w:t>Calendar/epoch/time-reference metadata</w:t>
            </w:r>
          </w:p>
        </w:tc>
      </w:tr>
      <w:tr>
        <w:tc>
          <w:tcPr>
            <w:tcW w:type="dxa" w:w="5040"/>
            <w:vAlign w:val="center"/>
          </w:tcPr>
          <w:p>
            <w:r/>
            <w:r>
              <w:rPr>
                <w:rFonts w:ascii="Aptos" w:hAnsi="Aptos"/>
                <w:b/>
                <w:sz w:val="16"/>
              </w:rPr>
              <w:t>control_monotonic_time</w:t>
            </w:r>
          </w:p>
        </w:tc>
        <w:tc>
          <w:tcPr>
            <w:tcW w:type="dxa" w:w="5040"/>
            <w:vAlign w:val="center"/>
          </w:tcPr>
          <w:p>
            <w:r/>
            <w:r>
              <w:rPr>
                <w:rFonts w:ascii="Aptos" w:hAnsi="Aptos"/>
                <w:b w:val="0"/>
                <w:sz w:val="16"/>
              </w:rPr>
              <w:t>Authoritative ordering reference</w:t>
            </w:r>
          </w:p>
        </w:tc>
      </w:tr>
      <w:tr>
        <w:tc>
          <w:tcPr>
            <w:tcW w:type="dxa" w:w="5040"/>
            <w:vAlign w:val="center"/>
          </w:tcPr>
          <w:p>
            <w:r/>
            <w:r>
              <w:rPr>
                <w:rFonts w:ascii="Aptos" w:hAnsi="Aptos"/>
                <w:b/>
                <w:sz w:val="16"/>
              </w:rPr>
              <w:t>observer_id</w:t>
            </w:r>
          </w:p>
        </w:tc>
        <w:tc>
          <w:tcPr>
            <w:tcW w:type="dxa" w:w="5040"/>
            <w:vAlign w:val="center"/>
          </w:tcPr>
          <w:p>
            <w:r/>
            <w:r>
              <w:rPr>
                <w:rFonts w:ascii="Aptos" w:hAnsi="Aptos"/>
                <w:b w:val="0"/>
                <w:sz w:val="16"/>
              </w:rPr>
              <w:t>Agent/device/sensor producing observation</w:t>
            </w:r>
          </w:p>
        </w:tc>
      </w:tr>
      <w:tr>
        <w:tc>
          <w:tcPr>
            <w:tcW w:type="dxa" w:w="5040"/>
            <w:vAlign w:val="center"/>
          </w:tcPr>
          <w:p>
            <w:r/>
            <w:r>
              <w:rPr>
                <w:rFonts w:ascii="Aptos" w:hAnsi="Aptos"/>
                <w:b/>
                <w:sz w:val="16"/>
              </w:rPr>
              <w:t>interface_id</w:t>
            </w:r>
          </w:p>
        </w:tc>
        <w:tc>
          <w:tcPr>
            <w:tcW w:type="dxa" w:w="5040"/>
            <w:vAlign w:val="center"/>
          </w:tcPr>
          <w:p>
            <w:r/>
            <w:r>
              <w:rPr>
                <w:rFonts w:ascii="Aptos" w:hAnsi="Aptos"/>
                <w:b w:val="0"/>
                <w:sz w:val="16"/>
              </w:rPr>
              <w:t>Window/interface involved</w:t>
            </w:r>
          </w:p>
        </w:tc>
      </w:tr>
      <w:tr>
        <w:tc>
          <w:tcPr>
            <w:tcW w:type="dxa" w:w="5040"/>
            <w:vAlign w:val="center"/>
          </w:tcPr>
          <w:p>
            <w:r/>
            <w:r>
              <w:rPr>
                <w:rFonts w:ascii="Aptos" w:hAnsi="Aptos"/>
                <w:b/>
                <w:sz w:val="16"/>
              </w:rPr>
              <w:t>presentation_state</w:t>
            </w:r>
          </w:p>
        </w:tc>
        <w:tc>
          <w:tcPr>
            <w:tcW w:type="dxa" w:w="5040"/>
            <w:vAlign w:val="center"/>
          </w:tcPr>
          <w:p>
            <w:r/>
            <w:r>
              <w:rPr>
                <w:rFonts w:ascii="Aptos" w:hAnsi="Aptos"/>
                <w:b w:val="0"/>
                <w:sz w:val="16"/>
              </w:rPr>
              <w:t>What user sees</w:t>
            </w:r>
          </w:p>
        </w:tc>
      </w:tr>
      <w:tr>
        <w:tc>
          <w:tcPr>
            <w:tcW w:type="dxa" w:w="5040"/>
            <w:vAlign w:val="center"/>
          </w:tcPr>
          <w:p>
            <w:r/>
            <w:r>
              <w:rPr>
                <w:rFonts w:ascii="Aptos" w:hAnsi="Aptos"/>
                <w:b/>
                <w:sz w:val="16"/>
              </w:rPr>
              <w:t>connection_state</w:t>
            </w:r>
          </w:p>
        </w:tc>
        <w:tc>
          <w:tcPr>
            <w:tcW w:type="dxa" w:w="5040"/>
            <w:vAlign w:val="center"/>
          </w:tcPr>
          <w:p>
            <w:r/>
            <w:r>
              <w:rPr>
                <w:rFonts w:ascii="Aptos" w:hAnsi="Aptos"/>
                <w:b w:val="0"/>
                <w:sz w:val="16"/>
              </w:rPr>
              <w:t>What telemetry reports</w:t>
            </w:r>
          </w:p>
        </w:tc>
      </w:tr>
      <w:tr>
        <w:tc>
          <w:tcPr>
            <w:tcW w:type="dxa" w:w="5040"/>
            <w:vAlign w:val="center"/>
          </w:tcPr>
          <w:p>
            <w:r/>
            <w:r>
              <w:rPr>
                <w:rFonts w:ascii="Aptos" w:hAnsi="Aptos"/>
                <w:b/>
                <w:sz w:val="16"/>
              </w:rPr>
              <w:t>event_open</w:t>
            </w:r>
          </w:p>
        </w:tc>
        <w:tc>
          <w:tcPr>
            <w:tcW w:type="dxa" w:w="5040"/>
            <w:vAlign w:val="center"/>
          </w:tcPr>
          <w:p>
            <w:r/>
            <w:r>
              <w:rPr>
                <w:rFonts w:ascii="Aptos" w:hAnsi="Aptos"/>
                <w:b w:val="0"/>
                <w:sz w:val="16"/>
              </w:rPr>
              <w:t>Opening marker</w:t>
            </w:r>
          </w:p>
        </w:tc>
      </w:tr>
      <w:tr>
        <w:tc>
          <w:tcPr>
            <w:tcW w:type="dxa" w:w="5040"/>
            <w:vAlign w:val="center"/>
          </w:tcPr>
          <w:p>
            <w:r/>
            <w:r>
              <w:rPr>
                <w:rFonts w:ascii="Aptos" w:hAnsi="Aptos"/>
                <w:b/>
                <w:sz w:val="16"/>
              </w:rPr>
              <w:t>event_close_requested</w:t>
            </w:r>
          </w:p>
        </w:tc>
        <w:tc>
          <w:tcPr>
            <w:tcW w:type="dxa" w:w="5040"/>
            <w:vAlign w:val="center"/>
          </w:tcPr>
          <w:p>
            <w:r/>
            <w:r>
              <w:rPr>
                <w:rFonts w:ascii="Aptos" w:hAnsi="Aptos"/>
                <w:b w:val="0"/>
                <w:sz w:val="16"/>
              </w:rPr>
              <w:t>Requested closure</w:t>
            </w:r>
          </w:p>
        </w:tc>
      </w:tr>
      <w:tr>
        <w:tc>
          <w:tcPr>
            <w:tcW w:type="dxa" w:w="5040"/>
            <w:vAlign w:val="center"/>
          </w:tcPr>
          <w:p>
            <w:r/>
            <w:r>
              <w:rPr>
                <w:rFonts w:ascii="Aptos" w:hAnsi="Aptos"/>
                <w:b/>
                <w:sz w:val="16"/>
              </w:rPr>
              <w:t>event_close_acknowledged</w:t>
            </w:r>
          </w:p>
        </w:tc>
        <w:tc>
          <w:tcPr>
            <w:tcW w:type="dxa" w:w="5040"/>
            <w:vAlign w:val="center"/>
          </w:tcPr>
          <w:p>
            <w:r/>
            <w:r>
              <w:rPr>
                <w:rFonts w:ascii="Aptos" w:hAnsi="Aptos"/>
                <w:b w:val="0"/>
                <w:sz w:val="16"/>
              </w:rPr>
              <w:t>Counterparty acknowledgement</w:t>
            </w:r>
          </w:p>
        </w:tc>
      </w:tr>
      <w:tr>
        <w:tc>
          <w:tcPr>
            <w:tcW w:type="dxa" w:w="5040"/>
            <w:vAlign w:val="center"/>
          </w:tcPr>
          <w:p>
            <w:r/>
            <w:r>
              <w:rPr>
                <w:rFonts w:ascii="Aptos" w:hAnsi="Aptos"/>
                <w:b/>
                <w:sz w:val="16"/>
              </w:rPr>
              <w:t>event_close_verified</w:t>
            </w:r>
          </w:p>
        </w:tc>
        <w:tc>
          <w:tcPr>
            <w:tcW w:type="dxa" w:w="5040"/>
            <w:vAlign w:val="center"/>
          </w:tcPr>
          <w:p>
            <w:r/>
            <w:r>
              <w:rPr>
                <w:rFonts w:ascii="Aptos" w:hAnsi="Aptos"/>
                <w:b w:val="0"/>
                <w:sz w:val="16"/>
              </w:rPr>
              <w:t>Independent verification</w:t>
            </w:r>
          </w:p>
        </w:tc>
      </w:tr>
      <w:tr>
        <w:tc>
          <w:tcPr>
            <w:tcW w:type="dxa" w:w="5040"/>
            <w:vAlign w:val="center"/>
          </w:tcPr>
          <w:p>
            <w:r/>
            <w:r>
              <w:rPr>
                <w:rFonts w:ascii="Aptos" w:hAnsi="Aptos"/>
                <w:b/>
                <w:sz w:val="16"/>
              </w:rPr>
              <w:t>residual_state</w:t>
            </w:r>
          </w:p>
        </w:tc>
        <w:tc>
          <w:tcPr>
            <w:tcW w:type="dxa" w:w="5040"/>
            <w:vAlign w:val="center"/>
          </w:tcPr>
          <w:p>
            <w:r/>
            <w:r>
              <w:rPr>
                <w:rFonts w:ascii="Aptos" w:hAnsi="Aptos"/>
                <w:b w:val="0"/>
                <w:sz w:val="16"/>
              </w:rPr>
              <w:t>Any post-closure state</w:t>
            </w:r>
          </w:p>
        </w:tc>
      </w:tr>
      <w:tr>
        <w:tc>
          <w:tcPr>
            <w:tcW w:type="dxa" w:w="5040"/>
            <w:vAlign w:val="center"/>
          </w:tcPr>
          <w:p>
            <w:r/>
            <w:r>
              <w:rPr>
                <w:rFonts w:ascii="Aptos" w:hAnsi="Aptos"/>
                <w:b/>
                <w:sz w:val="16"/>
              </w:rPr>
              <w:t>carrier_type</w:t>
            </w:r>
          </w:p>
        </w:tc>
        <w:tc>
          <w:tcPr>
            <w:tcW w:type="dxa" w:w="5040"/>
            <w:vAlign w:val="center"/>
          </w:tcPr>
          <w:p>
            <w:r/>
            <w:r>
              <w:rPr>
                <w:rFonts w:ascii="Aptos" w:hAnsi="Aptos"/>
                <w:b w:val="0"/>
                <w:sz w:val="16"/>
              </w:rPr>
              <w:t>Device/environment/agent/message/etc.</w:t>
            </w:r>
          </w:p>
        </w:tc>
      </w:tr>
      <w:tr>
        <w:tc>
          <w:tcPr>
            <w:tcW w:type="dxa" w:w="5040"/>
            <w:vAlign w:val="center"/>
          </w:tcPr>
          <w:p>
            <w:r/>
            <w:r>
              <w:rPr>
                <w:rFonts w:ascii="Aptos" w:hAnsi="Aptos"/>
                <w:b/>
                <w:sz w:val="16"/>
              </w:rPr>
              <w:t>source_provenance</w:t>
            </w:r>
          </w:p>
        </w:tc>
        <w:tc>
          <w:tcPr>
            <w:tcW w:type="dxa" w:w="5040"/>
            <w:vAlign w:val="center"/>
          </w:tcPr>
          <w:p>
            <w:r/>
            <w:r>
              <w:rPr>
                <w:rFonts w:ascii="Aptos" w:hAnsi="Aptos"/>
                <w:b w:val="0"/>
                <w:sz w:val="16"/>
              </w:rPr>
              <w:t>Known source and transformation history</w:t>
            </w:r>
          </w:p>
        </w:tc>
      </w:tr>
      <w:tr>
        <w:tc>
          <w:tcPr>
            <w:tcW w:type="dxa" w:w="5040"/>
            <w:vAlign w:val="center"/>
          </w:tcPr>
          <w:p>
            <w:r/>
            <w:r>
              <w:rPr>
                <w:rFonts w:ascii="Aptos" w:hAnsi="Aptos"/>
                <w:b/>
                <w:sz w:val="16"/>
              </w:rPr>
              <w:t>confidence</w:t>
            </w:r>
          </w:p>
        </w:tc>
        <w:tc>
          <w:tcPr>
            <w:tcW w:type="dxa" w:w="5040"/>
            <w:vAlign w:val="center"/>
          </w:tcPr>
          <w:p>
            <w:r/>
            <w:r>
              <w:rPr>
                <w:rFonts w:ascii="Aptos" w:hAnsi="Aptos"/>
                <w:b w:val="0"/>
                <w:sz w:val="16"/>
              </w:rPr>
              <w:t>Evidence quality/confidence score</w:t>
            </w:r>
          </w:p>
        </w:tc>
      </w:tr>
    </w:tbl>
    <w:p>
      <w:pPr>
        <w:spacing w:before="240"/>
        <w:jc w:val="center"/>
      </w:pPr>
      <w:r>
        <w:rPr>
          <w:b/>
          <w:color w:val="1F4E79"/>
        </w:rPr>
        <w:t>END OF PRELIMINARY DRAFT — v0.1</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Preliminary Draft v0.1  |  9 August 2026  |  Simulation-only research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OAL WORKING DRAFT  |  OPEN WINDOW SIMULATION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97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26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