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OAL Development Archive — Voice Note Structuring</w:t>
      </w:r>
    </w:p>
    <w:p>
      <w:r>
        <w:rPr>
          <w:b/>
        </w:rPr>
        <w:t>Prepared by: Perplexity AI (Perplexity Pass 2)</w:t>
      </w:r>
    </w:p>
    <w:p>
      <w:r>
        <w:t>Date: September 1, 2026</w:t>
      </w:r>
    </w:p>
    <w:p>
      <w:r>
        <w:t>Source: Architect voice note, recalled development history — fictional worldbuilding scenarios for the Omniversal Architect Labs (OAL) universe. No real-world claims, impacts, or implications are intended by any scenario described below.</w:t>
      </w:r>
    </w:p>
    <w:p>
      <w:r>
        <w:t>This is the second independent structuring pass, produced as a distinct, separately generated version for archival alongside Pass 1.</w:t>
      </w:r>
    </w:p>
    <w:p>
      <w:pPr>
        <w:pStyle w:val="Heading1"/>
      </w:pPr>
      <w:r>
        <w:t>1. Audit of Olympus and the Olympians</w:t>
      </w:r>
    </w:p>
    <w:p>
      <w:r>
        <w:t>Context: Following research and analysis into divinity, divine physiologies, and bestowments/endowments within the OAL universe, a character appeared on Mount Olympus to address quality and performance issues within the Pantheon.</w:t>
      </w:r>
    </w:p>
    <w:p>
      <w:pPr>
        <w:pStyle w:val="Heading2"/>
      </w:pPr>
      <w:r>
        <w:t>Key Points</w:t>
      </w:r>
    </w:p>
    <w:p>
      <w:pPr>
        <w:pStyle w:val="ListBullet"/>
      </w:pPr>
      <w:r>
        <w:t>The visiting character explicitly frames himself as not a micromanager.</w:t>
      </w:r>
    </w:p>
    <w:p>
      <w:pPr>
        <w:pStyle w:val="ListBullet"/>
      </w:pPr>
      <w:r>
        <w:t>Poseidon, as an Olympian who has held his domain for a long time, is recognized as capable of teaching his own course (the Poseidon course) without oversight.</w:t>
      </w:r>
    </w:p>
    <w:p>
      <w:pPr>
        <w:pStyle w:val="ListBullet"/>
      </w:pPr>
      <w:r>
        <w:t>The character's role is limited to delivering students to the course; the outcome for students ("if they make it out of there") is not his to control.</w:t>
      </w:r>
    </w:p>
    <w:p>
      <w:pPr>
        <w:pStyle w:val="ListBullet"/>
      </w:pPr>
      <w:r>
        <w:t>Despite this hands-off philosophy, unresolved quality and performance issues within the Pantheon required direct intervention.</w:t>
      </w:r>
    </w:p>
    <w:p>
      <w:pPr>
        <w:pStyle w:val="ListBullet"/>
      </w:pPr>
      <w:r>
        <w:t>The character remains calm throughout but is firm: he states he had to personally do work that was not his responsibility, and that this should not have been necessary.</w:t>
      </w:r>
    </w:p>
    <w:p>
      <w:pPr>
        <w:pStyle w:val="ListBullet"/>
      </w:pPr>
      <w:r>
        <w:t>He reminds the Pantheon that each Olympian holds a designated role and is expected to be diligent in carrying out those duties.</w:t>
      </w:r>
    </w:p>
    <w:p>
      <w:pPr>
        <w:pStyle w:val="ListBullet"/>
      </w:pPr>
      <w:r>
        <w:t>He lists the unaddressed issues and directs the Pantheon to resolve them, framing this as a call to fulfill their duties to the fullest of their abilities.</w:t>
      </w:r>
    </w:p>
    <w:p>
      <w:pPr>
        <w:pStyle w:val="ListBullet"/>
      </w:pPr>
      <w:r>
        <w:t>He closes by noting that he is capable of performing all of their functions himself, positioning this as leverage rather than a threat — reinforcing that this outcome is undesirable and unnecessary if the Pantheon performs as expected.</w:t>
      </w:r>
    </w:p>
    <w:p>
      <w:pPr>
        <w:pStyle w:val="Heading1"/>
      </w:pPr>
      <w:r>
        <w:t>2. The Cult of the Minus One: Shadows Over San Luis Obispo</w:t>
      </w:r>
    </w:p>
    <w:p>
      <w:r>
        <w:t>This scenario was flagged for record-keeping from prior development history. The Architect indicated this scenario has resurfaced but did not provide additional plot detail in this session beyond the title.</w:t>
      </w:r>
    </w:p>
    <w:p>
      <w:r>
        <w:t>Placeholder note: No further narrative content was supplied for this entry during this voice note. This section is preserved as a title/reference marker for future expansion in a follow-up session.</w:t>
      </w:r>
    </w:p>
    <w:p>
      <w:pPr>
        <w:pStyle w:val="Heading1"/>
      </w:pPr>
      <w:r>
        <w:t>3. Petition of Leaders — The Deficit Scenario</w:t>
      </w:r>
    </w:p>
    <w:p>
      <w:r>
        <w:t>A leader from a petitioning body reached out requesting that their deficit be cleared entirely — i.e., reduced to zero rather than pushed into a surplus ("the green"). The Architect used a hypothetical, explicitly fictional example (illustratively referencing a nation such as the US, with no real-world claim implied) to frame the scenario.</w:t>
      </w:r>
    </w:p>
    <w:p>
      <w:pPr>
        <w:pStyle w:val="Heading2"/>
      </w:pPr>
      <w:r>
        <w:t>The Core Exchange</w:t>
      </w:r>
    </w:p>
    <w:p>
      <w:pPr>
        <w:pStyle w:val="ListBullet"/>
      </w:pPr>
      <w:r>
        <w:t>The petitioning leader requested full debt relief — zeroing out what was owed, without moving them into positive territory.</w:t>
      </w:r>
    </w:p>
    <w:p>
      <w:pPr>
        <w:pStyle w:val="ListBullet"/>
      </w:pPr>
      <w:r>
        <w:t>The Architect declined, reasoning that a blanket clearance would remove the incentive to learn from the underlying causes of the deficit.</w:t>
      </w:r>
    </w:p>
    <w:p>
      <w:pPr>
        <w:pStyle w:val="ListBullet"/>
      </w:pPr>
      <w:r>
        <w:t>The Architect's stated position: providing unconditional relief "gives you the resources to be able to be like okay, we're not going to learn anything from this experience" — it does not solve the underlying problem.</w:t>
      </w:r>
    </w:p>
    <w:p>
      <w:pPr>
        <w:pStyle w:val="ListBullet"/>
      </w:pPr>
      <w:r>
        <w:t>The Architect acknowledged that many other factors contribute to a deficit and stated they would not unilaterally fix it without addressing those factors.</w:t>
      </w:r>
    </w:p>
    <w:p>
      <w:pPr>
        <w:pStyle w:val="ListBullet"/>
      </w:pPr>
      <w:r>
        <w:t>The leader argued back and forth with the Architect, contesting this reasoning.</w:t>
      </w:r>
    </w:p>
    <w:p>
      <w:pPr>
        <w:pStyle w:val="ListBullet"/>
      </w:pPr>
      <w:r>
        <w:t>Outcome: the Architect ultimately did not provide the leader with a path to financial relief in this scenario.</w:t>
      </w:r>
    </w:p>
    <w:p>
      <w:pPr>
        <w:pStyle w:val="Heading1"/>
      </w:pPr>
      <w:r>
        <w:t>4. The Oil Spill Scenario</w:t>
      </w:r>
    </w:p>
    <w:p>
      <w:r>
        <w:t>A large-scale oil spill occurred with a newscaster reporting live on site. A character appeared at the scene and intervened directly.</w:t>
      </w:r>
    </w:p>
    <w:p>
      <w:pPr>
        <w:pStyle w:val="Heading2"/>
      </w:pPr>
      <w:r>
        <w:t>Sequence of Events</w:t>
      </w:r>
    </w:p>
    <w:p>
      <w:pPr>
        <w:pStyle w:val="ListBullet"/>
      </w:pPr>
      <w:r>
        <w:t>The spill caused significant impact to the surrounding community, wildlife, and long-term environmental prosperity.</w:t>
      </w:r>
    </w:p>
    <w:p>
      <w:pPr>
        <w:pStyle w:val="ListBullet"/>
      </w:pPr>
      <w:r>
        <w:t>The character transmogrified the spilled oil into contained barrels, effectively cleaning up the spill.</w:t>
      </w:r>
    </w:p>
    <w:p>
      <w:pPr>
        <w:pStyle w:val="ListBullet"/>
      </w:pPr>
      <w:r>
        <w:t>Visual/animation detail: the character generates a 3D rendering of Earth in the palm of his hand — distinct from typical "internet globe" imagery (vertical/horizontal grid lines) — this is a true 3D model that can be zoomed into for real-time information and used to make direct alterations.</w:t>
      </w:r>
    </w:p>
    <w:p>
      <w:pPr>
        <w:pStyle w:val="ListBullet"/>
      </w:pPr>
      <w:r>
        <w:t>Post-incident, an argument was raised challenging the intervention: why clean up the oil spill for the responsible party at all?</w:t>
      </w:r>
    </w:p>
    <w:p>
      <w:pPr>
        <w:pStyle w:val="ListBullet"/>
      </w:pPr>
      <w:r>
        <w:t>The counter-argument questioned what lesson is learned if consequences are simply erased, and suggested the responsible party effectively profits from the cleanup being handled for them.</w:t>
      </w:r>
    </w:p>
    <w:p>
      <w:pPr>
        <w:pStyle w:val="ListBullet"/>
      </w:pPr>
      <w:r>
        <w:t>This scenario was not resolved with a stated final position in the material shared — it is preserved primarily as a documented event and open question, mirroring the deficit scenario's underlying tension between relief and accountability.</w:t>
      </w:r>
    </w:p>
    <w:p>
      <w:pPr>
        <w:pStyle w:val="Heading1"/>
      </w:pPr>
      <w:r>
        <w:t>5. The Nuclear Test Scenario</w:t>
      </w:r>
    </w:p>
    <w:p>
      <w:r>
        <w:t>A coordinated multi-nation test of nuclear arsenals was staged within the OAL universe.</w:t>
      </w:r>
    </w:p>
    <w:p>
      <w:pPr>
        <w:pStyle w:val="ListBullet"/>
      </w:pPr>
      <w:r>
        <w:t>During the coordinated test, an actual attack was launched.</w:t>
      </w:r>
    </w:p>
    <w:p>
      <w:pPr>
        <w:pStyle w:val="ListBullet"/>
      </w:pPr>
      <w:r>
        <w:t>The attack was absorbed and neutralized by the character present in the scene.</w:t>
      </w:r>
    </w:p>
    <w:p>
      <w:pPr>
        <w:pStyle w:val="ListBullet"/>
      </w:pPr>
      <w:r>
        <w:t>In development, no overall purpose was established for the testing — why it was needed or what the outcome was meant to signify was left unstated.</w:t>
      </w:r>
    </w:p>
    <w:p>
      <w:pPr>
        <w:pStyle w:val="ListBullet"/>
      </w:pPr>
      <w:r>
        <w:t>This scenario, like the oil spill, is preserved as an incident record without a resolved narrative thesis; it is flagged for future development to define motive and consequence.</w:t>
      </w:r>
    </w:p>
    <w:p>
      <w:pPr>
        <w:pStyle w:val="Heading1"/>
      </w:pPr>
      <w:r>
        <w:t>6. Petitioner's Court</w:t>
      </w:r>
    </w:p>
    <w:p>
      <w:r>
        <w:t>The petitioner's court is an established mechanism within the OAL universe: petitioners submit requests online through a dedicated website, petitions are reviewed by a panel of entities, and if granted, the petitioner receives a response within a short window of time.</w:t>
      </w:r>
    </w:p>
    <w:p>
      <w:pPr>
        <w:pStyle w:val="Heading2"/>
      </w:pPr>
      <w:r>
        <w:t>Petitioner 1 — The Woman Impacted by War</w:t>
      </w:r>
    </w:p>
    <w:p>
      <w:pPr>
        <w:pStyle w:val="ListBullet"/>
      </w:pPr>
      <w:r>
        <w:t>A woman affected by an ongoing war or conflict petitioned with an audience present.</w:t>
      </w:r>
    </w:p>
    <w:p>
      <w:pPr>
        <w:pStyle w:val="ListBullet"/>
      </w:pPr>
      <w:r>
        <w:t>Her intent was to cast blame on the person hearing her petition.</w:t>
      </w:r>
    </w:p>
    <w:p>
      <w:pPr>
        <w:pStyle w:val="ListBullet"/>
      </w:pPr>
      <w:r>
        <w:t>The presiding figure, generally calm in temperament, became visibly upset during the exchange.</w:t>
      </w:r>
    </w:p>
    <w:p>
      <w:pPr>
        <w:pStyle w:val="ListBullet"/>
      </w:pPr>
      <w:r>
        <w:t>Rather than simply refuting her, the presiding figure reshaped the framing of the argument itself and directly named what she was actually attempting to do.</w:t>
      </w:r>
    </w:p>
    <w:p>
      <w:pPr>
        <w:pStyle w:val="Heading2"/>
      </w:pPr>
      <w:r>
        <w:t>Petitioner 2 — The Discrepancy Case</w:t>
      </w:r>
    </w:p>
    <w:p>
      <w:pPr>
        <w:pStyle w:val="ListBullet"/>
      </w:pPr>
      <w:r>
        <w:t>A separate petitioner advanced far enough to reach the in-person audience chamber.</w:t>
      </w:r>
    </w:p>
    <w:p>
      <w:pPr>
        <w:pStyle w:val="ListBullet"/>
      </w:pPr>
      <w:r>
        <w:t>Petitions can be granted at the online stage, but the in-person audience serves to verify actual intent.</w:t>
      </w:r>
    </w:p>
    <w:p>
      <w:pPr>
        <w:pStyle w:val="ListBullet"/>
      </w:pPr>
      <w:r>
        <w:t>In this case, a significant discrepancy emerged between what was formally requested in the written petition and what the petitioner actually wanted to walk away with.</w:t>
      </w:r>
    </w:p>
    <w:p>
      <w:pPr>
        <w:pStyle w:val="ListBullet"/>
      </w:pPr>
      <w:r>
        <w:t>This discrepancy — already anticipated by the reviewing entities beforehand — had to be addressed directly and transparently in the chamber.</w:t>
      </w:r>
    </w:p>
    <w:p>
      <w:pPr>
        <w:pStyle w:val="ListBullet"/>
      </w:pPr>
      <w:r>
        <w:t>The presiding approach was stated as fully transparent: naming the gap between stated request and true intent without equivocation, and being explicit about how far the court was willing to go in response.</w:t>
      </w:r>
    </w:p>
    <w:p>
      <w:pPr>
        <w:pStyle w:val="Heading2"/>
      </w:pPr>
      <w:r>
        <w:t>General Pattern Across Petitions</w:t>
      </w:r>
    </w:p>
    <w:p>
      <w:r>
        <w:t>Across multiple petitions, a recurring structural tension surfaced between the literal content of a request and the petitioner's underlying intent. The court's standing practice is to address this discrepancy head-on rather than allow it to go unspoken.</w:t>
      </w:r>
    </w:p>
    <w:p>
      <w:pPr>
        <w:pStyle w:val="Heading1"/>
      </w:pPr>
      <w:r>
        <w:t>Notes for Next Pass</w:t>
      </w:r>
    </w:p>
    <w:p>
      <w:r>
        <w:t>This document represents one independent structuring pass of the voice note. The Architect intends to circulate this version to the broader AI collaborative team, then request a second, separately generated version from Perplexity after review. Both versions are intended to be saved to the Architect's drives as independent records.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