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PRIOR DEVELOPMENT HISTORY</w:t>
      </w:r>
    </w:p>
    <w:p>
      <w:pPr>
        <w:jc w:val="center"/>
      </w:pPr>
      <w:r>
        <w:rPr>
          <w:b/>
          <w:sz w:val="38"/>
        </w:rPr>
        <w:t>Independent Archival Record - First Pass</w:t>
      </w:r>
    </w:p>
    <w:p>
      <w:pPr>
        <w:jc w:val="center"/>
      </w:pPr>
      <w:r>
        <w:rPr>
          <w:i/>
          <w:sz w:val="24"/>
        </w:rPr>
        <w:t>Recovered Scenario Notes, Governance Themes, and Development Continuity</w:t>
      </w:r>
    </w:p>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9"/>
              </w:rPr>
              <w:t>Version</w:t>
            </w:r>
          </w:p>
        </w:tc>
        <w:tc>
          <w:tcPr>
            <w:tcW w:type="dxa" w:w="4896"/>
            <w:vAlign w:val="center"/>
          </w:tcPr>
          <w:p>
            <w:r/>
            <w:r>
              <w:rPr>
                <w:b w:val="0"/>
                <w:sz w:val="19"/>
              </w:rPr>
              <w:t>1.0 - Independent First-Pass Record</w:t>
            </w:r>
          </w:p>
        </w:tc>
      </w:tr>
      <w:tr>
        <w:tc>
          <w:tcPr>
            <w:tcW w:type="dxa" w:w="4896"/>
            <w:vAlign w:val="center"/>
            <w:shd w:fill="D9EAF7"/>
          </w:tcPr>
          <w:p>
            <w:r/>
            <w:r>
              <w:rPr>
                <w:b/>
                <w:sz w:val="19"/>
              </w:rPr>
              <w:t>Prepared by</w:t>
            </w:r>
          </w:p>
        </w:tc>
        <w:tc>
          <w:tcPr>
            <w:tcW w:type="dxa" w:w="4896"/>
            <w:vAlign w:val="center"/>
          </w:tcPr>
          <w:p>
            <w:r/>
            <w:r>
              <w:rPr>
                <w:b w:val="0"/>
                <w:sz w:val="19"/>
              </w:rPr>
              <w:t>ChatGPT (GPT-5.6 Sol)</w:t>
            </w:r>
          </w:p>
        </w:tc>
      </w:tr>
      <w:tr>
        <w:tc>
          <w:tcPr>
            <w:tcW w:type="dxa" w:w="4896"/>
            <w:vAlign w:val="center"/>
            <w:shd w:fill="D9EAF7"/>
          </w:tcPr>
          <w:p>
            <w:r/>
            <w:r>
              <w:rPr>
                <w:b/>
                <w:sz w:val="19"/>
              </w:rPr>
              <w:t>Date</w:t>
            </w:r>
          </w:p>
        </w:tc>
        <w:tc>
          <w:tcPr>
            <w:tcW w:type="dxa" w:w="4896"/>
            <w:vAlign w:val="center"/>
          </w:tcPr>
          <w:p>
            <w:r/>
            <w:r>
              <w:rPr>
                <w:b w:val="0"/>
                <w:sz w:val="19"/>
              </w:rPr>
              <w:t>September 1, 2026</w:t>
            </w:r>
          </w:p>
        </w:tc>
      </w:tr>
      <w:tr>
        <w:tc>
          <w:tcPr>
            <w:tcW w:type="dxa" w:w="4896"/>
            <w:vAlign w:val="center"/>
            <w:shd w:fill="D9EAF7"/>
          </w:tcPr>
          <w:p>
            <w:r/>
            <w:r>
              <w:rPr>
                <w:b/>
                <w:sz w:val="19"/>
              </w:rPr>
              <w:t>Source</w:t>
            </w:r>
          </w:p>
        </w:tc>
        <w:tc>
          <w:tcPr>
            <w:tcW w:type="dxa" w:w="4896"/>
            <w:vAlign w:val="center"/>
          </w:tcPr>
          <w:p>
            <w:r/>
            <w:r>
              <w:rPr>
                <w:b w:val="0"/>
                <w:sz w:val="19"/>
              </w:rPr>
              <w:t>User-provided retrospective voice note / development recollection</w:t>
            </w:r>
          </w:p>
        </w:tc>
      </w:tr>
      <w:tr>
        <w:tc>
          <w:tcPr>
            <w:tcW w:type="dxa" w:w="4896"/>
            <w:vAlign w:val="center"/>
            <w:shd w:fill="D9EAF7"/>
          </w:tcPr>
          <w:p>
            <w:r/>
            <w:r>
              <w:rPr>
                <w:b/>
                <w:sz w:val="19"/>
              </w:rPr>
              <w:t>Status</w:t>
            </w:r>
          </w:p>
        </w:tc>
        <w:tc>
          <w:tcPr>
            <w:tcW w:type="dxa" w:w="4896"/>
            <w:vAlign w:val="center"/>
          </w:tcPr>
          <w:p>
            <w:r/>
            <w:r>
              <w:rPr>
                <w:b w:val="0"/>
                <w:sz w:val="19"/>
              </w:rPr>
              <w:t>Working archival record pending multi-AI review and second-pass revision</w:t>
            </w:r>
          </w:p>
        </w:tc>
      </w:tr>
      <w:tr>
        <w:tc>
          <w:tcPr>
            <w:tcW w:type="dxa" w:w="4896"/>
            <w:vAlign w:val="center"/>
            <w:shd w:fill="D9EAF7"/>
          </w:tcPr>
          <w:p>
            <w:r/>
            <w:r>
              <w:rPr>
                <w:b/>
                <w:sz w:val="19"/>
              </w:rPr>
              <w:t>Scope</w:t>
            </w:r>
          </w:p>
        </w:tc>
        <w:tc>
          <w:tcPr>
            <w:tcW w:type="dxa" w:w="4896"/>
            <w:vAlign w:val="center"/>
          </w:tcPr>
          <w:p>
            <w:r/>
            <w:r>
              <w:rPr>
                <w:b w:val="0"/>
                <w:sz w:val="19"/>
              </w:rPr>
              <w:t>Fictional worldbuilding, narrative development, governance scenarios, and simulation-development history</w:t>
            </w:r>
          </w:p>
        </w:tc>
      </w:tr>
    </w:tbl>
    <w:p/>
    <w:p>
      <w:pPr>
        <w:pStyle w:val="RecordNote"/>
      </w:pPr>
      <w:r>
        <w:rPr>
          <w:b/>
        </w:rPr>
        <w:t xml:space="preserve">Archival disclaimer. </w:t>
      </w:r>
      <w:r>
        <w:t>This document records fictional and developmental scenarios as described by the user. It does not assert that any described intervention, authority, event, geopolitical action, divine entity, financial relief mechanism, nuclear event, or supernatural capability exists or occurred in the real world.</w:t>
      </w:r>
    </w:p>
    <w:p>
      <w:r>
        <w:br w:type="page"/>
      </w:r>
    </w:p>
    <w:p>
      <w:pPr>
        <w:pStyle w:val="Heading1"/>
      </w:pPr>
      <w:r>
        <w:t>1. Executive Summary</w:t>
      </w:r>
    </w:p>
    <w:p>
      <w:r>
        <w:t>This document reconstructs and organizes several scenarios from the user’s prior development history that resurfaced during a September 1, 2026 retrospective voice note. The purpose is not to create new canon. It is to establish a traceable first-pass record of what is presently remembered, identify the recurring design principles embedded in those scenarios, preserve uncertainty where the source memory is incomplete, and create a stable basis for independent review by other AI collaborative team members.</w:t>
      </w:r>
    </w:p>
    <w:p>
      <w:r>
        <w:t>The recovered material spans six principal development areas: (1) the Audit of Olympus and the Olympians; (2) THE CULT OF THE MINUS ONE: SHADOWS OVER SAN LUIS OBISPO, for which the underlying narrative is presently insufficiently remembered; (3) petition and audience scenarios involving financial relief, conflict attribution, and discrepancies between declared requests and actual intent; (4) an oil-spill intervention involving environmental remediation and a later ethical challenge concerning whether intervention improperly restores the value of the spilled resource; (5) a coordinated nuclear test in which launched weapons were absorbed and neutralized by a character, but the test’s purpose and evaluative framework were never fully articulated; and (6) the broader Petitioners’ Court architecture, including online filing, rapid review, in-person audiences, intent assessment, and direct confrontation of discrepancies between stated petitions and underlying objectives.</w:t>
      </w:r>
    </w:p>
    <w:p>
      <w:r>
        <w:t>Across these scenarios, a common governance pattern emerges: capability does not automatically create an obligation to rescue, compensate, replace, forgive, or micromanage. Intervention is repeatedly treated as something that should be evaluated for incentives, learning effects, accountability, responsibility, systemic consequences, and whether assistance would merely transfer the costs of poor decisions onto a more capable actor. A second recurring principle is that formal language is not treated as the entirety of a request. Intent, context, and foreseeable effects matter. A third is that high-capability actors may deliberately refrain from replacing competent domain authorities or operators when those actors should be able to perform their assigned duties independently.</w:t>
      </w:r>
    </w:p>
    <w:p>
      <w:r>
        <w:t>This first pass intentionally avoids reconstructing facts that the source voice note does not support. Most importantly, the cult narrative is not elaborated beyond its remembered title, its prior publication on Wattpad, and the fact that earlier documentation existed. The second pass should incorporate independently generated AI reviews and, where possible, recovered source documentation.</w:t>
      </w:r>
    </w:p>
    <w:p>
      <w:pPr>
        <w:pStyle w:val="Heading1"/>
      </w:pPr>
      <w:r>
        <w:t>2. Purpose and Archival Method</w:t>
      </w:r>
    </w:p>
    <w:p>
      <w:r>
        <w:t>The record has five functions: preserve resurfaced development history; separate remembered facts from interpretation; identify cross-scenario design principles; expose unresolved questions for team review; and prevent later drafts from treating speculative reconstruction as previously established canon.</w:t>
      </w:r>
    </w:p>
    <w:p>
      <w:pPr>
        <w:pStyle w:val="Heading2"/>
      </w:pPr>
      <w:r>
        <w:t>2.1 Evidence Labels Used in This Record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9"/>
              </w:rPr>
              <w:t>Label</w:t>
            </w:r>
          </w:p>
        </w:tc>
        <w:tc>
          <w:tcPr>
            <w:tcW w:type="dxa" w:w="3264"/>
            <w:vAlign w:val="center"/>
            <w:shd w:fill="D9EAF7"/>
          </w:tcPr>
          <w:p>
            <w:r/>
            <w:r>
              <w:rPr>
                <w:b/>
                <w:sz w:val="19"/>
              </w:rPr>
              <w:t>Meaning</w:t>
            </w:r>
          </w:p>
        </w:tc>
        <w:tc>
          <w:tcPr>
            <w:tcW w:type="dxa" w:w="3264"/>
            <w:vAlign w:val="center"/>
            <w:shd w:fill="D9EAF7"/>
          </w:tcPr>
          <w:p>
            <w:r/>
            <w:r>
              <w:rPr>
                <w:b/>
                <w:sz w:val="19"/>
              </w:rPr>
              <w:t>Use in this record</w:t>
            </w:r>
          </w:p>
        </w:tc>
      </w:tr>
      <w:tr>
        <w:tc>
          <w:tcPr>
            <w:tcW w:type="dxa" w:w="3264"/>
            <w:vAlign w:val="center"/>
          </w:tcPr>
          <w:p>
            <w:r/>
            <w:r>
              <w:rPr>
                <w:b/>
                <w:sz w:val="19"/>
              </w:rPr>
              <w:t>Remembered detail</w:t>
            </w:r>
          </w:p>
        </w:tc>
        <w:tc>
          <w:tcPr>
            <w:tcW w:type="dxa" w:w="3264"/>
            <w:vAlign w:val="center"/>
          </w:tcPr>
          <w:p>
            <w:r/>
            <w:r>
              <w:rPr>
                <w:b w:val="0"/>
                <w:sz w:val="19"/>
              </w:rPr>
              <w:t>Directly stated or clearly recollected in the source note.</w:t>
            </w:r>
          </w:p>
        </w:tc>
        <w:tc>
          <w:tcPr>
            <w:tcW w:type="dxa" w:w="3264"/>
            <w:vAlign w:val="center"/>
          </w:tcPr>
          <w:p>
            <w:r/>
            <w:r>
              <w:rPr>
                <w:b w:val="0"/>
                <w:sz w:val="19"/>
              </w:rPr>
              <w:t>Treated as the primary recovered record, subject to later source-document verification.</w:t>
            </w:r>
          </w:p>
        </w:tc>
      </w:tr>
      <w:tr>
        <w:tc>
          <w:tcPr>
            <w:tcW w:type="dxa" w:w="3264"/>
            <w:vAlign w:val="center"/>
          </w:tcPr>
          <w:p>
            <w:r/>
            <w:r>
              <w:rPr>
                <w:b/>
                <w:sz w:val="19"/>
              </w:rPr>
              <w:t>Interpretive synthesis</w:t>
            </w:r>
          </w:p>
        </w:tc>
        <w:tc>
          <w:tcPr>
            <w:tcW w:type="dxa" w:w="3264"/>
            <w:vAlign w:val="center"/>
          </w:tcPr>
          <w:p>
            <w:r/>
            <w:r>
              <w:rPr>
                <w:b w:val="0"/>
                <w:sz w:val="19"/>
              </w:rPr>
              <w:t>A structural principle inferred from multiple remembered details.</w:t>
            </w:r>
          </w:p>
        </w:tc>
        <w:tc>
          <w:tcPr>
            <w:tcW w:type="dxa" w:w="3264"/>
            <w:vAlign w:val="center"/>
          </w:tcPr>
          <w:p>
            <w:r/>
            <w:r>
              <w:rPr>
                <w:b w:val="0"/>
                <w:sz w:val="19"/>
              </w:rPr>
              <w:t>Used to organize the scenarios, not to overwrite them.</w:t>
            </w:r>
          </w:p>
        </w:tc>
      </w:tr>
      <w:tr>
        <w:tc>
          <w:tcPr>
            <w:tcW w:type="dxa" w:w="3264"/>
            <w:vAlign w:val="center"/>
          </w:tcPr>
          <w:p>
            <w:r/>
            <w:r>
              <w:rPr>
                <w:b/>
                <w:sz w:val="19"/>
              </w:rPr>
              <w:t>Unresolved</w:t>
            </w:r>
          </w:p>
        </w:tc>
        <w:tc>
          <w:tcPr>
            <w:tcW w:type="dxa" w:w="3264"/>
            <w:vAlign w:val="center"/>
          </w:tcPr>
          <w:p>
            <w:r/>
            <w:r>
              <w:rPr>
                <w:b w:val="0"/>
                <w:sz w:val="19"/>
              </w:rPr>
              <w:t>The voice note identifies a gap, missing rationale, or incomplete memory.</w:t>
            </w:r>
          </w:p>
        </w:tc>
        <w:tc>
          <w:tcPr>
            <w:tcW w:type="dxa" w:w="3264"/>
            <w:vAlign w:val="center"/>
          </w:tcPr>
          <w:p>
            <w:r/>
            <w:r>
              <w:rPr>
                <w:b w:val="0"/>
                <w:sz w:val="19"/>
              </w:rPr>
              <w:t>Preserved explicitly for second-pass review.</w:t>
            </w:r>
          </w:p>
        </w:tc>
      </w:tr>
      <w:tr>
        <w:tc>
          <w:tcPr>
            <w:tcW w:type="dxa" w:w="3264"/>
            <w:vAlign w:val="center"/>
          </w:tcPr>
          <w:p>
            <w:r/>
            <w:r>
              <w:rPr>
                <w:b/>
                <w:sz w:val="19"/>
              </w:rPr>
              <w:t>Not reconstructed</w:t>
            </w:r>
          </w:p>
        </w:tc>
        <w:tc>
          <w:tcPr>
            <w:tcW w:type="dxa" w:w="3264"/>
            <w:vAlign w:val="center"/>
          </w:tcPr>
          <w:p>
            <w:r/>
            <w:r>
              <w:rPr>
                <w:b w:val="0"/>
                <w:sz w:val="19"/>
              </w:rPr>
              <w:t>Information that might plausibly exist in earlier documentation but is not presently remembered.</w:t>
            </w:r>
          </w:p>
        </w:tc>
        <w:tc>
          <w:tcPr>
            <w:tcW w:type="dxa" w:w="3264"/>
            <w:vAlign w:val="center"/>
          </w:tcPr>
          <w:p>
            <w:r/>
            <w:r>
              <w:rPr>
                <w:b w:val="0"/>
                <w:sz w:val="19"/>
              </w:rPr>
              <w:t>No narrative detail is invented to fill the gap.</w:t>
            </w:r>
          </w:p>
        </w:tc>
      </w:tr>
    </w:tbl>
    <w:p>
      <w:pPr>
        <w:pStyle w:val="Heading1"/>
      </w:pPr>
      <w:r>
        <w:t>3. Scenario Inventory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sz w:val="19"/>
              </w:rPr>
              <w:t>Scenario</w:t>
            </w:r>
          </w:p>
        </w:tc>
        <w:tc>
          <w:tcPr>
            <w:tcW w:type="dxa" w:w="2448"/>
            <w:vAlign w:val="center"/>
            <w:shd w:fill="D9EAF7"/>
          </w:tcPr>
          <w:p>
            <w:r/>
            <w:r>
              <w:rPr>
                <w:b/>
                <w:sz w:val="19"/>
              </w:rPr>
              <w:t>Recovered core</w:t>
            </w:r>
          </w:p>
        </w:tc>
        <w:tc>
          <w:tcPr>
            <w:tcW w:type="dxa" w:w="2448"/>
            <w:vAlign w:val="center"/>
            <w:shd w:fill="D9EAF7"/>
          </w:tcPr>
          <w:p>
            <w:r/>
            <w:r>
              <w:rPr>
                <w:b/>
                <w:sz w:val="19"/>
              </w:rPr>
              <w:t>Current confidence</w:t>
            </w:r>
          </w:p>
        </w:tc>
        <w:tc>
          <w:tcPr>
            <w:tcW w:type="dxa" w:w="2448"/>
            <w:vAlign w:val="center"/>
            <w:shd w:fill="D9EAF7"/>
          </w:tcPr>
          <w:p>
            <w:r/>
            <w:r>
              <w:rPr>
                <w:b/>
                <w:sz w:val="19"/>
              </w:rPr>
              <w:t>Primary unresolved issue</w:t>
            </w:r>
          </w:p>
        </w:tc>
      </w:tr>
      <w:tr>
        <w:tc>
          <w:tcPr>
            <w:tcW w:type="dxa" w:w="2448"/>
            <w:vAlign w:val="center"/>
          </w:tcPr>
          <w:p>
            <w:r/>
            <w:r>
              <w:rPr>
                <w:b/>
                <w:sz w:val="19"/>
              </w:rPr>
              <w:t>Audit of Olympus and the Olympians</w:t>
            </w:r>
          </w:p>
        </w:tc>
        <w:tc>
          <w:tcPr>
            <w:tcW w:type="dxa" w:w="2448"/>
            <w:vAlign w:val="center"/>
          </w:tcPr>
          <w:p>
            <w:r/>
            <w:r>
              <w:rPr>
                <w:b w:val="0"/>
                <w:sz w:val="19"/>
              </w:rPr>
              <w:t>Performance and duty audit of an established pantheon; capable overseer refuses to micromanage but requires neglected duties to be corrected.</w:t>
            </w:r>
          </w:p>
        </w:tc>
        <w:tc>
          <w:tcPr>
            <w:tcW w:type="dxa" w:w="2448"/>
            <w:vAlign w:val="center"/>
          </w:tcPr>
          <w:p>
            <w:r/>
            <w:r>
              <w:rPr>
                <w:b w:val="0"/>
                <w:sz w:val="19"/>
              </w:rPr>
              <w:t>Moderate-High</w:t>
            </w:r>
          </w:p>
        </w:tc>
        <w:tc>
          <w:tcPr>
            <w:tcW w:type="dxa" w:w="2448"/>
            <w:vAlign w:val="center"/>
          </w:tcPr>
          <w:p>
            <w:r/>
            <w:r>
              <w:rPr>
                <w:b w:val="0"/>
                <w:sz w:val="19"/>
              </w:rPr>
              <w:t>Exact precipitating failures, audit criteria, and final corrective actions.</w:t>
            </w:r>
          </w:p>
        </w:tc>
      </w:tr>
      <w:tr>
        <w:tc>
          <w:tcPr>
            <w:tcW w:type="dxa" w:w="2448"/>
            <w:vAlign w:val="center"/>
          </w:tcPr>
          <w:p>
            <w:r/>
            <w:r>
              <w:rPr>
                <w:b/>
                <w:sz w:val="19"/>
              </w:rPr>
              <w:t>THE CULT OF THE MINUS ONE: SHADOWS OVER SAN LUIS OBISPO</w:t>
            </w:r>
          </w:p>
        </w:tc>
        <w:tc>
          <w:tcPr>
            <w:tcW w:type="dxa" w:w="2448"/>
            <w:vAlign w:val="center"/>
          </w:tcPr>
          <w:p>
            <w:r/>
            <w:r>
              <w:rPr>
                <w:b w:val="0"/>
                <w:sz w:val="19"/>
              </w:rPr>
              <w:t>Prior Wattpad narrative and prior documentation are remembered to have existed.</w:t>
            </w:r>
          </w:p>
        </w:tc>
        <w:tc>
          <w:tcPr>
            <w:tcW w:type="dxa" w:w="2448"/>
            <w:vAlign w:val="center"/>
          </w:tcPr>
          <w:p>
            <w:r/>
            <w:r>
              <w:rPr>
                <w:b w:val="0"/>
                <w:sz w:val="19"/>
              </w:rPr>
              <w:t>Low</w:t>
            </w:r>
          </w:p>
        </w:tc>
        <w:tc>
          <w:tcPr>
            <w:tcW w:type="dxa" w:w="2448"/>
            <w:vAlign w:val="center"/>
          </w:tcPr>
          <w:p>
            <w:r/>
            <w:r>
              <w:rPr>
                <w:b w:val="0"/>
                <w:sz w:val="19"/>
              </w:rPr>
              <w:t>Plot, participants, mechanics, chronology, and outcome are not safely recoverable from current memory.</w:t>
            </w:r>
          </w:p>
        </w:tc>
      </w:tr>
      <w:tr>
        <w:tc>
          <w:tcPr>
            <w:tcW w:type="dxa" w:w="2448"/>
            <w:vAlign w:val="center"/>
          </w:tcPr>
          <w:p>
            <w:r/>
            <w:r>
              <w:rPr>
                <w:b/>
                <w:sz w:val="19"/>
              </w:rPr>
              <w:t>Financial-relief petitioner / leader petition</w:t>
            </w:r>
          </w:p>
        </w:tc>
        <w:tc>
          <w:tcPr>
            <w:tcW w:type="dxa" w:w="2448"/>
            <w:vAlign w:val="center"/>
          </w:tcPr>
          <w:p>
            <w:r/>
            <w:r>
              <w:rPr>
                <w:b w:val="0"/>
                <w:sz w:val="19"/>
              </w:rPr>
              <w:t>Leader requests broad deficit relief; request is resisted because unconditional erasure would remove accountability and learning without correcting root causes.</w:t>
            </w:r>
          </w:p>
        </w:tc>
        <w:tc>
          <w:tcPr>
            <w:tcW w:type="dxa" w:w="2448"/>
            <w:vAlign w:val="center"/>
          </w:tcPr>
          <w:p>
            <w:r/>
            <w:r>
              <w:rPr>
                <w:b w:val="0"/>
                <w:sz w:val="19"/>
              </w:rPr>
              <w:t>Moderate</w:t>
            </w:r>
          </w:p>
        </w:tc>
        <w:tc>
          <w:tcPr>
            <w:tcW w:type="dxa" w:w="2448"/>
            <w:vAlign w:val="center"/>
          </w:tcPr>
          <w:p>
            <w:r/>
            <w:r>
              <w:rPr>
                <w:b w:val="0"/>
                <w:sz w:val="19"/>
              </w:rPr>
              <w:t>Identity, jurisdiction, exact requested remedy, and final ruling.</w:t>
            </w:r>
          </w:p>
        </w:tc>
      </w:tr>
      <w:tr>
        <w:tc>
          <w:tcPr>
            <w:tcW w:type="dxa" w:w="2448"/>
            <w:vAlign w:val="center"/>
          </w:tcPr>
          <w:p>
            <w:r/>
            <w:r>
              <w:rPr>
                <w:b/>
                <w:sz w:val="19"/>
              </w:rPr>
              <w:t>Conflict-affected woman petitioner</w:t>
            </w:r>
          </w:p>
        </w:tc>
        <w:tc>
          <w:tcPr>
            <w:tcW w:type="dxa" w:w="2448"/>
            <w:vAlign w:val="center"/>
          </w:tcPr>
          <w:p>
            <w:r/>
            <w:r>
              <w:rPr>
                <w:b w:val="0"/>
                <w:sz w:val="19"/>
              </w:rPr>
              <w:t>Petitioner seeks audience and attempts to place blame on the person hearing the petition; the argument is reframed and her actual rhetorical move is identified.</w:t>
            </w:r>
          </w:p>
        </w:tc>
        <w:tc>
          <w:tcPr>
            <w:tcW w:type="dxa" w:w="2448"/>
            <w:vAlign w:val="center"/>
          </w:tcPr>
          <w:p>
            <w:r/>
            <w:r>
              <w:rPr>
                <w:b w:val="0"/>
                <w:sz w:val="19"/>
              </w:rPr>
              <w:t>Moderate</w:t>
            </w:r>
          </w:p>
        </w:tc>
        <w:tc>
          <w:tcPr>
            <w:tcW w:type="dxa" w:w="2448"/>
            <w:vAlign w:val="center"/>
          </w:tcPr>
          <w:p>
            <w:r/>
            <w:r>
              <w:rPr>
                <w:b w:val="0"/>
                <w:sz w:val="19"/>
              </w:rPr>
              <w:t>Specific conflict, petition request, evidence, and final disposition.</w:t>
            </w:r>
          </w:p>
        </w:tc>
      </w:tr>
      <w:tr>
        <w:tc>
          <w:tcPr>
            <w:tcW w:type="dxa" w:w="2448"/>
            <w:vAlign w:val="center"/>
          </w:tcPr>
          <w:p>
            <w:r/>
            <w:r>
              <w:rPr>
                <w:b/>
                <w:sz w:val="19"/>
              </w:rPr>
              <w:t>Intent-discrepancy petitioner</w:t>
            </w:r>
          </w:p>
        </w:tc>
        <w:tc>
          <w:tcPr>
            <w:tcW w:type="dxa" w:w="2448"/>
            <w:vAlign w:val="center"/>
          </w:tcPr>
          <w:p>
            <w:r/>
            <w:r>
              <w:rPr>
                <w:b w:val="0"/>
                <w:sz w:val="19"/>
              </w:rPr>
              <w:t>Formal petition differs materially from the outcome actually sought; in-person audience reveals or confirms underlying intent and the discrepancy is addressed directly.</w:t>
            </w:r>
          </w:p>
        </w:tc>
        <w:tc>
          <w:tcPr>
            <w:tcW w:type="dxa" w:w="2448"/>
            <w:vAlign w:val="center"/>
          </w:tcPr>
          <w:p>
            <w:r/>
            <w:r>
              <w:rPr>
                <w:b w:val="0"/>
                <w:sz w:val="19"/>
              </w:rPr>
              <w:t>High as a recurring mechanism</w:t>
            </w:r>
          </w:p>
        </w:tc>
        <w:tc>
          <w:tcPr>
            <w:tcW w:type="dxa" w:w="2448"/>
            <w:vAlign w:val="center"/>
          </w:tcPr>
          <w:p>
            <w:r/>
            <w:r>
              <w:rPr>
                <w:b w:val="0"/>
                <w:sz w:val="19"/>
              </w:rPr>
              <w:t>Specific petition content and final ruling.</w:t>
            </w:r>
          </w:p>
        </w:tc>
      </w:tr>
      <w:tr>
        <w:tc>
          <w:tcPr>
            <w:tcW w:type="dxa" w:w="2448"/>
            <w:vAlign w:val="center"/>
          </w:tcPr>
          <w:p>
            <w:r/>
            <w:r>
              <w:rPr>
                <w:b/>
                <w:sz w:val="19"/>
              </w:rPr>
              <w:t>Oil-spill intervention</w:t>
            </w:r>
          </w:p>
        </w:tc>
        <w:tc>
          <w:tcPr>
            <w:tcW w:type="dxa" w:w="2448"/>
            <w:vAlign w:val="center"/>
          </w:tcPr>
          <w:p>
            <w:r/>
            <w:r>
              <w:rPr>
                <w:b w:val="0"/>
                <w:sz w:val="19"/>
              </w:rPr>
              <w:t>Large spill; real-time world model is used; oil is transformed/collected into barrels; later critique questions whether restoring the resource improperly rewards responsible parties.</w:t>
            </w:r>
          </w:p>
        </w:tc>
        <w:tc>
          <w:tcPr>
            <w:tcW w:type="dxa" w:w="2448"/>
            <w:vAlign w:val="center"/>
          </w:tcPr>
          <w:p>
            <w:r/>
            <w:r>
              <w:rPr>
                <w:b w:val="0"/>
                <w:sz w:val="19"/>
              </w:rPr>
              <w:t>Moderate-High</w:t>
            </w:r>
          </w:p>
        </w:tc>
        <w:tc>
          <w:tcPr>
            <w:tcW w:type="dxa" w:w="2448"/>
            <w:vAlign w:val="center"/>
          </w:tcPr>
          <w:p>
            <w:r/>
            <w:r>
              <w:rPr>
                <w:b w:val="0"/>
                <w:sz w:val="19"/>
              </w:rPr>
              <w:t>Who caused spill; exact remediation mechanics; custody/value disposition of recovered oil; accountability outcome.</w:t>
            </w:r>
          </w:p>
        </w:tc>
      </w:tr>
      <w:tr>
        <w:tc>
          <w:tcPr>
            <w:tcW w:type="dxa" w:w="2448"/>
            <w:vAlign w:val="center"/>
          </w:tcPr>
          <w:p>
            <w:r/>
            <w:r>
              <w:rPr>
                <w:b/>
                <w:sz w:val="19"/>
              </w:rPr>
              <w:t>Coordinated nuclear test</w:t>
            </w:r>
          </w:p>
        </w:tc>
        <w:tc>
          <w:tcPr>
            <w:tcW w:type="dxa" w:w="2448"/>
            <w:vAlign w:val="center"/>
          </w:tcPr>
          <w:p>
            <w:r/>
            <w:r>
              <w:rPr>
                <w:b w:val="0"/>
                <w:sz w:val="19"/>
              </w:rPr>
              <w:t>Multiple nations participate; weapons are launched and then absorbed/neutralized by a character.</w:t>
            </w:r>
          </w:p>
        </w:tc>
        <w:tc>
          <w:tcPr>
            <w:tcW w:type="dxa" w:w="2448"/>
            <w:vAlign w:val="center"/>
          </w:tcPr>
          <w:p>
            <w:r/>
            <w:r>
              <w:rPr>
                <w:b w:val="0"/>
                <w:sz w:val="19"/>
              </w:rPr>
              <w:t>Moderate</w:t>
            </w:r>
          </w:p>
        </w:tc>
        <w:tc>
          <w:tcPr>
            <w:tcW w:type="dxa" w:w="2448"/>
            <w:vAlign w:val="center"/>
          </w:tcPr>
          <w:p>
            <w:r/>
            <w:r>
              <w:rPr>
                <w:b w:val="0"/>
                <w:sz w:val="19"/>
              </w:rPr>
              <w:t>Why the test exists, what variables it measures, safety rules, and what outcome signifies.</w:t>
            </w:r>
          </w:p>
        </w:tc>
      </w:tr>
    </w:tbl>
    <w:p>
      <w:pPr>
        <w:pStyle w:val="Heading1"/>
      </w:pPr>
      <w:r>
        <w:t>4. Audit of Olympus and the Olympians</w:t>
      </w:r>
    </w:p>
    <w:p>
      <w:pPr>
        <w:pStyle w:val="Heading2"/>
      </w:pPr>
      <w:r>
        <w:t>4.1 Recovered Scenario</w:t>
      </w:r>
    </w:p>
    <w:p>
      <w:r>
        <w:t>A character appears on Mount Olympus in the context of a broader body of development work involving divinity, divine physiology, divine auras, bestowments, endowments, and the operational expectations placed on divine or pantheonic actors.</w:t>
      </w:r>
    </w:p>
    <w:p>
      <w:r>
        <w:t>The central issue is not whether the Olympians possess power. It is whether they are adequately performing the roles, domains, and duties for which they are responsible. The character’s position is deliberately non-micromanaging: established actors who have long possessed their domains should be able to execute their responsibilities without constant intervention.</w:t>
      </w:r>
    </w:p>
    <w:p>
      <w:r>
        <w:t>The Poseidon course is the clearest example given. Poseidon is treated as an Olympian with extensive tenure and domain expertise. The overseeing character can deliver students to the course, but does not need to stand over Poseidon, script every instructional action, or nitpick the execution of a domain that Poseidon should understand far better than a novice. Poseidon is expected to teach and run the course. The outcome for students can remain demanding; the instructor is not being replaced merely because a more capable actor exists.</w:t>
      </w:r>
    </w:p>
    <w:p>
      <w:r>
        <w:t>The audit becomes necessary because quality or performance problems have accumulated within the pantheon. The character states, in substance, that intervention should not have been required: designated roles exist, duties are known, and the relevant actors should be diligent in carrying them out. The character also makes clear that dependence on the auditor is not structurally necessary, because the auditor could perform all of the relevant work independently. That statement functions less as a boast than as a warning against assuming indispensability.</w:t>
      </w:r>
    </w:p>
    <w:p>
      <w:pPr>
        <w:pStyle w:val="Heading2"/>
      </w:pPr>
      <w:r>
        <w:t>4.2 Development Principles Surfaced</w:t>
      </w:r>
    </w:p>
    <w:p>
      <w:pPr>
        <w:pStyle w:val="ListBullet"/>
      </w:pPr>
      <w:r>
        <w:t>Delegation without abdication: assigning a domain means the assigned actor is expected to exercise competence and judgment.</w:t>
      </w:r>
    </w:p>
    <w:p>
      <w:pPr>
        <w:pStyle w:val="ListBullet"/>
      </w:pPr>
      <w:r>
        <w:t>Capability restraint: a superior actor does not automatically replace every subordinate or peer simply because replacement is possible.</w:t>
      </w:r>
    </w:p>
    <w:p>
      <w:pPr>
        <w:pStyle w:val="ListBullet"/>
      </w:pPr>
      <w:r>
        <w:t>Performance accountability: longevity, status, divinity, or institutional prestige does not exempt an actor from quality review.</w:t>
      </w:r>
    </w:p>
    <w:p>
      <w:pPr>
        <w:pStyle w:val="ListBullet"/>
      </w:pPr>
      <w:r>
        <w:t>Non-indispensability: an institution that assumes it cannot be replaced may become complacent; the audit explicitly rejects that assumption.</w:t>
      </w:r>
    </w:p>
    <w:p>
      <w:pPr>
        <w:pStyle w:val="ListBullet"/>
      </w:pPr>
      <w:r>
        <w:t>Corrective intervention threshold: intervention becomes justified when neglected duties or persistent quality failures cross a meaningful threshold.</w:t>
      </w:r>
    </w:p>
    <w:p>
      <w:pPr>
        <w:pStyle w:val="Heading2"/>
      </w:pPr>
      <w:r>
        <w:t>4.3 Open Questions for the Collaborative Team</w:t>
      </w:r>
    </w:p>
    <w:p>
      <w:pPr>
        <w:pStyle w:val="ListBullet"/>
      </w:pPr>
      <w:r>
        <w:t>What specific failures triggered the audit?</w:t>
      </w:r>
    </w:p>
    <w:p>
      <w:pPr>
        <w:pStyle w:val="ListBullet"/>
      </w:pPr>
      <w:r>
        <w:t>Was the audit limited to the Olympian pantheon or part of a wider divine-performance review?</w:t>
      </w:r>
    </w:p>
    <w:p>
      <w:pPr>
        <w:pStyle w:val="ListBullet"/>
      </w:pPr>
      <w:r>
        <w:t>What powers of correction, sanction, retraining, replacement, or restructuring did the auditor possess?</w:t>
      </w:r>
    </w:p>
    <w:p>
      <w:pPr>
        <w:pStyle w:val="ListBullet"/>
      </w:pPr>
      <w:r>
        <w:t>How should the Poseidon course relate to this audit: example, test case, or separate instructional architecture?</w:t>
      </w:r>
    </w:p>
    <w:p>
      <w:pPr>
        <w:pStyle w:val="ListBullet"/>
      </w:pPr>
      <w:r>
        <w:t>What distinguishes a remediable performance problem from a failure severe enough to justify removal or replacement?</w:t>
      </w:r>
    </w:p>
    <w:p>
      <w:pPr>
        <w:pStyle w:val="Heading1"/>
      </w:pPr>
      <w:r>
        <w:t>5. THE CULT OF THE MINUS ONE: SHADOWS OVER SAN LUIS OBISPO</w:t>
      </w:r>
    </w:p>
    <w:p>
      <w:pPr>
        <w:pStyle w:val="Heading2"/>
      </w:pPr>
      <w:r>
        <w:t>5.1 What Can Be Safely Recorded</w:t>
      </w:r>
    </w:p>
    <w:p>
      <w:r>
        <w:t>The title is remembered as “THE CULT OF THE MINUS ONE: SHADOWS OVER SAN LUIS OBISPO.” A narrative scenario existed and was published on Wattpad, and prior development documentation is believed to have existed. The user expressly stated that there is not presently a sufficiently clear mental model of the narrative to describe it reliably.</w:t>
      </w:r>
    </w:p>
    <w:p>
      <w:pPr>
        <w:pStyle w:val="Heading2"/>
      </w:pPr>
      <w:r>
        <w:t>5.2 Deliberate Non-Reconstruction</w:t>
      </w:r>
    </w:p>
    <w:p>
      <w:r>
        <w:t>No attempt is made in this first pass to infer the cult’s membership, doctrine, relationship to THE MINUS ONE, setting details, chronology, victims, antagonists, supernatural or technological mechanics, resolution, or canonical significance. Adding any of those details without recovered evidence would convert an archival record into a new creative reconstruction and could later be mistaken for historical development material.</w:t>
      </w:r>
    </w:p>
    <w:p>
      <w:pPr>
        <w:pStyle w:val="Heading2"/>
      </w:pPr>
      <w:r>
        <w:t>5.3 Recovery Priorities</w:t>
      </w:r>
    </w:p>
    <w:p>
      <w:pPr>
        <w:pStyle w:val="ListBullet"/>
      </w:pPr>
      <w:r>
        <w:t>Search prior Wattpad publication history and exported drafts.</w:t>
      </w:r>
    </w:p>
    <w:p>
      <w:pPr>
        <w:pStyle w:val="ListBullet"/>
      </w:pPr>
      <w:r>
        <w:t>Search development logs, Drive folders, AI conversation archives, and versioned narrative files for the exact title and close variants.</w:t>
      </w:r>
    </w:p>
    <w:p>
      <w:pPr>
        <w:pStyle w:val="ListBullet"/>
      </w:pPr>
      <w:r>
        <w:t>When recovered, distinguish original narrative text from later commentary or synthesis.</w:t>
      </w:r>
    </w:p>
    <w:p>
      <w:pPr>
        <w:pStyle w:val="ListBullet"/>
      </w:pPr>
      <w:r>
        <w:t>Record publication date, revision date, credited contributors, and whether the recovered version was canon, experimental, or superseded.</w:t>
      </w:r>
    </w:p>
    <w:p>
      <w:pPr>
        <w:pStyle w:val="Heading1"/>
      </w:pPr>
      <w:r>
        <w:t>6. Petitioners’ Court and Petition Architecture</w:t>
      </w:r>
    </w:p>
    <w:p>
      <w:pPr>
        <w:pStyle w:val="Heading2"/>
      </w:pPr>
      <w:r>
        <w:t>6.1 System Overview</w:t>
      </w:r>
    </w:p>
    <w:p>
      <w:r>
        <w:t>The worldbuilding universe contains a formal petition system. Petitioners may submit requests online through a website. Petitions are reviewed and a response is returned within a comparatively short window. Some petitions may be resolved at that stage; others can progress to a direct audience.</w:t>
      </w:r>
    </w:p>
    <w:p>
      <w:r>
        <w:t>The audience process is not merely ceremonial. It functions as a higher-resolution evaluation layer. Written petitions can contain extensive information, but an in-person audience exposes intent, emphasis, omissions, framing, and discrepancies that may not be fully visible in the submitted language. The decision-maker may already suspect the underlying intent before the meeting; the audience gives the petitioner an opportunity to state, defend, or clarify the request directly.</w:t>
      </w:r>
    </w:p>
    <w:p>
      <w:pPr>
        <w:pStyle w:val="Heading2"/>
      </w:pPr>
      <w:r>
        <w:t>6.2 Declared Request vs. Actual Intent</w:t>
      </w:r>
    </w:p>
    <w:p>
      <w:r>
        <w:t>A recurring scenario involved a petitioner whose written request materially differed from what the petitioner actually intended to obtain. The discrepancy was not handled through euphemism or procedural evasion. It was confronted explicitly: this is what the petition says; this is what the petitioner is actually asking for; these are not equivalent; and this is the boundary of what the decision-maker is willing to grant. The architecture therefore treats petition review as both semantic and intentional rather than purely textual.</w:t>
      </w:r>
    </w:p>
    <w:p>
      <w:pPr>
        <w:pStyle w:val="Heading1"/>
      </w:pPr>
      <w:r>
        <w:t>7. Petition Scenario: Financial Relief and Deficit Erasure</w:t>
      </w:r>
    </w:p>
    <w:p>
      <w:pPr>
        <w:pStyle w:val="Heading2"/>
      </w:pPr>
      <w:r>
        <w:t>7.1 Recovered Scenario</w:t>
      </w:r>
    </w:p>
    <w:p>
      <w:r>
        <w:t>A leader, or a group of leaders, petitioned for financial relief. One remembered request involved clearing a large deficit or comparable accumulated financial loss. The user used the United States only as an illustrative example in the voice note and explicitly stated that the scenario is fictional and should not be read as a claim about real-world authority or intervention.</w:t>
      </w:r>
    </w:p>
    <w:p>
      <w:r>
        <w:t>The key response was that simply writing a “blank check” or erasing the entire deficit down to zero would not necessarily solve the underlying problem. If the conditions, incentives, decision processes, and behaviors that created the deficit remain unchanged, unconditional relief can remove the consequences of those choices while leaving the failure mechanism intact. The petitioner can then repeat the same process with newly restored capacity.</w:t>
      </w:r>
    </w:p>
    <w:p>
      <w:r>
        <w:t>The argument therefore becomes an accountability and systems-design question rather than a simple question of whether sufficient resources exist to pay the debt. The capable actor’s refusal is based on the proposition that relief without reform can become a subsidy for recurrence. The remembered outcome is that no broad recourse for financial relief was ultimately provided, though the exact ruling should be verified if original documentation is recovered.</w:t>
      </w:r>
    </w:p>
    <w:p>
      <w:pPr>
        <w:pStyle w:val="Heading2"/>
      </w:pPr>
      <w:r>
        <w:t>7.2 Policy Logic Embedded in the Scenario</w:t>
      </w:r>
    </w:p>
    <w:p>
      <w:pPr>
        <w:pStyle w:val="ListBullet"/>
      </w:pPr>
      <w:r>
        <w:t>Separate liquidity or solvency relief from structural correction.</w:t>
      </w:r>
    </w:p>
    <w:p>
      <w:pPr>
        <w:pStyle w:val="ListBullet"/>
      </w:pPr>
      <w:r>
        <w:t>Do not confuse the ability to erase losses with proof that erasing them is the optimal intervention.</w:t>
      </w:r>
    </w:p>
    <w:p>
      <w:pPr>
        <w:pStyle w:val="ListBullet"/>
      </w:pPr>
      <w:r>
        <w:t>Evaluate moral hazard: does intervention encourage future risk because losses can be externalized?</w:t>
      </w:r>
    </w:p>
    <w:p>
      <w:pPr>
        <w:pStyle w:val="ListBullet"/>
      </w:pPr>
      <w:r>
        <w:t>Evaluate learning and institutional adaptation: what must change before relief could be justified?</w:t>
      </w:r>
    </w:p>
    <w:p>
      <w:pPr>
        <w:pStyle w:val="ListBullet"/>
      </w:pPr>
      <w:r>
        <w:t>Consider conditional, staged, monitored, or reform-linked relief as conceptually distinct from unconditional forgiveness.</w:t>
      </w:r>
    </w:p>
    <w:p>
      <w:pPr>
        <w:pStyle w:val="ListBullet"/>
      </w:pPr>
      <w:r>
        <w:t>Preserve boundaries between humanitarian mitigation and institutional bailout when both may be present.</w:t>
      </w:r>
    </w:p>
    <w:p>
      <w:pPr>
        <w:pStyle w:val="Heading1"/>
      </w:pPr>
      <w:r>
        <w:t>8. Petition Scenario: Conflict-Affected Woman and Attribution of Blame</w:t>
      </w:r>
    </w:p>
    <w:p>
      <w:r>
        <w:t>Another petitioner was a woman affected by an ongoing war or conflict. She obtained an audience and attempted, through the structure of her argument, to place blame on the person hearing her petition. The decision-maker is generally characterized as calm, but became somewhat upset and deliberately reshaped the argumentative frame. Rather than accepting the petitioner’s framing, the decision-maker identified what she was actually attempting to do and made the structure of the accusation explicit.</w:t>
      </w:r>
    </w:p>
    <w:p>
      <w:r>
        <w:t>The importance of the scene is not that a conflict-affected petitioner is dismissed. It is that suffering, urgency, and moral weight do not automatically make every attribution of responsibility accurate. The court or audience must be capable of hearing harm without surrendering causal analysis. A petitioner may be entitled to compassion, relief, or protection while still being incorrect about who caused the condition, who bears legal or moral responsibility, or what remedy the petitioned actor is obligated to provide.</w:t>
      </w:r>
    </w:p>
    <w:p>
      <w:pPr>
        <w:pStyle w:val="Heading1"/>
      </w:pPr>
      <w:r>
        <w:t>9. Petition Scenario: Discrepancy Between Petition Text and Intended Outcome</w:t>
      </w:r>
    </w:p>
    <w:p>
      <w:r>
        <w:t>A further petitioner advanced far enough to receive an audience. The defining issue was a large discrepancy between the formal petition and the result the petitioner actually wanted. The audience revealed, confirmed, or made unavoidable that the stated request and the intended acquisition were not the same. The decision-maker responded with exceptional directness, naming the discrepancy and setting a clear limit on how far the petition would be entertained.</w:t>
      </w:r>
    </w:p>
    <w:p>
      <w:pPr>
        <w:pStyle w:val="Heading2"/>
      </w:pPr>
      <w:r>
        <w:t>9.1 Architectural Implication</w:t>
      </w:r>
    </w:p>
    <w:p>
      <w:r>
        <w:t>The Petitioners’ Court should therefore preserve at least four separable objects in its review model: the literal petition, the factual situation described, the petitioner’s inferred or demonstrated intent, and the remedy actually sought. These objects can overlap, but the system should not assume they are identical. A final ruling should be able to state which of these objects it is granting, denying, narrowing, or reframing.</w:t>
      </w:r>
    </w:p>
    <w:p>
      <w:pPr>
        <w:pStyle w:val="Heading1"/>
      </w:pPr>
      <w:r>
        <w:t>10. Environmental Intervention Scenario: Major Oil Spill</w:t>
      </w:r>
    </w:p>
    <w:p>
      <w:pPr>
        <w:pStyle w:val="Heading2"/>
      </w:pPr>
      <w:r>
        <w:t>10.1 Recovered Scene</w:t>
      </w:r>
    </w:p>
    <w:p>
      <w:r>
        <w:t>A major oil spill produces widespread effects on the surrounding community, wildlife, and long-term environmental conditions. A newscaster is present on site, establishing a public-facing perspective on the disaster. A high-capability character then appears and intervenes.</w:t>
      </w:r>
    </w:p>
    <w:p>
      <w:r>
        <w:t>The character uses a palm-generated interface or object representing Earth itself as a functional three-dimensional model rather than a decorative globe. The object contains a manipulable rendering of the planet, supports zooming and inspection, receives real-time information, and permits the character to make alterations through the represented environment. The described visual resembles familiar globe or network imagery in having longitudinal and latitudinal or grid-like lines, but the remembered device is an actual operational rendering of Earth within the fiction.</w:t>
      </w:r>
    </w:p>
    <w:p>
      <w:r>
        <w:t>The spilled oil is removed or transformed from the contaminated environment and rendered into barrels. This cleans the affected area and converts the dispersed contaminant back into a contained, usable form.</w:t>
      </w:r>
    </w:p>
    <w:p>
      <w:pPr>
        <w:pStyle w:val="Heading2"/>
      </w:pPr>
      <w:r>
        <w:t>10.2 The Later Ethical Challenge</w:t>
      </w:r>
    </w:p>
    <w:p>
      <w:r>
        <w:t>After the intervention, a significant objection was raised: if the actor not only cleans the spill but restores the oil to a usable commodity and simply returns it to the party responsible for the spill, then the intervention may erase both the environmental cost and a meaningful portion of the economic consequence. The responsible party could effectively receive free disaster remediation while retaining the value of the recovered resource. The question becomes: what did the responsible institution actually learn, and did intervention unintentionally improve its position?</w:t>
      </w:r>
    </w:p>
    <w:p>
      <w:pPr>
        <w:pStyle w:val="Heading2"/>
      </w:pPr>
      <w:r>
        <w:t>10.3 Design Questions Raised</w:t>
      </w:r>
    </w:p>
    <w:p>
      <w:pPr>
        <w:pStyle w:val="ListBullet"/>
      </w:pPr>
      <w:r>
        <w:t>Who owns recovered or reconstructed material after remediation?</w:t>
      </w:r>
    </w:p>
    <w:p>
      <w:pPr>
        <w:pStyle w:val="ListBullet"/>
      </w:pPr>
      <w:r>
        <w:t>Should environmental restoration and commodity restoration be treated as separate acts?</w:t>
      </w:r>
    </w:p>
    <w:p>
      <w:pPr>
        <w:pStyle w:val="ListBullet"/>
      </w:pPr>
      <w:r>
        <w:t>Should responsible parties bear remediation, restitution, monitoring, and prevention costs even when cleanup itself is effortless for the intervening actor?</w:t>
      </w:r>
    </w:p>
    <w:p>
      <w:pPr>
        <w:pStyle w:val="ListBullet"/>
      </w:pPr>
      <w:r>
        <w:t>Can recovered value be escrowed, redirected to affected communities, or used to fund restoration rather than automatically returned?</w:t>
      </w:r>
    </w:p>
    <w:p>
      <w:pPr>
        <w:pStyle w:val="ListBullet"/>
      </w:pPr>
      <w:r>
        <w:t>How should intervention preserve deterrence when the intervener can eliminate physical consequences almost instantly?</w:t>
      </w:r>
    </w:p>
    <w:p>
      <w:pPr>
        <w:pStyle w:val="ListBullet"/>
      </w:pPr>
      <w:r>
        <w:t>What long-term ecological monitoring remains necessary after apparent instantaneous cleanup?</w:t>
      </w:r>
    </w:p>
    <w:p>
      <w:pPr>
        <w:pStyle w:val="Heading1"/>
      </w:pPr>
      <w:r>
        <w:t>11. Coordinated Nuclear Test / Neutralization Scenario</w:t>
      </w:r>
    </w:p>
    <w:p>
      <w:pPr>
        <w:pStyle w:val="Heading2"/>
      </w:pPr>
      <w:r>
        <w:t>11.1 Recovered Scene</w:t>
      </w:r>
    </w:p>
    <w:p>
      <w:r>
        <w:t>Prior development documentation included a coordinated test involving multiple nations and their arsenals. Weapons were launched in a controlled scenario, and a character absorbed and neutralized the attack. The remembered documentation established the visible event but did not adequately define the experiment’s purpose, necessity, evaluative variables, or interpretation of success.</w:t>
      </w:r>
    </w:p>
    <w:p>
      <w:pPr>
        <w:pStyle w:val="Heading2"/>
      </w:pPr>
      <w:r>
        <w:t>11.2 Development Gap</w:t>
      </w:r>
    </w:p>
    <w:p>
      <w:r>
        <w:t>The principal gap is methodological rather than visual. A test is not fully defined merely because a dramatic capability demonstration occurs. The scenario needs an explicit reason for testing, a statement of what uncertainty exists before the test, criteria for success and failure, safety assumptions, limits, what is learned from a successful neutralization, and what decision the result enables afterward.</w:t>
      </w:r>
    </w:p>
    <w:p>
      <w:pPr>
        <w:pStyle w:val="Heading2"/>
      </w:pPr>
      <w:r>
        <w:t>11.3 Safe High-Level Test Questions for Worldbuilding</w:t>
      </w:r>
    </w:p>
    <w:p>
      <w:pPr>
        <w:pStyle w:val="ListBullet"/>
      </w:pPr>
      <w:r>
        <w:t>Is the test intended to measure capacity, simultaneity, interception coverage, containment reliability, endurance, or authority signaling?</w:t>
      </w:r>
    </w:p>
    <w:p>
      <w:pPr>
        <w:pStyle w:val="ListBullet"/>
      </w:pPr>
      <w:r>
        <w:t>Does “neutralized” mean destroyed, rendered inert, displaced, absorbed, converted, stored, or otherwise prevented from producing its intended effect?</w:t>
      </w:r>
    </w:p>
    <w:p>
      <w:pPr>
        <w:pStyle w:val="ListBullet"/>
      </w:pPr>
      <w:r>
        <w:t>What safeguards prevent the fictional test from becoming indistinguishable from an actual attack within the narrative?</w:t>
      </w:r>
    </w:p>
    <w:p>
      <w:pPr>
        <w:pStyle w:val="ListBullet"/>
      </w:pPr>
      <w:r>
        <w:t>What observers or verification mechanisms determine whether the claimed neutralization was complete?</w:t>
      </w:r>
    </w:p>
    <w:p>
      <w:pPr>
        <w:pStyle w:val="ListBullet"/>
      </w:pPr>
      <w:r>
        <w:t>What does the result authorize or change in future doctrine, diplomacy, defense planning, or character confidence?</w:t>
      </w:r>
    </w:p>
    <w:p>
      <w:pPr>
        <w:pStyle w:val="Heading1"/>
      </w:pPr>
      <w:r>
        <w:t>12. Cross-Scenario Principles</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b/>
                <w:sz w:val="19"/>
              </w:rPr>
              <w:t>Principle</w:t>
            </w:r>
          </w:p>
        </w:tc>
        <w:tc>
          <w:tcPr>
            <w:tcW w:type="dxa" w:w="4896"/>
            <w:vAlign w:val="center"/>
            <w:shd w:fill="D9EAF7"/>
          </w:tcPr>
          <w:p>
            <w:r/>
            <w:r>
              <w:rPr>
                <w:b/>
                <w:sz w:val="19"/>
              </w:rPr>
              <w:t>Meaning in the recovered scenarios</w:t>
            </w:r>
          </w:p>
        </w:tc>
      </w:tr>
      <w:tr>
        <w:tc>
          <w:tcPr>
            <w:tcW w:type="dxa" w:w="4896"/>
            <w:vAlign w:val="center"/>
          </w:tcPr>
          <w:p>
            <w:r/>
            <w:r>
              <w:rPr>
                <w:b/>
                <w:sz w:val="19"/>
              </w:rPr>
              <w:t>Capability is not automatic obligation</w:t>
            </w:r>
          </w:p>
        </w:tc>
        <w:tc>
          <w:tcPr>
            <w:tcW w:type="dxa" w:w="4896"/>
            <w:vAlign w:val="center"/>
          </w:tcPr>
          <w:p>
            <w:r/>
            <w:r>
              <w:rPr>
                <w:b w:val="0"/>
                <w:sz w:val="19"/>
              </w:rPr>
              <w:t>The ability to solve another actor’s problem does not by itself establish a duty to absorb every cost, erase every consequence, or replace every responsible institution.</w:t>
            </w:r>
          </w:p>
        </w:tc>
      </w:tr>
      <w:tr>
        <w:tc>
          <w:tcPr>
            <w:tcW w:type="dxa" w:w="4896"/>
            <w:vAlign w:val="center"/>
          </w:tcPr>
          <w:p>
            <w:r/>
            <w:r>
              <w:rPr>
                <w:b/>
                <w:sz w:val="19"/>
              </w:rPr>
              <w:t>Remediation should not erase accountability</w:t>
            </w:r>
          </w:p>
        </w:tc>
        <w:tc>
          <w:tcPr>
            <w:tcW w:type="dxa" w:w="4896"/>
            <w:vAlign w:val="center"/>
          </w:tcPr>
          <w:p>
            <w:r/>
            <w:r>
              <w:rPr>
                <w:b w:val="0"/>
                <w:sz w:val="19"/>
              </w:rPr>
              <w:t>Environmental, financial, or institutional intervention can produce perverse incentives when cleanup also restores the responsible party’s full position.</w:t>
            </w:r>
          </w:p>
        </w:tc>
      </w:tr>
      <w:tr>
        <w:tc>
          <w:tcPr>
            <w:tcW w:type="dxa" w:w="4896"/>
            <w:vAlign w:val="center"/>
          </w:tcPr>
          <w:p>
            <w:r/>
            <w:r>
              <w:rPr>
                <w:b/>
                <w:sz w:val="19"/>
              </w:rPr>
              <w:t>Intent is a first-class review object</w:t>
            </w:r>
          </w:p>
        </w:tc>
        <w:tc>
          <w:tcPr>
            <w:tcW w:type="dxa" w:w="4896"/>
            <w:vAlign w:val="center"/>
          </w:tcPr>
          <w:p>
            <w:r/>
            <w:r>
              <w:rPr>
                <w:b w:val="0"/>
                <w:sz w:val="19"/>
              </w:rPr>
              <w:t>Formal petitions are evaluated alongside actual objectives, context, and the remedy the petitioner truly seeks.</w:t>
            </w:r>
          </w:p>
        </w:tc>
      </w:tr>
      <w:tr>
        <w:tc>
          <w:tcPr>
            <w:tcW w:type="dxa" w:w="4896"/>
            <w:vAlign w:val="center"/>
          </w:tcPr>
          <w:p>
            <w:r/>
            <w:r>
              <w:rPr>
                <w:b/>
                <w:sz w:val="19"/>
              </w:rPr>
              <w:t>Compassion and causal analysis can coexist</w:t>
            </w:r>
          </w:p>
        </w:tc>
        <w:tc>
          <w:tcPr>
            <w:tcW w:type="dxa" w:w="4896"/>
            <w:vAlign w:val="center"/>
          </w:tcPr>
          <w:p>
            <w:r/>
            <w:r>
              <w:rPr>
                <w:b w:val="0"/>
                <w:sz w:val="19"/>
              </w:rPr>
              <w:t>A petitioner can be genuinely harmed without every attribution of blame or requested remedy being accepted.</w:t>
            </w:r>
          </w:p>
        </w:tc>
      </w:tr>
      <w:tr>
        <w:tc>
          <w:tcPr>
            <w:tcW w:type="dxa" w:w="4896"/>
            <w:vAlign w:val="center"/>
          </w:tcPr>
          <w:p>
            <w:r/>
            <w:r>
              <w:rPr>
                <w:b/>
                <w:sz w:val="19"/>
              </w:rPr>
              <w:t>Delegated competence should be allowed to operate</w:t>
            </w:r>
          </w:p>
        </w:tc>
        <w:tc>
          <w:tcPr>
            <w:tcW w:type="dxa" w:w="4896"/>
            <w:vAlign w:val="center"/>
          </w:tcPr>
          <w:p>
            <w:r/>
            <w:r>
              <w:rPr>
                <w:b w:val="0"/>
                <w:sz w:val="19"/>
              </w:rPr>
              <w:t>The Olympus/Poseidon example supports non-micromanagement where a domain actor should already possess sufficient competence.</w:t>
            </w:r>
          </w:p>
        </w:tc>
      </w:tr>
      <w:tr>
        <w:tc>
          <w:tcPr>
            <w:tcW w:type="dxa" w:w="4896"/>
            <w:vAlign w:val="center"/>
          </w:tcPr>
          <w:p>
            <w:r/>
            <w:r>
              <w:rPr>
                <w:b/>
                <w:sz w:val="19"/>
              </w:rPr>
              <w:t>Intervention should teach or stabilize, not merely reset</w:t>
            </w:r>
          </w:p>
        </w:tc>
        <w:tc>
          <w:tcPr>
            <w:tcW w:type="dxa" w:w="4896"/>
            <w:vAlign w:val="center"/>
          </w:tcPr>
          <w:p>
            <w:r/>
            <w:r>
              <w:rPr>
                <w:b w:val="0"/>
                <w:sz w:val="19"/>
              </w:rPr>
              <w:t>A reset to zero can be inadequate if the process that produced the failure remains untouched.</w:t>
            </w:r>
          </w:p>
        </w:tc>
      </w:tr>
      <w:tr>
        <w:tc>
          <w:tcPr>
            <w:tcW w:type="dxa" w:w="4896"/>
            <w:vAlign w:val="center"/>
          </w:tcPr>
          <w:p>
            <w:r/>
            <w:r>
              <w:rPr>
                <w:b/>
                <w:sz w:val="19"/>
              </w:rPr>
              <w:t>Tests require decision relevance</w:t>
            </w:r>
          </w:p>
        </w:tc>
        <w:tc>
          <w:tcPr>
            <w:tcW w:type="dxa" w:w="4896"/>
            <w:vAlign w:val="center"/>
          </w:tcPr>
          <w:p>
            <w:r/>
            <w:r>
              <w:rPr>
                <w:b w:val="0"/>
                <w:sz w:val="19"/>
              </w:rPr>
              <w:t>Capability demonstrations should define what is being learned and what changes because of the result.</w:t>
            </w:r>
          </w:p>
        </w:tc>
      </w:tr>
      <w:tr>
        <w:tc>
          <w:tcPr>
            <w:tcW w:type="dxa" w:w="4896"/>
            <w:vAlign w:val="center"/>
          </w:tcPr>
          <w:p>
            <w:r/>
            <w:r>
              <w:rPr>
                <w:b/>
                <w:sz w:val="19"/>
              </w:rPr>
              <w:t>Transparency can be procedural</w:t>
            </w:r>
          </w:p>
        </w:tc>
        <w:tc>
          <w:tcPr>
            <w:tcW w:type="dxa" w:w="4896"/>
            <w:vAlign w:val="center"/>
          </w:tcPr>
          <w:p>
            <w:r/>
            <w:r>
              <w:rPr>
                <w:b w:val="0"/>
                <w:sz w:val="19"/>
              </w:rPr>
              <w:t>The Petitioners’ Court model favors explicit statements of discrepancy and boundaries rather than allowing ambiguous petitions to pass through as though stated and intended outcomes were identical.</w:t>
            </w:r>
          </w:p>
        </w:tc>
      </w:tr>
    </w:tbl>
    <w:p>
      <w:pPr>
        <w:pStyle w:val="Heading1"/>
      </w:pPr>
      <w:r>
        <w:t>13. Canon Boundaries and Non-Claims</w:t>
      </w:r>
    </w:p>
    <w:p>
      <w:pPr>
        <w:pStyle w:val="ListBullet"/>
      </w:pPr>
      <w:r>
        <w:t>This is a reconstruction from current memory, not a claim that every detail appeared verbatim in prior documents.</w:t>
      </w:r>
    </w:p>
    <w:p>
      <w:pPr>
        <w:pStyle w:val="ListBullet"/>
      </w:pPr>
      <w:r>
        <w:t>The United States deficit example in the source note is illustrative only and is not treated as the identity of the fictional petitioner.</w:t>
      </w:r>
    </w:p>
    <w:p>
      <w:pPr>
        <w:pStyle w:val="ListBullet"/>
      </w:pPr>
      <w:r>
        <w:t>No real-world authority, intervention, divine status, military control, environmental manipulation, financial power, or geopolitical effect is asserted.</w:t>
      </w:r>
    </w:p>
    <w:p>
      <w:pPr>
        <w:pStyle w:val="ListBullet"/>
      </w:pPr>
      <w:r>
        <w:t>The cult narrative remains intentionally incomplete until source material is recovered.</w:t>
      </w:r>
    </w:p>
    <w:p>
      <w:pPr>
        <w:pStyle w:val="ListBullet"/>
      </w:pPr>
      <w:r>
        <w:t>The nuclear scenario is recorded at a high-level worldbuilding and testing-governance level; this record does not provide real-world weapon construction, targeting, deployment, or operational instructions.</w:t>
      </w:r>
    </w:p>
    <w:p>
      <w:pPr>
        <w:pStyle w:val="ListBullet"/>
      </w:pPr>
      <w:r>
        <w:t>Interpretive principles in this document are proposed organizational syntheses and should be reviewed separately from recovered narrative facts.</w:t>
      </w:r>
    </w:p>
    <w:p>
      <w:pPr>
        <w:pStyle w:val="Heading1"/>
      </w:pPr>
      <w:r>
        <w:t>14. Recommended Multi-AI First-Pass Review</w:t>
      </w:r>
    </w:p>
    <w:p>
      <w:r>
        <w:t>Each collaborative AI should generate an independent review rather than editing toward consensus immediately. The value of the first pass is divergence: each system may identify different missing assumptions, governance principles, narrative consequences, or archival recovery targets.</w:t>
      </w:r>
    </w:p>
    <w:p>
      <w:pPr>
        <w:pStyle w:val="ListBullet"/>
      </w:pPr>
      <w:r>
        <w:t>Identify which details appear factual within the remembered development history and which are interpretive.</w:t>
      </w:r>
    </w:p>
    <w:p>
      <w:pPr>
        <w:pStyle w:val="ListBullet"/>
      </w:pPr>
      <w:r>
        <w:t>Flag any places where this record accidentally overstates certainty.</w:t>
      </w:r>
    </w:p>
    <w:p>
      <w:pPr>
        <w:pStyle w:val="ListBullet"/>
      </w:pPr>
      <w:r>
        <w:t>Propose scenario-specific questions that would materially improve reconstruction.</w:t>
      </w:r>
    </w:p>
    <w:p>
      <w:pPr>
        <w:pStyle w:val="ListBullet"/>
      </w:pPr>
      <w:r>
        <w:t>Analyze moral hazard, responsibility, restitution, delegated authority, intent review, and intervention thresholds without forcing all scenarios into one doctrine.</w:t>
      </w:r>
    </w:p>
    <w:p>
      <w:pPr>
        <w:pStyle w:val="ListBullet"/>
      </w:pPr>
      <w:r>
        <w:t>For THE CULT OF THE MINUS ONE, do not reconstruct the plot without recovered source evidence. Focus on recovery methods and metadata.</w:t>
      </w:r>
    </w:p>
    <w:p>
      <w:pPr>
        <w:pStyle w:val="ListBullet"/>
      </w:pPr>
      <w:r>
        <w:t>For the nuclear test, focus on fictional test purpose, measurement logic, safety architecture, verification, and narrative meaning rather than real-world weapons procedures.</w:t>
      </w:r>
    </w:p>
    <w:p>
      <w:pPr>
        <w:pStyle w:val="ListBullet"/>
      </w:pPr>
      <w:r>
        <w:t>Return an independent structured record suitable for comparison during the second-pass synthesis.</w:t>
      </w:r>
    </w:p>
    <w:p>
      <w:pPr>
        <w:pStyle w:val="Heading1"/>
      </w:pPr>
      <w:r>
        <w:t>15. Second-Pass Incorporation Plan</w:t>
      </w:r>
    </w:p>
    <w:p>
      <w:pPr>
        <w:pStyle w:val="ListNumber"/>
      </w:pPr>
      <w:r>
        <w:t>Compare the independent AI versions side-by-side.</w:t>
      </w:r>
    </w:p>
    <w:p>
      <w:pPr>
        <w:pStyle w:val="ListNumber"/>
      </w:pPr>
      <w:r>
        <w:t>Create a discrepancy register showing additions, disagreements, inferred principles, and unresolved questions.</w:t>
      </w:r>
    </w:p>
    <w:p>
      <w:pPr>
        <w:pStyle w:val="ListNumber"/>
      </w:pPr>
      <w:r>
        <w:t>Promote only source-supported or explicitly approved material into the revised archival record.</w:t>
      </w:r>
    </w:p>
    <w:p>
      <w:pPr>
        <w:pStyle w:val="ListNumber"/>
      </w:pPr>
      <w:r>
        <w:t>Add recovered Wattpad or development-log material where available, with source and date attribution.</w:t>
      </w:r>
    </w:p>
    <w:p>
      <w:pPr>
        <w:pStyle w:val="ListNumber"/>
      </w:pPr>
      <w:r>
        <w:t>Assign stable scenario identifiers so later project documents can cross-reference the events without renaming them.</w:t>
      </w:r>
    </w:p>
    <w:p>
      <w:pPr>
        <w:pStyle w:val="ListNumber"/>
      </w:pPr>
      <w:r>
        <w:t>Produce Version 2.0 as the post-review independent ChatGPT pass before final Drive archival.</w:t>
      </w:r>
    </w:p>
    <w:p>
      <w:pPr>
        <w:pStyle w:val="Heading1"/>
      </w:pPr>
      <w:r>
        <w:t>Appendix A. Compact Scenario Reference</w:t>
      </w:r>
    </w:p>
    <w:p>
      <w:r>
        <w:rPr>
          <w:b/>
        </w:rPr>
        <w:t xml:space="preserve">OLYMPUS-AUDIT: </w:t>
      </w:r>
      <w:r>
        <w:t>Pantheonic performance review; non-micromanagement; designated duties; corrective accountability; non-indispensability.</w:t>
      </w:r>
    </w:p>
    <w:p>
      <w:r>
        <w:rPr>
          <w:b/>
        </w:rPr>
        <w:t xml:space="preserve">MINUSONE-SLO-CULT: </w:t>
      </w:r>
      <w:r>
        <w:t>Known title and publication history only; content recovery required; no speculation.</w:t>
      </w:r>
    </w:p>
    <w:p>
      <w:r>
        <w:rPr>
          <w:b/>
        </w:rPr>
        <w:t xml:space="preserve">PET-FIN-RELIEF: </w:t>
      </w:r>
      <w:r>
        <w:t>Leader seeks deficit/loss erasure; unconditional reset rejected because it may preserve the failure mechanism and remove accountability.</w:t>
      </w:r>
    </w:p>
    <w:p>
      <w:r>
        <w:rPr>
          <w:b/>
        </w:rPr>
        <w:t xml:space="preserve">PET-CONFLICT-BLAME: </w:t>
      </w:r>
      <w:r>
        <w:t>Conflict-affected petitioner attempts to assign blame to decision-maker; framing is challenged and causation is separated from suffering.</w:t>
      </w:r>
    </w:p>
    <w:p>
      <w:r>
        <w:rPr>
          <w:b/>
        </w:rPr>
        <w:t xml:space="preserve">PET-INTENT-GAP: </w:t>
      </w:r>
      <w:r>
        <w:t>Formal petition and actual desired outcome diverge; audience process surfaces intent and decision boundary.</w:t>
      </w:r>
    </w:p>
    <w:p>
      <w:r>
        <w:rPr>
          <w:b/>
        </w:rPr>
        <w:t xml:space="preserve">ENV-OIL-REMED: </w:t>
      </w:r>
      <w:r>
        <w:t>Major spill; real-time Earth model; spill converted/contained in barrels; later concern about restoring commodity value to responsible party.</w:t>
      </w:r>
    </w:p>
    <w:p>
      <w:r>
        <w:rPr>
          <w:b/>
        </w:rPr>
        <w:t xml:space="preserve">TEST-NUCLEAR-NEUT: </w:t>
      </w:r>
      <w:r>
        <w:t>Multinational coordinated launch; character neutralizes attack; test purpose and success criteria underdeveloped.</w:t>
      </w:r>
    </w:p>
    <w:p/>
    <w:p>
      <w:pPr>
        <w:pStyle w:val="RecordNote"/>
      </w:pPr>
      <w:r>
        <w:rPr>
          <w:b/>
        </w:rPr>
        <w:t xml:space="preserve">End of Version 1.0. </w:t>
      </w:r>
      <w:r>
        <w:t>This record is designed for independent collaborative review before a second-pass archival revision and eventual long-term storage.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PRIOR DEVELOPMENT HISTORY | INDEPENDENT ARCHIVAL RECORD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rdNote">
    <w:name w:val="Record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