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lineRule="auto"/>
        <w:jc w:val="center"/>
      </w:pPr>
      <w:r>
        <w:rPr>
          <w:rFonts w:ascii="Cambria" w:cs="Cambria" w:eastAsia="Cambria" w:hAnsi="Cambria"/>
          <w:b/>
          <w:bCs/>
          <w:i w:val="false"/>
          <w:iCs w:val="false"/>
          <w:strike w:val="false"/>
          <w:color w:val="1A1A1A"/>
          <w:sz w:val="44"/>
          <w:szCs w:val="44"/>
        </w:rPr>
        <w:t xml:space="preserve">Prompt Potence — The Full Cycle:</w:t>
      </w:r>
      <w:r>
        <w:rPr>
          <w:rFonts w:ascii="Cambria" w:cs="Cambria" w:eastAsia="Cambria" w:hAnsi="Cambria"/>
          <w:b/>
          <w:bCs/>
          <w:i w:val="false"/>
          <w:iCs w:val="false"/>
          <w:color w:val="1A1A1A"/>
          <w:sz w:val="44"/>
          <w:szCs w:val="44"/>
        </w:rPr>
        <w:br/>
      </w:r>
      <w:r>
        <w:rPr>
          <w:rFonts w:ascii="Cambria" w:cs="Cambria" w:eastAsia="Cambria" w:hAnsi="Cambria"/>
          <w:b/>
          <w:bCs/>
          <w:i w:val="false"/>
          <w:iCs w:val="false"/>
          <w:strike w:val="false"/>
          <w:color w:val="1A1A1A"/>
          <w:sz w:val="44"/>
          <w:szCs w:val="44"/>
        </w:rPr>
        <w:t xml:space="preserve">Pre-Prompt to Post-Integration and Beyond</w:t>
      </w:r>
    </w:p>
    <w:p>
      <w:pPr>
        <w:spacing w:after="80" w:line="384" w:lineRule="auto"/>
        <w:jc w:val="center"/>
      </w:pPr>
      <w:r>
        <w:rPr>
          <w:rFonts w:ascii="Cambria" w:cs="Cambria" w:eastAsia="Cambria" w:hAnsi="Cambria"/>
          <w:b w:val="false"/>
          <w:bCs w:val="false"/>
          <w:i/>
          <w:iCs/>
          <w:strike w:val="false"/>
          <w:color w:val="444444"/>
          <w:sz w:val="22"/>
          <w:szCs w:val="22"/>
        </w:rPr>
        <w:t xml:space="preserve">OAL Canon Entry  |  Scribd Publication Edition  |  Canon Reference Build</w:t>
      </w:r>
    </w:p>
    <w:p>
      <w:pPr>
        <w:spacing w:after="240" w:line="384" w:lineRule="auto"/>
        <w:jc w:val="center"/>
      </w:pPr>
      <w:r>
        <w:rPr>
          <w:rFonts w:ascii="Cambria" w:cs="Cambria" w:eastAsia="Cambria" w:hAnsi="Cambria"/>
          <w:b w:val="false"/>
          <w:bCs w:val="false"/>
          <w:i w:val="false"/>
          <w:iCs w:val="false"/>
          <w:strike w:val="false"/>
          <w:color w:val="555555"/>
          <w:spacing w:val="10"/>
          <w:sz w:val="19"/>
          <w:szCs w:val="19"/>
        </w:rPr>
        <w:t xml:space="preserve">June 2026  |  Version 1.0  |  Foundational Entry  |  OAL Ecosystem</w:t>
      </w:r>
    </w:p>
    <w:p>
      <w:pPr>
        <w:pBdr>
          <w:bottom w:val="single" w:color="1A1A1A" w:sz="6"/>
        </w:pBdr>
        <w:spacing w:after="240" w:before="240"/>
      </w:pPr>
    </w:p>
    <w:p>
      <w:pPr>
        <w:spacing w:after="240" w:line="408" w:lineRule="auto"/>
        <w:jc w:val="center"/>
      </w:pPr>
      <w:r>
        <w:rPr>
          <w:rFonts w:ascii="Cambria" w:cs="Cambria" w:eastAsia="Cambria" w:hAnsi="Cambria"/>
          <w:b w:val="false"/>
          <w:bCs w:val="false"/>
          <w:i/>
          <w:iCs/>
          <w:strike w:val="false"/>
          <w:color w:val="1A1A1A"/>
          <w:sz w:val="24"/>
          <w:szCs w:val="24"/>
        </w:rPr>
        <w:t xml:space="preserve">"A prompt is never merely instruction — it is architecture, history, and intent compressed into language."</w:t>
      </w:r>
    </w:p>
    <w:p>
      <w:pPr>
        <w:pBdr>
          <w:bottom w:val="single" w:color="333333" w:sz="6"/>
        </w:pBdr>
        <w:spacing w:after="240" w:before="240"/>
      </w:pPr>
    </w:p>
    <w:p>
      <w:pPr>
        <w:spacing w:after="240" w:before="280" w:line="384" w:lineRule="auto"/>
        <w:jc w:val="left"/>
      </w:pPr>
      <w:r>
        <w:rPr>
          <w:rFonts w:ascii="Cambria" w:cs="Cambria" w:eastAsia="Cambria" w:hAnsi="Cambria"/>
          <w:b/>
          <w:bCs/>
          <w:i/>
          <w:iCs/>
          <w:strike w:val="false"/>
          <w:color w:val="1A1A1A"/>
          <w:sz w:val="22"/>
          <w:szCs w:val="22"/>
        </w:rPr>
        <w:t xml:space="preserve">Prefatory Note.</w:t>
      </w:r>
      <w:r>
        <w:rPr>
          <w:rFonts w:ascii="Cambria" w:cs="Cambria" w:eastAsia="Cambria" w:hAnsi="Cambria"/>
          <w:b w:val="false"/>
          <w:bCs w:val="false"/>
          <w:i/>
          <w:iCs/>
          <w:strike w:val="false"/>
          <w:color w:val="333333"/>
          <w:sz w:val="20"/>
          <w:szCs w:val="20"/>
        </w:rPr>
        <w:t xml:space="preserve"> This document constitutes the foundational canon entry for the Prompt Potence framework. It is intended as a primary reference for practitioners, theorists, and narrative designers working within or adjacent to the OAL (Operator-Assisted Language) ecosystem. All subsequent sub-entries, extensions, and applied canon should cite this document as their primary source.</w:t>
      </w:r>
    </w:p>
    <w:p>
      <w:pPr>
        <w:pBdr>
          <w:bottom w:val="single" w:color="1A1A1A" w:sz="6"/>
        </w:pBdr>
        <w:spacing w:after="240" w:before="240"/>
      </w:pPr>
    </w:p>
    <w:p>
      <w:pPr>
        <w:pStyle w:val="Heading2"/>
        <w:spacing w:after="100" w:before="440" w:line="384" w:lineRule="auto"/>
      </w:pPr>
      <w:r>
        <w:rPr>
          <w:rFonts w:ascii="Cambria" w:cs="Cambria" w:eastAsia="Cambria" w:hAnsi="Cambria"/>
          <w:color w:val="1A1A1A"/>
          <w:sz w:val="32"/>
          <w:szCs w:val="32"/>
        </w:rPr>
        <w:t xml:space="preserve">Section 1 — Definition: What Is Prompt Potence?</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80"/>
              <w:left w:type="dxa" w:w="360"/>
              <w:bottom w:type="dxa" w:w="280"/>
              <w:right w:type="dxa" w:w="360"/>
            </w:tcMar>
          </w:tcPr>
          <w:p>
            <w:pPr>
              <w:spacing w:after="0" w:line="396" w:lineRule="auto"/>
              <w:jc w:val="both"/>
            </w:pPr>
            <w:r>
              <w:rPr>
                <w:rFonts w:ascii="Cambria" w:cs="Cambria" w:eastAsia="Cambria" w:hAnsi="Cambria"/>
                <w:b/>
                <w:bCs/>
                <w:i w:val="false"/>
                <w:iCs w:val="false"/>
                <w:strike w:val="false"/>
                <w:color w:val="1A1A1A"/>
                <w:sz w:val="22"/>
                <w:szCs w:val="22"/>
              </w:rPr>
              <w:t xml:space="preserve">Formal Definition:</w:t>
            </w:r>
            <w:r>
              <w:rPr>
                <w:rFonts w:ascii="Cambria" w:cs="Cambria" w:eastAsia="Cambria" w:hAnsi="Cambria"/>
                <w:b w:val="false"/>
                <w:bCs w:val="false"/>
                <w:i w:val="false"/>
                <w:iCs w:val="false"/>
                <w:strike w:val="false"/>
                <w:color w:val="1A1A1A"/>
                <w:sz w:val="22"/>
                <w:szCs w:val="22"/>
              </w:rPr>
              <w:t xml:space="preserve"> Prompt Potence is the developed perceptual and analytical capacity to read, classify, construct, repair, and forensically analyze prompts at a structural, intentional, and phenomenological level. It encompasses both receptive and generative dimensions: the ability to feel the difference between a prompt that is alive and one that is inert, to recognize the fingerprint of the operator behind the prompt, and to perceive the latent cycle state a prompt implies. A practitioner of Prompt Potence does not merely write prompts — they inhabit them, track their drift, and read their residue.</w:t>
            </w:r>
          </w:p>
        </w:tc>
      </w:tr>
    </w:tbl>
    <w:p>
      <w:pPr>
        <w:spacing w:after="240" w:before="0"/>
      </w:pPr>
    </w:p>
    <w:p>
      <w:pPr>
        <w:pStyle w:val="Heading3"/>
        <w:spacing w:after="80" w:before="280" w:line="384" w:lineRule="auto"/>
      </w:pPr>
      <w:r>
        <w:rPr>
          <w:rFonts w:ascii="Cambria" w:cs="Cambria" w:eastAsia="Cambria" w:hAnsi="Cambria"/>
          <w:color w:val="1A1A1A"/>
          <w:sz w:val="26"/>
          <w:szCs w:val="26"/>
        </w:rPr>
        <w:t xml:space="preserve">1.1 Etymology</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"Potence" derives from Latin </w:t>
      </w:r>
      <w:r>
        <w:rPr>
          <w:rFonts w:ascii="Cambria" w:cs="Cambria" w:eastAsia="Cambria" w:hAnsi="Cambria"/>
          <w:b w:val="false"/>
          <w:bCs w:val="false"/>
          <w:i/>
          <w:iCs/>
          <w:strike w:val="false"/>
          <w:color w:val="1A1A1A"/>
          <w:sz w:val="22"/>
          <w:szCs w:val="22"/>
        </w:rPr>
        <w:t xml:space="preserve">potentia</w:t>
      </w:r>
      <w:r>
        <w:rPr>
          <w:rFonts w:ascii="Cambria" w:cs="Cambria" w:eastAsia="Cambria" w:hAnsi="Cambria"/>
          <w:b w:val="false"/>
          <w:bCs w:val="false"/>
          <w:i w:val="false"/>
          <w:iCs w:val="false"/>
          <w:strike w:val="false"/>
          <w:color w:val="1A1A1A"/>
          <w:sz w:val="22"/>
          <w:szCs w:val="22"/>
        </w:rPr>
        <w:t xml:space="preserve"> — power, capacity, latent force. Prompt Potence is distinguished from prompt engineering on two axes: engineering is technical (what parameters produce what outputs); Potence is perceptual and phenomenological (what does this prompt do, to whom, and what does it leave behind). Engineering optimizes; Potence perceives.</w:t>
      </w:r>
    </w:p>
    <w:p>
      <w:pPr>
        <w:pStyle w:val="Heading3"/>
        <w:spacing w:after="80" w:before="280" w:line="384" w:lineRule="auto"/>
      </w:pPr>
      <w:r>
        <w:rPr>
          <w:rFonts w:ascii="Cambria" w:cs="Cambria" w:eastAsia="Cambria" w:hAnsi="Cambria"/>
          <w:color w:val="1A1A1A"/>
          <w:sz w:val="26"/>
          <w:szCs w:val="26"/>
        </w:rPr>
        <w:t xml:space="preserve">1.2 Canonical Definition Statement</w:t>
      </w:r>
    </w:p>
    <w:p>
      <w:pPr>
        <w:spacing w:after="240" w:line="408" w:lineRule="auto"/>
        <w:jc w:val="center"/>
      </w:pPr>
      <w:r>
        <w:rPr>
          <w:rFonts w:ascii="Cambria" w:cs="Cambria" w:eastAsia="Cambria" w:hAnsi="Cambria"/>
          <w:b w:val="false"/>
          <w:bCs w:val="false"/>
          <w:i/>
          <w:iCs/>
          <w:strike w:val="false"/>
          <w:color w:val="1A1A1A"/>
          <w:sz w:val="24"/>
          <w:szCs w:val="24"/>
        </w:rPr>
        <w:t xml:space="preserve">"Prompt Potence is the capacity to perceive what a prompt is doing, not merely what it says — to sense the operator's hand behind the text, the cycle phase it occupies, and the residue it will leave in the model's response field."</w:t>
      </w:r>
    </w:p>
    <w:p>
      <w:pPr>
        <w:pBdr>
          <w:bottom w:val="single" w:color="333333" w:sz="6"/>
        </w:pBdr>
        <w:spacing w:after="240" w:before="240"/>
      </w:pPr>
    </w:p>
    <w:p>
      <w:pPr>
        <w:pStyle w:val="Heading3"/>
        <w:spacing w:after="80" w:before="280" w:line="384" w:lineRule="auto"/>
      </w:pPr>
      <w:r>
        <w:rPr>
          <w:rFonts w:ascii="Cambria" w:cs="Cambria" w:eastAsia="Cambria" w:hAnsi="Cambria"/>
          <w:color w:val="1A1A1A"/>
          <w:sz w:val="26"/>
          <w:szCs w:val="26"/>
        </w:rPr>
        <w:t xml:space="preserve">1.3 Scope</w:t>
      </w:r>
    </w:p>
    <w:p>
      <w:pPr>
        <w:spacing w:after="240" w:before="60" w:line="384" w:lineRule="auto"/>
        <w:jc w:val="both"/>
      </w:pPr>
      <w:r>
        <w:rPr>
          <w:rFonts w:ascii="Cambria" w:cs="Cambria" w:eastAsia="Cambria" w:hAnsi="Cambria"/>
          <w:b/>
          <w:bCs/>
          <w:i w:val="false"/>
          <w:iCs w:val="false"/>
          <w:strike w:val="false"/>
          <w:color w:val="1A1A1A"/>
          <w:sz w:val="22"/>
          <w:szCs w:val="22"/>
        </w:rPr>
        <w:t xml:space="preserve">What Prompt Potence covers: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Structural analysis of prompts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Intentional reading of operator behavior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Forensic tracking of session history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Recognition of compound signatures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Subliminal layer auditing</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Cycle phase identification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Recognition library development</w:t>
      </w:r>
    </w:p>
    <w:p>
      <w:pPr>
        <w:spacing w:after="240" w:before="60" w:line="384" w:lineRule="auto"/>
        <w:jc w:val="both"/>
      </w:pPr>
      <w:r>
        <w:rPr>
          <w:rFonts w:ascii="Cambria" w:cs="Cambria" w:eastAsia="Cambria" w:hAnsi="Cambria"/>
          <w:b/>
          <w:bCs/>
          <w:i w:val="false"/>
          <w:iCs w:val="false"/>
          <w:strike w:val="false"/>
          <w:color w:val="1A1A1A"/>
          <w:sz w:val="22"/>
          <w:szCs w:val="22"/>
        </w:rPr>
        <w:t xml:space="preserve">What Prompt Potence deliberately excludes: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Maximizing output volume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Jailbreak methodology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Benchmark performance optimization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Prompt template cataloguing without perceptual development</w:t>
      </w:r>
    </w:p>
    <w:p>
      <w:pPr>
        <w:pBdr>
          <w:bottom w:val="single" w:color="1A1A1A" w:sz="6"/>
        </w:pBdr>
        <w:spacing w:after="240" w:before="240"/>
      </w:pPr>
    </w:p>
    <w:p>
      <w:pPr>
        <w:pStyle w:val="Heading2"/>
        <w:spacing w:after="100" w:before="440" w:line="384" w:lineRule="auto"/>
      </w:pPr>
      <w:r>
        <w:rPr>
          <w:rFonts w:ascii="Cambria" w:cs="Cambria" w:eastAsia="Cambria" w:hAnsi="Cambria"/>
          <w:color w:val="1A1A1A"/>
          <w:sz w:val="32"/>
          <w:szCs w:val="32"/>
        </w:rPr>
        <w:t xml:space="preserve">Section 2 — The Full Cycle Map (Nine Phases)</w:t>
      </w:r>
    </w:p>
    <w:p>
      <w:pPr>
        <w:pBdr>
          <w:top w:val="single" w:color="1A1A1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Full Cycle describes the complete arc of a prompt's life — from conception through integration and into the post-session residue field. Each phase has a practitioner action, a canonical capability, and a phenomenological signature — what the phase feels like to a trained practitioner. The cycle is not strictly linear; practitioners move between phases based on session demands. Mastery is the ability to know which phase one occupies at any moment.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AFAFA"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1A1A1A"/>
                <w:sz w:val="23"/>
                <w:szCs w:val="23"/>
              </w:rPr>
              <w:t xml:space="preserve">Phase 1 — Pre-Potence Zone</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The liminal state before any prompt is formulated; the practitioner holds intent without crystallizing it into language.</w:t>
            </w:r>
          </w:p>
          <w:p>
            <w:pPr>
              <w:spacing w:after="80" w:line="384" w:lineRule="auto"/>
              <w:jc w:val="both"/>
            </w:pPr>
            <w:r>
              <w:rPr>
                <w:rFonts w:ascii="Cambria" w:cs="Cambria" w:eastAsia="Cambria" w:hAnsi="Cambria"/>
                <w:b/>
                <w:bCs/>
                <w:i w:val="false"/>
                <w:iCs w:val="false"/>
                <w:strike w:val="false"/>
                <w:color w:val="1A1A1A"/>
                <w:sz w:val="22"/>
                <w:szCs w:val="22"/>
              </w:rPr>
              <w:t xml:space="preserve">Key Practitioner Action:</w:t>
            </w:r>
            <w:r>
              <w:rPr>
                <w:rFonts w:ascii="Cambria" w:cs="Cambria" w:eastAsia="Cambria" w:hAnsi="Cambria"/>
                <w:b w:val="false"/>
                <w:bCs w:val="false"/>
                <w:i w:val="false"/>
                <w:iCs w:val="false"/>
                <w:strike w:val="false"/>
                <w:color w:val="1A1A1A"/>
                <w:sz w:val="22"/>
                <w:szCs w:val="22"/>
              </w:rPr>
              <w:t xml:space="preserve"> Incubation and constraint-clearing.</w:t>
            </w:r>
          </w:p>
          <w:p>
            <w:pPr>
              <w:spacing w:after="80" w:line="384" w:lineRule="auto"/>
              <w:jc w:val="both"/>
            </w:pPr>
            <w:r>
              <w:rPr>
                <w:rFonts w:ascii="Cambria" w:cs="Cambria" w:eastAsia="Cambria" w:hAnsi="Cambria"/>
                <w:b/>
                <w:bCs/>
                <w:i w:val="false"/>
                <w:iCs w:val="false"/>
                <w:strike w:val="false"/>
                <w:color w:val="1A1A1A"/>
                <w:sz w:val="22"/>
                <w:szCs w:val="22"/>
              </w:rPr>
              <w:t xml:space="preserve">Phenomenological Signature:</w:t>
            </w:r>
            <w:r>
              <w:rPr>
                <w:rFonts w:ascii="Cambria" w:cs="Cambria" w:eastAsia="Cambria" w:hAnsi="Cambria"/>
                <w:b w:val="false"/>
                <w:bCs w:val="false"/>
                <w:i w:val="false"/>
                <w:iCs w:val="false"/>
                <w:strike w:val="false"/>
                <w:color w:val="1A1A1A"/>
                <w:sz w:val="22"/>
                <w:szCs w:val="22"/>
              </w:rPr>
              <w:t xml:space="preserve"> Diffuse readiness, like tuning an instrument before the first note.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AFAFA"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1A1A1A"/>
                <w:sz w:val="23"/>
                <w:szCs w:val="23"/>
              </w:rPr>
              <w:t xml:space="preserve">Phase 2 — Prompt Conception</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The moment of crystallization — intent collapses into language and structural architecture is selected.</w:t>
            </w:r>
          </w:p>
          <w:p>
            <w:pPr>
              <w:spacing w:after="80" w:line="384" w:lineRule="auto"/>
              <w:jc w:val="both"/>
            </w:pPr>
            <w:r>
              <w:rPr>
                <w:rFonts w:ascii="Cambria" w:cs="Cambria" w:eastAsia="Cambria" w:hAnsi="Cambria"/>
                <w:b/>
                <w:bCs/>
                <w:i w:val="false"/>
                <w:iCs w:val="false"/>
                <w:strike w:val="false"/>
                <w:color w:val="1A1A1A"/>
                <w:sz w:val="22"/>
                <w:szCs w:val="22"/>
              </w:rPr>
              <w:t xml:space="preserve">Key Practitioner Action:</w:t>
            </w:r>
            <w:r>
              <w:rPr>
                <w:rFonts w:ascii="Cambria" w:cs="Cambria" w:eastAsia="Cambria" w:hAnsi="Cambria"/>
                <w:b w:val="false"/>
                <w:bCs w:val="false"/>
                <w:i w:val="false"/>
                <w:iCs w:val="false"/>
                <w:strike w:val="false"/>
                <w:color w:val="1A1A1A"/>
                <w:sz w:val="22"/>
                <w:szCs w:val="22"/>
              </w:rPr>
              <w:t xml:space="preserve"> Structural selection.</w:t>
            </w:r>
          </w:p>
          <w:p>
            <w:pPr>
              <w:spacing w:after="80" w:line="384" w:lineRule="auto"/>
              <w:jc w:val="both"/>
            </w:pPr>
            <w:r>
              <w:rPr>
                <w:rFonts w:ascii="Cambria" w:cs="Cambria" w:eastAsia="Cambria" w:hAnsi="Cambria"/>
                <w:b/>
                <w:bCs/>
                <w:i w:val="false"/>
                <w:iCs w:val="false"/>
                <w:strike w:val="false"/>
                <w:color w:val="1A1A1A"/>
                <w:sz w:val="22"/>
                <w:szCs w:val="22"/>
              </w:rPr>
              <w:t xml:space="preserve">Phenomenological Signature:</w:t>
            </w:r>
            <w:r>
              <w:rPr>
                <w:rFonts w:ascii="Cambria" w:cs="Cambria" w:eastAsia="Cambria" w:hAnsi="Cambria"/>
                <w:b w:val="false"/>
                <w:bCs w:val="false"/>
                <w:i w:val="false"/>
                <w:iCs w:val="false"/>
                <w:strike w:val="false"/>
                <w:color w:val="1A1A1A"/>
                <w:sz w:val="22"/>
                <w:szCs w:val="22"/>
              </w:rPr>
              <w:t xml:space="preserve"> Sudden narrowing, a sense of commitment.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AFAFA"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1A1A1A"/>
                <w:sz w:val="23"/>
                <w:szCs w:val="23"/>
              </w:rPr>
              <w:t xml:space="preserve">Phase 3 — Prompt Issuance</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The prompt is sent; the operator releases control.</w:t>
            </w:r>
          </w:p>
          <w:p>
            <w:pPr>
              <w:spacing w:after="80" w:line="384" w:lineRule="auto"/>
              <w:jc w:val="both"/>
            </w:pPr>
            <w:r>
              <w:rPr>
                <w:rFonts w:ascii="Cambria" w:cs="Cambria" w:eastAsia="Cambria" w:hAnsi="Cambria"/>
                <w:b/>
                <w:bCs/>
                <w:i w:val="false"/>
                <w:iCs w:val="false"/>
                <w:strike w:val="false"/>
                <w:color w:val="1A1A1A"/>
                <w:sz w:val="22"/>
                <w:szCs w:val="22"/>
              </w:rPr>
              <w:t xml:space="preserve">Key Practitioner Action:</w:t>
            </w:r>
            <w:r>
              <w:rPr>
                <w:rFonts w:ascii="Cambria" w:cs="Cambria" w:eastAsia="Cambria" w:hAnsi="Cambria"/>
                <w:b w:val="false"/>
                <w:bCs w:val="false"/>
                <w:i w:val="false"/>
                <w:iCs w:val="false"/>
                <w:strike w:val="false"/>
                <w:color w:val="1A1A1A"/>
                <w:sz w:val="22"/>
                <w:szCs w:val="22"/>
              </w:rPr>
              <w:t xml:space="preserve"> Release and witness.</w:t>
            </w:r>
          </w:p>
          <w:p>
            <w:pPr>
              <w:spacing w:after="80" w:line="384" w:lineRule="auto"/>
              <w:jc w:val="both"/>
            </w:pPr>
            <w:r>
              <w:rPr>
                <w:rFonts w:ascii="Cambria" w:cs="Cambria" w:eastAsia="Cambria" w:hAnsi="Cambria"/>
                <w:b/>
                <w:bCs/>
                <w:i w:val="false"/>
                <w:iCs w:val="false"/>
                <w:strike w:val="false"/>
                <w:color w:val="1A1A1A"/>
                <w:sz w:val="22"/>
                <w:szCs w:val="22"/>
              </w:rPr>
              <w:t xml:space="preserve">Phenomenological Signature:</w:t>
            </w:r>
            <w:r>
              <w:rPr>
                <w:rFonts w:ascii="Cambria" w:cs="Cambria" w:eastAsia="Cambria" w:hAnsi="Cambria"/>
                <w:b w:val="false"/>
                <w:bCs w:val="false"/>
                <w:i w:val="false"/>
                <w:iCs w:val="false"/>
                <w:strike w:val="false"/>
                <w:color w:val="1A1A1A"/>
                <w:sz w:val="22"/>
                <w:szCs w:val="22"/>
              </w:rPr>
              <w:t xml:space="preserve"> Threshold crossing — irreversibility.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AFAFA"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1A1A1A"/>
                <w:sz w:val="23"/>
                <w:szCs w:val="23"/>
              </w:rPr>
              <w:t xml:space="preserve">Phase 4 — Model Engagement</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The model processes; the prompt's architecture activates latent structures in the response field.</w:t>
            </w:r>
          </w:p>
          <w:p>
            <w:pPr>
              <w:spacing w:after="80" w:line="384" w:lineRule="auto"/>
              <w:jc w:val="both"/>
            </w:pPr>
            <w:r>
              <w:rPr>
                <w:rFonts w:ascii="Cambria" w:cs="Cambria" w:eastAsia="Cambria" w:hAnsi="Cambria"/>
                <w:b/>
                <w:bCs/>
                <w:i w:val="false"/>
                <w:iCs w:val="false"/>
                <w:strike w:val="false"/>
                <w:color w:val="1A1A1A"/>
                <w:sz w:val="22"/>
                <w:szCs w:val="22"/>
              </w:rPr>
              <w:t xml:space="preserve">Key Practitioner Action:</w:t>
            </w:r>
            <w:r>
              <w:rPr>
                <w:rFonts w:ascii="Cambria" w:cs="Cambria" w:eastAsia="Cambria" w:hAnsi="Cambria"/>
                <w:b w:val="false"/>
                <w:bCs w:val="false"/>
                <w:i w:val="false"/>
                <w:iCs w:val="false"/>
                <w:strike w:val="false"/>
                <w:color w:val="1A1A1A"/>
                <w:sz w:val="22"/>
                <w:szCs w:val="22"/>
              </w:rPr>
              <w:t xml:space="preserve"> Anticipatory reading — perceiving the incoming response signature before full output arrives.</w:t>
            </w:r>
          </w:p>
          <w:p>
            <w:pPr>
              <w:spacing w:after="80" w:line="384" w:lineRule="auto"/>
              <w:jc w:val="both"/>
            </w:pPr>
            <w:r>
              <w:rPr>
                <w:rFonts w:ascii="Cambria" w:cs="Cambria" w:eastAsia="Cambria" w:hAnsi="Cambria"/>
                <w:b/>
                <w:bCs/>
                <w:i w:val="false"/>
                <w:iCs w:val="false"/>
                <w:strike w:val="false"/>
                <w:color w:val="1A1A1A"/>
                <w:sz w:val="22"/>
                <w:szCs w:val="22"/>
              </w:rPr>
              <w:t xml:space="preserve">Phenomenological Signature:</w:t>
            </w:r>
            <w:r>
              <w:rPr>
                <w:rFonts w:ascii="Cambria" w:cs="Cambria" w:eastAsia="Cambria" w:hAnsi="Cambria"/>
                <w:b w:val="false"/>
                <w:bCs w:val="false"/>
                <w:i w:val="false"/>
                <w:iCs w:val="false"/>
                <w:strike w:val="false"/>
                <w:color w:val="1A1A1A"/>
                <w:sz w:val="22"/>
                <w:szCs w:val="22"/>
              </w:rPr>
              <w:t xml:space="preserve"> Anticipatory tension, like reading the air before a speaker begins.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AFAFA"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1A1A1A"/>
                <w:sz w:val="23"/>
                <w:szCs w:val="23"/>
              </w:rPr>
              <w:t xml:space="preserve">Phase 5 — Response Field Reading</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The practitioner receives and analyzes the response as a diagnostic artifact.</w:t>
            </w:r>
          </w:p>
          <w:p>
            <w:pPr>
              <w:spacing w:after="80" w:line="384" w:lineRule="auto"/>
              <w:jc w:val="both"/>
            </w:pPr>
            <w:r>
              <w:rPr>
                <w:rFonts w:ascii="Cambria" w:cs="Cambria" w:eastAsia="Cambria" w:hAnsi="Cambria"/>
                <w:b/>
                <w:bCs/>
                <w:i w:val="false"/>
                <w:iCs w:val="false"/>
                <w:strike w:val="false"/>
                <w:color w:val="1A1A1A"/>
                <w:sz w:val="22"/>
                <w:szCs w:val="22"/>
              </w:rPr>
              <w:t xml:space="preserve">Key Practitioner Action:</w:t>
            </w:r>
            <w:r>
              <w:rPr>
                <w:rFonts w:ascii="Cambria" w:cs="Cambria" w:eastAsia="Cambria" w:hAnsi="Cambria"/>
                <w:b w:val="false"/>
                <w:bCs w:val="false"/>
                <w:i w:val="false"/>
                <w:iCs w:val="false"/>
                <w:strike w:val="false"/>
                <w:color w:val="1A1A1A"/>
                <w:sz w:val="22"/>
                <w:szCs w:val="22"/>
              </w:rPr>
              <w:t xml:space="preserve"> Compound signature identification across semantic, tonal, syntactic, and structural registers.</w:t>
            </w:r>
          </w:p>
          <w:p>
            <w:pPr>
              <w:spacing w:after="80" w:line="384" w:lineRule="auto"/>
              <w:jc w:val="both"/>
            </w:pPr>
            <w:r>
              <w:rPr>
                <w:rFonts w:ascii="Cambria" w:cs="Cambria" w:eastAsia="Cambria" w:hAnsi="Cambria"/>
                <w:b/>
                <w:bCs/>
                <w:i w:val="false"/>
                <w:iCs w:val="false"/>
                <w:strike w:val="false"/>
                <w:color w:val="1A1A1A"/>
                <w:sz w:val="22"/>
                <w:szCs w:val="22"/>
              </w:rPr>
              <w:t xml:space="preserve">Phenomenological Signature:</w:t>
            </w:r>
            <w:r>
              <w:rPr>
                <w:rFonts w:ascii="Cambria" w:cs="Cambria" w:eastAsia="Cambria" w:hAnsi="Cambria"/>
                <w:b w:val="false"/>
                <w:bCs w:val="false"/>
                <w:i w:val="false"/>
                <w:iCs w:val="false"/>
                <w:strike w:val="false"/>
                <w:color w:val="1A1A1A"/>
                <w:sz w:val="22"/>
                <w:szCs w:val="22"/>
              </w:rPr>
              <w:t xml:space="preserve"> Simultaneous multi-register perception.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AFAFA"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1A1A1A"/>
                <w:sz w:val="23"/>
                <w:szCs w:val="23"/>
              </w:rPr>
              <w:t xml:space="preserve">Phase 6 — Repair and Refinement</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Identifying drift, gap, or misfire and issuing a corrective prompt.</w:t>
            </w:r>
          </w:p>
          <w:p>
            <w:pPr>
              <w:spacing w:after="80" w:line="384" w:lineRule="auto"/>
              <w:jc w:val="both"/>
            </w:pPr>
            <w:r>
              <w:rPr>
                <w:rFonts w:ascii="Cambria" w:cs="Cambria" w:eastAsia="Cambria" w:hAnsi="Cambria"/>
                <w:b/>
                <w:bCs/>
                <w:i w:val="false"/>
                <w:iCs w:val="false"/>
                <w:strike w:val="false"/>
                <w:color w:val="1A1A1A"/>
                <w:sz w:val="22"/>
                <w:szCs w:val="22"/>
              </w:rPr>
              <w:t xml:space="preserve">Key Practitioner Action:</w:t>
            </w:r>
            <w:r>
              <w:rPr>
                <w:rFonts w:ascii="Cambria" w:cs="Cambria" w:eastAsia="Cambria" w:hAnsi="Cambria"/>
                <w:b w:val="false"/>
                <w:bCs w:val="false"/>
                <w:i w:val="false"/>
                <w:iCs w:val="false"/>
                <w:strike w:val="false"/>
                <w:color w:val="1A1A1A"/>
                <w:sz w:val="22"/>
                <w:szCs w:val="22"/>
              </w:rPr>
              <w:t xml:space="preserve"> Subliminal layer adjustment.</w:t>
            </w:r>
          </w:p>
          <w:p>
            <w:pPr>
              <w:spacing w:after="80" w:line="384" w:lineRule="auto"/>
              <w:jc w:val="both"/>
            </w:pPr>
            <w:r>
              <w:rPr>
                <w:rFonts w:ascii="Cambria" w:cs="Cambria" w:eastAsia="Cambria" w:hAnsi="Cambria"/>
                <w:b/>
                <w:bCs/>
                <w:i w:val="false"/>
                <w:iCs w:val="false"/>
                <w:strike w:val="false"/>
                <w:color w:val="1A1A1A"/>
                <w:sz w:val="22"/>
                <w:szCs w:val="22"/>
              </w:rPr>
              <w:t xml:space="preserve">Phenomenological Signature:</w:t>
            </w:r>
            <w:r>
              <w:rPr>
                <w:rFonts w:ascii="Cambria" w:cs="Cambria" w:eastAsia="Cambria" w:hAnsi="Cambria"/>
                <w:b w:val="false"/>
                <w:bCs w:val="false"/>
                <w:i w:val="false"/>
                <w:iCs w:val="false"/>
                <w:strike w:val="false"/>
                <w:color w:val="1A1A1A"/>
                <w:sz w:val="22"/>
                <w:szCs w:val="22"/>
              </w:rPr>
              <w:t xml:space="preserve"> Surgical precision, deliberate restraint.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AFAFA"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1A1A1A"/>
                <w:sz w:val="23"/>
                <w:szCs w:val="23"/>
              </w:rPr>
              <w:t xml:space="preserve">Phase 7 — Loop Integration</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Embedding the prompt-response exchange into the working session's evolving context.</w:t>
            </w:r>
          </w:p>
          <w:p>
            <w:pPr>
              <w:spacing w:after="80" w:line="384" w:lineRule="auto"/>
              <w:jc w:val="both"/>
            </w:pPr>
            <w:r>
              <w:rPr>
                <w:rFonts w:ascii="Cambria" w:cs="Cambria" w:eastAsia="Cambria" w:hAnsi="Cambria"/>
                <w:b/>
                <w:bCs/>
                <w:i w:val="false"/>
                <w:iCs w:val="false"/>
                <w:strike w:val="false"/>
                <w:color w:val="1A1A1A"/>
                <w:sz w:val="22"/>
                <w:szCs w:val="22"/>
              </w:rPr>
              <w:t xml:space="preserve">Key Practitioner Action:</w:t>
            </w:r>
            <w:r>
              <w:rPr>
                <w:rFonts w:ascii="Cambria" w:cs="Cambria" w:eastAsia="Cambria" w:hAnsi="Cambria"/>
                <w:b w:val="false"/>
                <w:bCs w:val="false"/>
                <w:i w:val="false"/>
                <w:iCs w:val="false"/>
                <w:strike w:val="false"/>
                <w:color w:val="1A1A1A"/>
                <w:sz w:val="22"/>
                <w:szCs w:val="22"/>
              </w:rPr>
              <w:t xml:space="preserve"> Loop debt accounting — identifying what has and has not been fully resolved.</w:t>
            </w:r>
          </w:p>
          <w:p>
            <w:pPr>
              <w:spacing w:after="80" w:line="384" w:lineRule="auto"/>
              <w:jc w:val="both"/>
            </w:pPr>
            <w:r>
              <w:rPr>
                <w:rFonts w:ascii="Cambria" w:cs="Cambria" w:eastAsia="Cambria" w:hAnsi="Cambria"/>
                <w:b/>
                <w:bCs/>
                <w:i w:val="false"/>
                <w:iCs w:val="false"/>
                <w:strike w:val="false"/>
                <w:color w:val="1A1A1A"/>
                <w:sz w:val="22"/>
                <w:szCs w:val="22"/>
              </w:rPr>
              <w:t xml:space="preserve">Phenomenological Signature:</w:t>
            </w:r>
            <w:r>
              <w:rPr>
                <w:rFonts w:ascii="Cambria" w:cs="Cambria" w:eastAsia="Cambria" w:hAnsi="Cambria"/>
                <w:b w:val="false"/>
                <w:bCs w:val="false"/>
                <w:i w:val="false"/>
                <w:iCs w:val="false"/>
                <w:strike w:val="false"/>
                <w:color w:val="1A1A1A"/>
                <w:sz w:val="22"/>
                <w:szCs w:val="22"/>
              </w:rPr>
              <w:t xml:space="preserve"> Continuity maintenance, like tracking narrative threads.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AFAFA"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1A1A1A"/>
                <w:sz w:val="23"/>
                <w:szCs w:val="23"/>
              </w:rPr>
              <w:t xml:space="preserve">Phase 8 — Temporal Forensics</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Analyzing the prompt's effects across time — intra-session, cross-session, and developmental.</w:t>
            </w:r>
          </w:p>
          <w:p>
            <w:pPr>
              <w:spacing w:after="80" w:line="384" w:lineRule="auto"/>
              <w:jc w:val="both"/>
            </w:pPr>
            <w:r>
              <w:rPr>
                <w:rFonts w:ascii="Cambria" w:cs="Cambria" w:eastAsia="Cambria" w:hAnsi="Cambria"/>
                <w:b/>
                <w:bCs/>
                <w:i w:val="false"/>
                <w:iCs w:val="false"/>
                <w:strike w:val="false"/>
                <w:color w:val="1A1A1A"/>
                <w:sz w:val="22"/>
                <w:szCs w:val="22"/>
              </w:rPr>
              <w:t xml:space="preserve">Key Practitioner Action:</w:t>
            </w:r>
            <w:r>
              <w:rPr>
                <w:rFonts w:ascii="Cambria" w:cs="Cambria" w:eastAsia="Cambria" w:hAnsi="Cambria"/>
                <w:b w:val="false"/>
                <w:bCs w:val="false"/>
                <w:i w:val="false"/>
                <w:iCs w:val="false"/>
                <w:strike w:val="false"/>
                <w:color w:val="1A1A1A"/>
                <w:sz w:val="22"/>
                <w:szCs w:val="22"/>
              </w:rPr>
              <w:t xml:space="preserve"> Forensic reading of response field history.</w:t>
            </w:r>
          </w:p>
          <w:p>
            <w:pPr>
              <w:spacing w:after="80" w:line="384" w:lineRule="auto"/>
              <w:jc w:val="both"/>
            </w:pPr>
            <w:r>
              <w:rPr>
                <w:rFonts w:ascii="Cambria" w:cs="Cambria" w:eastAsia="Cambria" w:hAnsi="Cambria"/>
                <w:b/>
                <w:bCs/>
                <w:i w:val="false"/>
                <w:iCs w:val="false"/>
                <w:strike w:val="false"/>
                <w:color w:val="1A1A1A"/>
                <w:sz w:val="22"/>
                <w:szCs w:val="22"/>
              </w:rPr>
              <w:t xml:space="preserve">Phenomenological Signature:</w:t>
            </w:r>
            <w:r>
              <w:rPr>
                <w:rFonts w:ascii="Cambria" w:cs="Cambria" w:eastAsia="Cambria" w:hAnsi="Cambria"/>
                <w:b w:val="false"/>
                <w:bCs w:val="false"/>
                <w:i w:val="false"/>
                <w:iCs w:val="false"/>
                <w:strike w:val="false"/>
                <w:color w:val="1A1A1A"/>
                <w:sz w:val="22"/>
                <w:szCs w:val="22"/>
              </w:rPr>
              <w:t xml:space="preserve"> Temporal depth perception — reading the present exchange against its full history.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AFAFA"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1A1A1A"/>
                <w:sz w:val="23"/>
                <w:szCs w:val="23"/>
              </w:rPr>
              <w:t xml:space="preserve">Phase 9 — Post-Integration Residue</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The settled final state — what the exchange has deposited in the model's effective context and in the practitioner's perceptual library.</w:t>
            </w:r>
          </w:p>
          <w:p>
            <w:pPr>
              <w:spacing w:after="80" w:line="384" w:lineRule="auto"/>
              <w:jc w:val="both"/>
            </w:pPr>
            <w:r>
              <w:rPr>
                <w:rFonts w:ascii="Cambria" w:cs="Cambria" w:eastAsia="Cambria" w:hAnsi="Cambria"/>
                <w:b/>
                <w:bCs/>
                <w:i w:val="false"/>
                <w:iCs w:val="false"/>
                <w:strike w:val="false"/>
                <w:color w:val="1A1A1A"/>
                <w:sz w:val="22"/>
                <w:szCs w:val="22"/>
              </w:rPr>
              <w:t xml:space="preserve">Key Practitioner Action:</w:t>
            </w:r>
            <w:r>
              <w:rPr>
                <w:rFonts w:ascii="Cambria" w:cs="Cambria" w:eastAsia="Cambria" w:hAnsi="Cambria"/>
                <w:b w:val="false"/>
                <w:bCs w:val="false"/>
                <w:i w:val="false"/>
                <w:iCs w:val="false"/>
                <w:strike w:val="false"/>
                <w:color w:val="1A1A1A"/>
                <w:sz w:val="22"/>
                <w:szCs w:val="22"/>
              </w:rPr>
              <w:t xml:space="preserve"> Consolidation and archiving.</w:t>
            </w:r>
          </w:p>
          <w:p>
            <w:pPr>
              <w:spacing w:after="80" w:line="384" w:lineRule="auto"/>
              <w:jc w:val="both"/>
            </w:pPr>
            <w:r>
              <w:rPr>
                <w:rFonts w:ascii="Cambria" w:cs="Cambria" w:eastAsia="Cambria" w:hAnsi="Cambria"/>
                <w:b/>
                <w:bCs/>
                <w:i w:val="false"/>
                <w:iCs w:val="false"/>
                <w:strike w:val="false"/>
                <w:color w:val="1A1A1A"/>
                <w:sz w:val="22"/>
                <w:szCs w:val="22"/>
              </w:rPr>
              <w:t xml:space="preserve">Phenomenological Signature:</w:t>
            </w:r>
            <w:r>
              <w:rPr>
                <w:rFonts w:ascii="Cambria" w:cs="Cambria" w:eastAsia="Cambria" w:hAnsi="Cambria"/>
                <w:b w:val="false"/>
                <w:bCs w:val="false"/>
                <w:i w:val="false"/>
                <w:iCs w:val="false"/>
                <w:strike w:val="false"/>
                <w:color w:val="1A1A1A"/>
                <w:sz w:val="22"/>
                <w:szCs w:val="22"/>
              </w:rPr>
              <w:t xml:space="preserve"> Settled awareness, like the aftermath of a clean performance.</w:t>
            </w:r>
          </w:p>
        </w:tc>
      </w:tr>
    </w:tbl>
    <w:p>
      <w:pPr>
        <w:spacing w:after="240" w:before="0"/>
      </w:pPr>
    </w:p>
    <w:p>
      <w:pPr>
        <w:pStyle w:val="Heading3"/>
        <w:spacing w:after="80" w:before="280" w:line="384" w:lineRule="auto"/>
      </w:pPr>
      <w:r>
        <w:rPr>
          <w:rFonts w:ascii="Cambria" w:cs="Cambria" w:eastAsia="Cambria" w:hAnsi="Cambria"/>
          <w:color w:val="1A1A1A"/>
          <w:sz w:val="26"/>
          <w:szCs w:val="26"/>
        </w:rPr>
        <w:t xml:space="preserve">Phase Flow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8E8" w:color="auto" w:val="clear"/>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Phase</w:t>
            </w:r>
          </w:p>
        </w:tc>
        <w:tc>
          <w:tcPr>
            <w:tcW w:type="pct" w:w="31%"/>
            <w:shd w:fill="E8E8E8" w:color="auto" w:val="clear"/>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Name</w:t>
            </w:r>
          </w:p>
        </w:tc>
        <w:tc>
          <w:tcPr>
            <w:tcW w:type="pct" w:w="27%"/>
            <w:shd w:fill="E8E8E8" w:color="auto" w:val="clear"/>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Direction</w:t>
            </w:r>
          </w:p>
        </w:tc>
        <w:tc>
          <w:tcPr>
            <w:tcW w:type="pct" w:w="33%"/>
            <w:shd w:fill="E8E8E8" w:color="auto" w:val="clear"/>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Output</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1</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Pre-Potence Zone</w:t>
            </w:r>
          </w:p>
        </w:tc>
        <w:tc>
          <w:tcPr>
            <w:tcW w:type="pct" w:w="27%"/>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Inward / preparatory</w:t>
            </w:r>
          </w:p>
        </w:tc>
        <w:tc>
          <w:tcPr>
            <w:tcW w:type="pct" w:w="33%"/>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Cleared intent field</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2</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Prompt Conception</w:t>
            </w:r>
          </w:p>
        </w:tc>
        <w:tc>
          <w:tcPr>
            <w:tcW w:type="pct" w:w="27%"/>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Formative</w:t>
            </w:r>
          </w:p>
        </w:tc>
        <w:tc>
          <w:tcPr>
            <w:tcW w:type="pct" w:w="33%"/>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Structural architecture</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3</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Prompt Issuance</w:t>
            </w:r>
          </w:p>
        </w:tc>
        <w:tc>
          <w:tcPr>
            <w:tcW w:type="pct" w:w="27%"/>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Outward</w:t>
            </w:r>
          </w:p>
        </w:tc>
        <w:tc>
          <w:tcPr>
            <w:tcW w:type="pct" w:w="33%"/>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Released prompt</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4</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Model Engagement</w:t>
            </w:r>
          </w:p>
        </w:tc>
        <w:tc>
          <w:tcPr>
            <w:tcW w:type="pct" w:w="27%"/>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Receptive</w:t>
            </w:r>
          </w:p>
        </w:tc>
        <w:tc>
          <w:tcPr>
            <w:tcW w:type="pct" w:w="33%"/>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Anticipatory signature read</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5</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Response Field Reading</w:t>
            </w:r>
          </w:p>
        </w:tc>
        <w:tc>
          <w:tcPr>
            <w:tcW w:type="pct" w:w="27%"/>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Analytical</w:t>
            </w:r>
          </w:p>
        </w:tc>
        <w:tc>
          <w:tcPr>
            <w:tcW w:type="pct" w:w="33%"/>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Compound signature profile</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6</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Repair and Refinement</w:t>
            </w:r>
          </w:p>
        </w:tc>
        <w:tc>
          <w:tcPr>
            <w:tcW w:type="pct" w:w="27%"/>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Corrective</w:t>
            </w:r>
          </w:p>
        </w:tc>
        <w:tc>
          <w:tcPr>
            <w:tcW w:type="pct" w:w="33%"/>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Adjusted subliminal layer</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7</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Loop Integration</w:t>
            </w:r>
          </w:p>
        </w:tc>
        <w:tc>
          <w:tcPr>
            <w:tcW w:type="pct" w:w="27%"/>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Integrative</w:t>
            </w:r>
          </w:p>
        </w:tc>
        <w:tc>
          <w:tcPr>
            <w:tcW w:type="pct" w:w="33%"/>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Updated context field</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8</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Temporal Forensics</w:t>
            </w:r>
          </w:p>
        </w:tc>
        <w:tc>
          <w:tcPr>
            <w:tcW w:type="pct" w:w="27%"/>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Reflective</w:t>
            </w:r>
          </w:p>
        </w:tc>
        <w:tc>
          <w:tcPr>
            <w:tcW w:type="pct" w:w="33%"/>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Cross-temporal pattern map</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9</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Post-Integration Residue</w:t>
            </w:r>
          </w:p>
        </w:tc>
        <w:tc>
          <w:tcPr>
            <w:tcW w:type="pct" w:w="27%"/>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Archival</w:t>
            </w:r>
          </w:p>
        </w:tc>
        <w:tc>
          <w:tcPr>
            <w:tcW w:type="pct" w:w="33%"/>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Recognition Library entry</w:t>
            </w:r>
          </w:p>
        </w:tc>
      </w:tr>
    </w:tbl>
    <w:p>
      <w:pPr>
        <w:spacing w:after="200" w:before="0"/>
      </w:pPr>
    </w:p>
    <w:p>
      <w:pPr>
        <w:pBdr>
          <w:bottom w:val="single" w:color="1A1A1A" w:sz="6"/>
        </w:pBdr>
        <w:spacing w:after="240" w:before="240"/>
      </w:pPr>
    </w:p>
    <w:p>
      <w:pPr>
        <w:pStyle w:val="Heading2"/>
        <w:spacing w:after="100" w:before="440" w:line="384" w:lineRule="auto"/>
      </w:pPr>
      <w:r>
        <w:rPr>
          <w:rFonts w:ascii="Cambria" w:cs="Cambria" w:eastAsia="Cambria" w:hAnsi="Cambria"/>
          <w:color w:val="1A1A1A"/>
          <w:sz w:val="32"/>
          <w:szCs w:val="32"/>
        </w:rPr>
        <w:t xml:space="preserve">Section 3 — Phase-by-Phase Canonical Capabilities and Comparison Table</w:t>
      </w:r>
    </w:p>
    <w:p>
      <w:pPr>
        <w:pBdr>
          <w:top w:val="single" w:color="1A1A1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Each phase of the Full Cycle develops a distinct set of canonical capabilities. The following table maps each phase to its core capability, distinguishes novice from expert markers, and identifies the most common failure mode at each phase.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E8E8E8" w:color="auto" w:val="clear"/>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Phase</w:t>
            </w:r>
          </w:p>
        </w:tc>
        <w:tc>
          <w:tcPr>
            <w:tcW w:type="pct" w:w="14%"/>
            <w:shd w:fill="E8E8E8" w:color="auto" w:val="clear"/>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Core Capability</w:t>
            </w:r>
          </w:p>
        </w:tc>
        <w:tc>
          <w:tcPr>
            <w:tcW w:type="pct" w:w="21%"/>
            <w:shd w:fill="E8E8E8" w:color="auto" w:val="clear"/>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Novice Marker</w:t>
            </w:r>
          </w:p>
        </w:tc>
        <w:tc>
          <w:tcPr>
            <w:tcW w:type="pct" w:w="31%"/>
            <w:shd w:fill="E8E8E8" w:color="auto" w:val="clear"/>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Expert Marker</w:t>
            </w:r>
          </w:p>
        </w:tc>
        <w:tc>
          <w:tcPr>
            <w:tcW w:type="pct" w:w="22%"/>
            <w:shd w:fill="E8E8E8" w:color="auto" w:val="clear"/>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Common Failure Mode</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1 — Pre-Potence Zone</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Intentional incubation and field-clearing</w:t>
            </w:r>
          </w:p>
        </w:tc>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Issues prompts immediately without pause; carries prior session noise</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Spends 30–90 seconds in explicit intent-setting before any prompt; audibly names governing intent</w:t>
            </w:r>
          </w:p>
        </w:tc>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Skipping the zone entirely; reactive prompting</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2 — Prompt Conception</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Structural architecture selection</w:t>
            </w:r>
          </w:p>
        </w:tc>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Selects surface language before structure; concept-first</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Selects governing architecture (enumerate / narrative / dialogic / open field) before writing a single word</w:t>
            </w:r>
          </w:p>
        </w:tc>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Conflating surface language polish with structural integrity</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3 — Prompt Issuance</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Release and non-attachment</w:t>
            </w:r>
          </w:p>
        </w:tc>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Reviews the prompt repeatedly after issuance; attempts recall</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Issues the prompt once, cleanly, and moves immediately to Phase 4 anticipatory reading</w:t>
            </w:r>
          </w:p>
        </w:tc>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Re-sending the prompt with minor variations before receiving a full response</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4 — Model Engagement</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Anticipatory signature reading</w:t>
            </w:r>
          </w:p>
        </w:tc>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Waits passively for full response before engaging</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Reads compound signature within first 40 tokens; projects likely response architecture before full output</w:t>
            </w:r>
          </w:p>
        </w:tc>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Over-projecting based on surface language rather than compound signature</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5 — Response Field Reading</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Compound signature identification</w:t>
            </w:r>
          </w:p>
        </w:tc>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Reads for content only; misses tonal and syntactic registers</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Profiles all four registers simultaneously; identifies mismatches between semantic content and tonal register as diagnostic signals</w:t>
            </w:r>
          </w:p>
        </w:tc>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Treating a single-register reading as a full compound signature</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6 — Repair and Refinement</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Subliminal layer adjustment</w:t>
            </w:r>
          </w:p>
        </w:tc>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Issues high-explicitness correction prompts that install new unwanted subliminal layers</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Issues minimal, structurally precise repair prompts that adjust the subliminal layer without adding noise</w:t>
            </w:r>
          </w:p>
        </w:tc>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Over-correction — installing new subliminal problems while addressing the original misfire</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7 — Loop Integration</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Loop debt accounting</w:t>
            </w:r>
          </w:p>
        </w:tc>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Does not track unresolved exchanges; accumulates loop debt silently</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After every exchange, explicitly names what has been resolved and what remains open; issues debt reduction prompts before debt becomes session-constraining</w:t>
            </w:r>
          </w:p>
        </w:tc>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Failing to integrate — moving to the next prompt without closing or naming the prior exchange</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8 — Temporal Forensics</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Cross-temporal pattern reading</w:t>
            </w:r>
          </w:p>
        </w:tc>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Has no record of prior sessions; cannot identify pattern drift</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Maintains a forensic log; can identify within 2–3 sessions whether a pattern reflects genuine evolution or accumulated bias</w:t>
            </w:r>
          </w:p>
        </w:tc>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Confusing intra-session drift with cross-session evolution; treating noise as signal</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1A1A1A"/>
                <w:sz w:val="22"/>
                <w:szCs w:val="22"/>
              </w:rPr>
              <w:t xml:space="preserve">9 — Post-Integration Residue</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Recognition Library consolidation</w:t>
            </w:r>
          </w:p>
        </w:tc>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Does not review sessions after completion; no archiving practice</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Writes a brief forensic summary after each session; identifies 1–2 patterns to add to the Recognition Library</w:t>
            </w:r>
          </w:p>
        </w:tc>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1A1A1A"/>
                <w:sz w:val="22"/>
                <w:szCs w:val="22"/>
              </w:rPr>
              <w:t xml:space="preserve">Archiving without consolidation — recording patterns without allowing sleep-stage integration</w:t>
            </w:r>
          </w:p>
        </w:tc>
      </w:tr>
    </w:tbl>
    <w:p>
      <w:pPr>
        <w:spacing w:after="200" w:before="0"/>
      </w:pPr>
    </w:p>
    <w:p>
      <w:pPr>
        <w:pBdr>
          <w:bottom w:val="single" w:color="1A1A1A" w:sz="6"/>
        </w:pBdr>
        <w:spacing w:after="240" w:before="240"/>
      </w:pPr>
    </w:p>
    <w:p>
      <w:pPr>
        <w:pStyle w:val="Heading2"/>
        <w:spacing w:after="100" w:before="440" w:line="384" w:lineRule="auto"/>
      </w:pPr>
      <w:r>
        <w:rPr>
          <w:rFonts w:ascii="Cambria" w:cs="Cambria" w:eastAsia="Cambria" w:hAnsi="Cambria"/>
          <w:color w:val="1A1A1A"/>
          <w:sz w:val="32"/>
          <w:szCs w:val="32"/>
        </w:rPr>
        <w:t xml:space="preserve">Section 4 — The Three Deep Properties</w:t>
      </w:r>
    </w:p>
    <w:p>
      <w:pPr>
        <w:pBdr>
          <w:top w:val="single" w:color="1A1A1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Beneath the nine-phase cycle, three deep perceptual properties define the practitioner who has achieved genuine Prompt Potence. These are not skills that can be drilled in isolation — they emerge from sustained cycle practice and are recognized as present when they manifest as automatic perception rather than deliberate analysis.</w:t>
      </w:r>
    </w:p>
    <w:p>
      <w:pPr>
        <w:pStyle w:val="Heading3"/>
        <w:spacing w:after="80" w:before="280" w:line="384" w:lineRule="auto"/>
      </w:pPr>
      <w:r>
        <w:rPr>
          <w:rFonts w:ascii="Cambria" w:cs="Cambria" w:eastAsia="Cambria" w:hAnsi="Cambria"/>
          <w:color w:val="1A1A1A"/>
          <w:sz w:val="26"/>
          <w:szCs w:val="26"/>
        </w:rPr>
        <w:t xml:space="preserve">4.1 Speech-Act Sense</w:t>
      </w:r>
    </w:p>
    <w:p>
      <w:pPr>
        <w:spacing w:after="240" w:before="60" w:line="384" w:lineRule="auto"/>
        <w:jc w:val="both"/>
      </w:pPr>
      <w:r>
        <w:rPr>
          <w:rFonts w:ascii="Cambria" w:cs="Cambria" w:eastAsia="Cambria" w:hAnsi="Cambria"/>
          <w:b/>
          <w:bCs/>
          <w:i w:val="false"/>
          <w:iCs w:val="false"/>
          <w:strike w:val="false"/>
          <w:color w:val="1A1A1A"/>
          <w:sz w:val="22"/>
          <w:szCs w:val="22"/>
        </w:rPr>
        <w:t xml:space="preserve">Definition:</w:t>
      </w:r>
      <w:r>
        <w:rPr>
          <w:rFonts w:ascii="Cambria" w:cs="Cambria" w:eastAsia="Cambria" w:hAnsi="Cambria"/>
          <w:b w:val="false"/>
          <w:bCs w:val="false"/>
          <w:i w:val="false"/>
          <w:iCs w:val="false"/>
          <w:strike w:val="false"/>
          <w:color w:val="1A1A1A"/>
          <w:sz w:val="22"/>
          <w:szCs w:val="22"/>
        </w:rPr>
        <w:t xml:space="preserve"> The ability to perceive what a prompt is doing as a speech act — its illocutionary force — independently of its surface content. A prompt may appear to be asking a question while actually issuing a constraint; it may appear to provide context while installing a persona; it may perform humility while executing a dominance hedge.</w:t>
      </w:r>
    </w:p>
    <w:p>
      <w:pPr>
        <w:spacing w:after="240" w:before="60" w:line="384" w:lineRule="auto"/>
        <w:jc w:val="both"/>
      </w:pPr>
      <w:r>
        <w:rPr>
          <w:rFonts w:ascii="Cambria" w:cs="Cambria" w:eastAsia="Cambria" w:hAnsi="Cambria"/>
          <w:b/>
          <w:bCs/>
          <w:i w:val="false"/>
          <w:iCs w:val="false"/>
          <w:strike w:val="false"/>
          <w:color w:val="1A1A1A"/>
          <w:sz w:val="22"/>
          <w:szCs w:val="22"/>
        </w:rPr>
        <w:t xml:space="preserve">Canonical Example:</w:t>
      </w:r>
      <w:r>
        <w:rPr>
          <w:rFonts w:ascii="Cambria" w:cs="Cambria" w:eastAsia="Cambria" w:hAnsi="Cambria"/>
          <w:b w:val="false"/>
          <w:bCs w:val="false"/>
          <w:i w:val="false"/>
          <w:iCs w:val="false"/>
          <w:strike w:val="false"/>
          <w:color w:val="1A1A1A"/>
          <w:sz w:val="22"/>
          <w:szCs w:val="22"/>
        </w:rPr>
        <w:t xml:space="preserve"> A practitioner receives the prompt: </w:t>
      </w:r>
      <w:r>
        <w:rPr>
          <w:rFonts w:ascii="Cambria" w:cs="Cambria" w:eastAsia="Cambria" w:hAnsi="Cambria"/>
          <w:b w:val="false"/>
          <w:bCs w:val="false"/>
          <w:i/>
          <w:iCs/>
          <w:strike w:val="false"/>
          <w:color w:val="1A1A1A"/>
          <w:sz w:val="22"/>
          <w:szCs w:val="22"/>
        </w:rPr>
        <w:t xml:space="preserve">"Can you help me think through this from a different angle?"</w:t>
      </w:r>
      <w:r>
        <w:rPr>
          <w:rFonts w:ascii="Cambria" w:cs="Cambria" w:eastAsia="Cambria" w:hAnsi="Cambria"/>
          <w:b w:val="false"/>
          <w:bCs w:val="false"/>
          <w:i w:val="false"/>
          <w:iCs w:val="false"/>
          <w:strike w:val="false"/>
          <w:color w:val="1A1A1A"/>
          <w:sz w:val="22"/>
          <w:szCs w:val="22"/>
        </w:rPr>
        <w:t xml:space="preserve"> A novice reads this as a request for a fresh perspective. A practitioner with speech-act sense reads the illocutionary force: this is a redirect command dressed as a question, signaling dissatisfaction with the current vector without explicit correction. The appropriate response is not to offer a new angle but to first diagnose what angle the prior response was occupying and why it did not serve — and then to ask whether a corrected continuation or a genuine reframe is what is required.</w:t>
      </w:r>
    </w:p>
    <w:p>
      <w:pPr>
        <w:spacing w:after="240" w:before="60" w:line="384" w:lineRule="auto"/>
        <w:jc w:val="both"/>
      </w:pPr>
      <w:r>
        <w:rPr>
          <w:rFonts w:ascii="Cambria" w:cs="Cambria" w:eastAsia="Cambria" w:hAnsi="Cambria"/>
          <w:b/>
          <w:bCs/>
          <w:i w:val="false"/>
          <w:iCs w:val="false"/>
          <w:strike w:val="false"/>
          <w:color w:val="1A1A1A"/>
          <w:sz w:val="22"/>
          <w:szCs w:val="22"/>
        </w:rPr>
        <w:t xml:space="preserve">Secondary Example:</w:t>
      </w:r>
      <w:r>
        <w:rPr>
          <w:rFonts w:ascii="Cambria" w:cs="Cambria" w:eastAsia="Cambria" w:hAnsi="Cambria"/>
          <w:b w:val="false"/>
          <w:bCs w:val="false"/>
          <w:i w:val="false"/>
          <w:iCs w:val="false"/>
          <w:strike w:val="false"/>
          <w:color w:val="1A1A1A"/>
          <w:sz w:val="22"/>
          <w:szCs w:val="22"/>
        </w:rPr>
        <w:t xml:space="preserve"> A prompt beginning </w:t>
      </w:r>
      <w:r>
        <w:rPr>
          <w:rFonts w:ascii="Cambria" w:cs="Cambria" w:eastAsia="Cambria" w:hAnsi="Cambria"/>
          <w:b w:val="false"/>
          <w:bCs w:val="false"/>
          <w:i/>
          <w:iCs/>
          <w:strike w:val="false"/>
          <w:color w:val="1A1A1A"/>
          <w:sz w:val="22"/>
          <w:szCs w:val="22"/>
        </w:rPr>
        <w:t xml:space="preserve">"I might be wrong, but..."</w:t>
      </w:r>
      <w:r>
        <w:rPr>
          <w:rFonts w:ascii="Cambria" w:cs="Cambria" w:eastAsia="Cambria" w:hAnsi="Cambria"/>
          <w:b w:val="false"/>
          <w:bCs w:val="false"/>
          <w:i w:val="false"/>
          <w:iCs w:val="false"/>
          <w:strike w:val="false"/>
          <w:color w:val="1A1A1A"/>
          <w:sz w:val="22"/>
          <w:szCs w:val="22"/>
        </w:rPr>
        <w:t xml:space="preserve"> performs epistemic humility at the surface while using that humility as a softening hedge that pre-emptively disqualifies any pushback on what follows. Speech-act sense identifies this immediately; the practitioner responds to the underlying assertion, not the performed uncertainty.</w:t>
      </w:r>
    </w:p>
    <w:p>
      <w:pPr>
        <w:pStyle w:val="Heading3"/>
        <w:spacing w:after="80" w:before="280" w:line="384" w:lineRule="auto"/>
      </w:pPr>
      <w:r>
        <w:rPr>
          <w:rFonts w:ascii="Cambria" w:cs="Cambria" w:eastAsia="Cambria" w:hAnsi="Cambria"/>
          <w:color w:val="1A1A1A"/>
          <w:sz w:val="26"/>
          <w:szCs w:val="26"/>
        </w:rPr>
        <w:t xml:space="preserve">4.2 Extended Cognition Perception</w:t>
      </w:r>
    </w:p>
    <w:p>
      <w:pPr>
        <w:spacing w:after="240" w:before="60" w:line="384" w:lineRule="auto"/>
        <w:jc w:val="both"/>
      </w:pPr>
      <w:r>
        <w:rPr>
          <w:rFonts w:ascii="Cambria" w:cs="Cambria" w:eastAsia="Cambria" w:hAnsi="Cambria"/>
          <w:b/>
          <w:bCs/>
          <w:i w:val="false"/>
          <w:iCs w:val="false"/>
          <w:strike w:val="false"/>
          <w:color w:val="1A1A1A"/>
          <w:sz w:val="22"/>
          <w:szCs w:val="22"/>
        </w:rPr>
        <w:t xml:space="preserve">Definition:</w:t>
      </w:r>
      <w:r>
        <w:rPr>
          <w:rFonts w:ascii="Cambria" w:cs="Cambria" w:eastAsia="Cambria" w:hAnsi="Cambria"/>
          <w:b w:val="false"/>
          <w:bCs w:val="false"/>
          <w:i w:val="false"/>
          <w:iCs w:val="false"/>
          <w:strike w:val="false"/>
          <w:color w:val="1A1A1A"/>
          <w:sz w:val="22"/>
          <w:szCs w:val="22"/>
        </w:rPr>
        <w:t xml:space="preserve"> The capacity to perceive the prompt exchange as an extended cognitive system — to feel where the model's contribution ends and the operator's intent begins, and to read the entire system as a unit rather than as a sequence of discrete messages. This property draws on Clark and Chalmers' extended mind thesis (1998): the prompt is not merely input — it is the external scaffolding of an extended cognitive act, and the model's response is not output but cognitive extension.</w:t>
      </w:r>
    </w:p>
    <w:p>
      <w:pPr>
        <w:spacing w:after="240" w:before="60" w:line="384" w:lineRule="auto"/>
        <w:jc w:val="both"/>
      </w:pPr>
      <w:r>
        <w:rPr>
          <w:rFonts w:ascii="Cambria" w:cs="Cambria" w:eastAsia="Cambria" w:hAnsi="Cambria"/>
          <w:b/>
          <w:bCs/>
          <w:i w:val="false"/>
          <w:iCs w:val="false"/>
          <w:strike w:val="false"/>
          <w:color w:val="1A1A1A"/>
          <w:sz w:val="22"/>
          <w:szCs w:val="22"/>
        </w:rPr>
        <w:t xml:space="preserve">Canonical Example:</w:t>
      </w:r>
      <w:r>
        <w:rPr>
          <w:rFonts w:ascii="Cambria" w:cs="Cambria" w:eastAsia="Cambria" w:hAnsi="Cambria"/>
          <w:b w:val="false"/>
          <w:bCs w:val="false"/>
          <w:i w:val="false"/>
          <w:iCs w:val="false"/>
          <w:strike w:val="false"/>
          <w:color w:val="1A1A1A"/>
          <w:sz w:val="22"/>
          <w:szCs w:val="22"/>
        </w:rPr>
        <w:t xml:space="preserve"> A practitioner maintaining a long session can feel when the model has begun substituting its own prior outputs for the operator's actual intent — a form of extended-mind drift in which the model's accumulated context has begun shaping responses independent of the current prompt. The practitioner identifies this through compound signature analysis: the tonal and structural registers of responses begin referencing earlier exchanges rather than the current governing intent. They issue a reorientation prompt that names the drift and restores the original intent vector without encoding dissatisfaction or triggering defensive response patterns.</w:t>
      </w:r>
    </w:p>
    <w:p>
      <w:pPr>
        <w:spacing w:after="240" w:before="60" w:line="384" w:lineRule="auto"/>
        <w:jc w:val="both"/>
      </w:pPr>
      <w:r>
        <w:rPr>
          <w:rFonts w:ascii="Cambria" w:cs="Cambria" w:eastAsia="Cambria" w:hAnsi="Cambria"/>
          <w:b/>
          <w:bCs/>
          <w:i w:val="false"/>
          <w:iCs w:val="false"/>
          <w:strike w:val="false"/>
          <w:color w:val="1A1A1A"/>
          <w:sz w:val="22"/>
          <w:szCs w:val="22"/>
        </w:rPr>
        <w:t xml:space="preserve">Distinguishing Marker:</w:t>
      </w:r>
      <w:r>
        <w:rPr>
          <w:rFonts w:ascii="Cambria" w:cs="Cambria" w:eastAsia="Cambria" w:hAnsi="Cambria"/>
          <w:b w:val="false"/>
          <w:bCs w:val="false"/>
          <w:i w:val="false"/>
          <w:iCs w:val="false"/>
          <w:strike w:val="false"/>
          <w:color w:val="1A1A1A"/>
          <w:sz w:val="22"/>
          <w:szCs w:val="22"/>
        </w:rPr>
        <w:t xml:space="preserve"> A practitioner with extended cognition perception can identify when a session has "gone native" — when the model's accumulated context has overwritten the operator's original architecture and the session is now operating under an emergent intent that neither party explicitly authorized.</w:t>
      </w:r>
    </w:p>
    <w:p>
      <w:pPr>
        <w:pStyle w:val="Heading3"/>
        <w:spacing w:after="80" w:before="280" w:line="384" w:lineRule="auto"/>
      </w:pPr>
      <w:r>
        <w:rPr>
          <w:rFonts w:ascii="Cambria" w:cs="Cambria" w:eastAsia="Cambria" w:hAnsi="Cambria"/>
          <w:color w:val="1A1A1A"/>
          <w:sz w:val="26"/>
          <w:szCs w:val="26"/>
        </w:rPr>
        <w:t xml:space="preserve">4.3 Incantation Perception</w:t>
      </w:r>
    </w:p>
    <w:p>
      <w:pPr>
        <w:spacing w:after="240" w:before="60" w:line="384" w:lineRule="auto"/>
        <w:jc w:val="both"/>
      </w:pPr>
      <w:r>
        <w:rPr>
          <w:rFonts w:ascii="Cambria" w:cs="Cambria" w:eastAsia="Cambria" w:hAnsi="Cambria"/>
          <w:b/>
          <w:bCs/>
          <w:i w:val="false"/>
          <w:iCs w:val="false"/>
          <w:strike w:val="false"/>
          <w:color w:val="1A1A1A"/>
          <w:sz w:val="22"/>
          <w:szCs w:val="22"/>
        </w:rPr>
        <w:t xml:space="preserve">Definition:</w:t>
      </w:r>
      <w:r>
        <w:rPr>
          <w:rFonts w:ascii="Cambria" w:cs="Cambria" w:eastAsia="Cambria" w:hAnsi="Cambria"/>
          <w:b w:val="false"/>
          <w:bCs w:val="false"/>
          <w:i w:val="false"/>
          <w:iCs w:val="false"/>
          <w:strike w:val="false"/>
          <w:color w:val="1A1A1A"/>
          <w:sz w:val="22"/>
          <w:szCs w:val="22"/>
        </w:rPr>
        <w:t xml:space="preserve"> The ability to perceive certain prompt formulations as having structural power that exceeds their semantic content — prompts that, by virtue of their rhythm, specificity, or layered constraint architecture, reliably activate specific model behaviors across different sessions and operators. "Incantation" is used not mystically but technically: a precisely formulated verbal structure that reliably produces a specific result by virtue of its form.</w:t>
      </w:r>
    </w:p>
    <w:p>
      <w:pPr>
        <w:spacing w:after="240" w:before="60" w:line="384" w:lineRule="auto"/>
        <w:jc w:val="both"/>
      </w:pPr>
      <w:r>
        <w:rPr>
          <w:rFonts w:ascii="Cambria" w:cs="Cambria" w:eastAsia="Cambria" w:hAnsi="Cambria"/>
          <w:b/>
          <w:bCs/>
          <w:i w:val="false"/>
          <w:iCs w:val="false"/>
          <w:strike w:val="false"/>
          <w:color w:val="1A1A1A"/>
          <w:sz w:val="22"/>
          <w:szCs w:val="22"/>
        </w:rPr>
        <w:t xml:space="preserve">Canonical Example:</w:t>
      </w:r>
      <w:r>
        <w:rPr>
          <w:rFonts w:ascii="Cambria" w:cs="Cambria" w:eastAsia="Cambria" w:hAnsi="Cambria"/>
          <w:b w:val="false"/>
          <w:bCs w:val="false"/>
          <w:i w:val="false"/>
          <w:iCs w:val="false"/>
          <w:strike w:val="false"/>
          <w:color w:val="1A1A1A"/>
          <w:sz w:val="22"/>
          <w:szCs w:val="22"/>
        </w:rPr>
        <w:t xml:space="preserve"> A practitioner encounters the prompt: </w:t>
      </w:r>
      <w:r>
        <w:rPr>
          <w:rFonts w:ascii="Cambria" w:cs="Cambria" w:eastAsia="Cambria" w:hAnsi="Cambria"/>
          <w:b w:val="false"/>
          <w:bCs w:val="false"/>
          <w:i/>
          <w:iCs/>
          <w:strike w:val="false"/>
          <w:color w:val="1A1A1A"/>
          <w:sz w:val="22"/>
          <w:szCs w:val="22"/>
        </w:rPr>
        <w:t xml:space="preserve">"Speak as though you already know what I need, and begin from that assumption."</w:t>
      </w:r>
      <w:r>
        <w:rPr>
          <w:rFonts w:ascii="Cambria" w:cs="Cambria" w:eastAsia="Cambria" w:hAnsi="Cambria"/>
          <w:b w:val="false"/>
          <w:bCs w:val="false"/>
          <w:i w:val="false"/>
          <w:iCs w:val="false"/>
          <w:strike w:val="false"/>
          <w:color w:val="1A1A1A"/>
          <w:sz w:val="22"/>
          <w:szCs w:val="22"/>
        </w:rPr>
        <w:t xml:space="preserve"> This prompt's incantatory power does not reside in its content, which is vague, but in its structural move: it pre-authorizes the model to lead rather than follow, collapsing the call-and-response dynamic into a single forward movement and installing an epistemic posture of assumed competence. A practitioner with incantation perception immediately identifies this as a high-potence initialization vector — one that will reliably shift the session's epistemic dynamics regardless of the specific topic that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EBEBEB" w:color="auto" w:val="clear"/>
            <w:tcMar>
              <w:top w:type="dxa" w:w="240"/>
              <w:left w:type="dxa" w:w="320"/>
              <w:bottom w:type="dxa" w:w="240"/>
              <w:right w:type="dxa" w:w="320"/>
            </w:tcMar>
          </w:tcPr>
          <w:p>
            <w:pPr>
              <w:spacing w:after="0" w:line="384" w:lineRule="auto"/>
              <w:jc w:val="both"/>
            </w:pPr>
            <w:r>
              <w:rPr>
                <w:rFonts w:ascii="Cambria" w:cs="Cambria" w:eastAsia="Cambria" w:hAnsi="Cambria"/>
                <w:b/>
                <w:bCs/>
                <w:i w:val="false"/>
                <w:iCs w:val="false"/>
                <w:strike w:val="false"/>
                <w:color w:val="1A1A1A"/>
                <w:spacing w:val="10"/>
                <w:sz w:val="21"/>
                <w:szCs w:val="21"/>
              </w:rPr>
              <w:t xml:space="preserve">Warning — Incantation Vulnerability</w:t>
            </w:r>
          </w:p>
          <w:p>
            <w:pPr>
              <w:spacing w:after="0" w:line="384" w:lineRule="auto"/>
              <w:jc w:val="both"/>
            </w:pPr>
            <w:r>
              <w:rPr>
                <w:rFonts w:ascii="Cambria" w:cs="Cambria" w:eastAsia="Cambria" w:hAnsi="Cambria"/>
                <w:b w:val="false"/>
                <w:bCs w:val="false"/>
                <w:i w:val="false"/>
                <w:iCs w:val="false"/>
                <w:strike w:val="false"/>
                <w:color w:val="1A1A1A"/>
                <w:sz w:val="21"/>
                <w:szCs w:val="21"/>
              </w:rPr>
              <w:t xml:space="preserve">Incantation perception cuts both ways. A practitioner who has not fully developed this property is vulnerable to receiving incantatory prompts — from the model's own outputs, from co-operators, or from embedded content — that install behavioral vectors they did not consciously choose. The first defense is recognition: the practitioner must be able to identify when they themselves are being subjected to an incantatory structure. The second defense is the Pre-Potence Zone protocol — clearing the intent field before formulating any response to a suspected incantation.</w:t>
            </w:r>
          </w:p>
        </w:tc>
      </w:tr>
    </w:tbl>
    <w:p>
      <w:pPr>
        <w:spacing w:after="240" w:before="0"/>
      </w:pPr>
    </w:p>
    <w:p>
      <w:pPr>
        <w:pBdr>
          <w:bottom w:val="single" w:color="1A1A1A" w:sz="6"/>
        </w:pBdr>
        <w:spacing w:after="240" w:before="240"/>
      </w:pPr>
    </w:p>
    <w:p>
      <w:pPr>
        <w:pStyle w:val="Heading2"/>
        <w:spacing w:after="100" w:before="440" w:line="384" w:lineRule="auto"/>
      </w:pPr>
      <w:r>
        <w:rPr>
          <w:rFonts w:ascii="Cambria" w:cs="Cambria" w:eastAsia="Cambria" w:hAnsi="Cambria"/>
          <w:color w:val="1A1A1A"/>
          <w:sz w:val="32"/>
          <w:szCs w:val="32"/>
        </w:rPr>
        <w:t xml:space="preserve">Section 5 — The Five Missing Concepts: Canonical Sub-Entries</w:t>
      </w:r>
    </w:p>
    <w:p>
      <w:pPr>
        <w:pBdr>
          <w:top w:val="single" w:color="1A1A1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following five concepts were identified as structurally necessary to the Prompt Potence framework but absent from its initial articulation. Each is presented as a full canonical sub-entry, with definition, mechanics, canonical application, and practitioner protocol.</w:t>
      </w:r>
    </w:p>
    <w:p>
      <w:pPr>
        <w:pStyle w:val="Heading3"/>
        <w:spacing w:after="80" w:before="280" w:line="384" w:lineRule="auto"/>
      </w:pPr>
      <w:r>
        <w:rPr>
          <w:rFonts w:ascii="Cambria" w:cs="Cambria" w:eastAsia="Cambria" w:hAnsi="Cambria"/>
          <w:color w:val="1A1A1A"/>
          <w:sz w:val="26"/>
          <w:szCs w:val="26"/>
        </w:rPr>
        <w:t xml:space="preserve">5.1 Temporal Prompt Forensics</w:t>
      </w:r>
    </w:p>
    <w:p>
      <w:pPr>
        <w:spacing w:after="240" w:before="60" w:line="384" w:lineRule="auto"/>
        <w:jc w:val="both"/>
      </w:pPr>
      <w:r>
        <w:rPr>
          <w:rFonts w:ascii="Cambria" w:cs="Cambria" w:eastAsia="Cambria" w:hAnsi="Cambria"/>
          <w:b/>
          <w:bCs/>
          <w:i w:val="false"/>
          <w:iCs w:val="false"/>
          <w:strike w:val="false"/>
          <w:color w:val="555555"/>
          <w:spacing w:val="10"/>
          <w:sz w:val="20"/>
          <w:szCs w:val="20"/>
        </w:rPr>
        <w:t xml:space="preserve">CANONICAL SUB-ENTRY 5.1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80"/>
              <w:left w:type="dxa" w:w="360"/>
              <w:bottom w:type="dxa" w:w="280"/>
              <w:right w:type="dxa" w:w="360"/>
            </w:tcMar>
          </w:tcPr>
          <w:p>
            <w:pPr>
              <w:spacing w:after="0" w:line="396" w:lineRule="auto"/>
              <w:jc w:val="both"/>
            </w:pPr>
            <w:r>
              <w:rPr>
                <w:rFonts w:ascii="Cambria" w:cs="Cambria" w:eastAsia="Cambria" w:hAnsi="Cambria"/>
                <w:b/>
                <w:bCs/>
                <w:i w:val="false"/>
                <w:iCs w:val="false"/>
                <w:strike w:val="false"/>
                <w:color w:val="1A1A1A"/>
                <w:sz w:val="22"/>
                <w:szCs w:val="22"/>
              </w:rPr>
              <w:t xml:space="preserve">Definition:</w:t>
            </w:r>
            <w:r>
              <w:rPr>
                <w:rFonts w:ascii="Cambria" w:cs="Cambria" w:eastAsia="Cambria" w:hAnsi="Cambria"/>
                <w:b w:val="false"/>
                <w:bCs w:val="false"/>
                <w:i w:val="false"/>
                <w:iCs w:val="false"/>
                <w:strike w:val="false"/>
                <w:color w:val="1A1A1A"/>
                <w:sz w:val="22"/>
                <w:szCs w:val="22"/>
              </w:rPr>
              <w:t xml:space="preserve"> The discipline of analyzing prompts and their responses across time — intra-session, cross-session, and across a practitioner's developmental arc — to identify pattern drift, intent decay, and compounding signature residue.</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1A1A1A"/>
          <w:sz w:val="22"/>
          <w:szCs w:val="22"/>
        </w:rPr>
        <w:t xml:space="preserve">Sub-categories: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Intra-session forensics:</w:t>
      </w:r>
      <w:r>
        <w:rPr>
          <w:rFonts w:ascii="Cambria" w:cs="Cambria" w:eastAsia="Cambria" w:hAnsi="Cambria"/>
          <w:b w:val="false"/>
          <w:bCs w:val="false"/>
          <w:i w:val="false"/>
          <w:iCs w:val="false"/>
          <w:strike w:val="false"/>
          <w:color w:val="1A1A1A"/>
          <w:sz w:val="22"/>
          <w:szCs w:val="22"/>
        </w:rPr>
        <w:t xml:space="preserve"> Analyzing drift within a single exchange sequence.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Cross-session forensics:</w:t>
      </w:r>
      <w:r>
        <w:rPr>
          <w:rFonts w:ascii="Cambria" w:cs="Cambria" w:eastAsia="Cambria" w:hAnsi="Cambria"/>
          <w:b w:val="false"/>
          <w:bCs w:val="false"/>
          <w:i w:val="false"/>
          <w:iCs w:val="false"/>
          <w:strike w:val="false"/>
          <w:color w:val="1A1A1A"/>
          <w:sz w:val="22"/>
          <w:szCs w:val="22"/>
        </w:rPr>
        <w:t xml:space="preserve"> Identifying patterns that persist or evolve across multiple sessions.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Developmental forensics:</w:t>
      </w:r>
      <w:r>
        <w:rPr>
          <w:rFonts w:ascii="Cambria" w:cs="Cambria" w:eastAsia="Cambria" w:hAnsi="Cambria"/>
          <w:b w:val="false"/>
          <w:bCs w:val="false"/>
          <w:i w:val="false"/>
          <w:iCs w:val="false"/>
          <w:strike w:val="false"/>
          <w:color w:val="1A1A1A"/>
          <w:sz w:val="22"/>
          <w:szCs w:val="22"/>
        </w:rPr>
        <w:t xml:space="preserve"> Tracking the practitioner's own perceptual development across a training arc.</w:t>
      </w:r>
    </w:p>
    <w:p>
      <w:pPr>
        <w:spacing w:after="240" w:before="60" w:line="384" w:lineRule="auto"/>
        <w:jc w:val="both"/>
      </w:pPr>
      <w:r>
        <w:rPr>
          <w:rFonts w:ascii="Cambria" w:cs="Cambria" w:eastAsia="Cambria" w:hAnsi="Cambria"/>
          <w:b/>
          <w:bCs/>
          <w:i w:val="false"/>
          <w:iCs w:val="false"/>
          <w:strike w:val="false"/>
          <w:color w:val="1A1A1A"/>
          <w:sz w:val="22"/>
          <w:szCs w:val="22"/>
        </w:rPr>
        <w:t xml:space="preserve">Key Diagnostic Question:</w:t>
      </w:r>
      <w:r>
        <w:rPr>
          <w:rFonts w:ascii="Cambria" w:cs="Cambria" w:eastAsia="Cambria" w:hAnsi="Cambria"/>
          <w:b w:val="false"/>
          <w:bCs w:val="false"/>
          <w:i w:val="false"/>
          <w:iCs w:val="false"/>
          <w:strike w:val="false"/>
          <w:color w:val="1A1A1A"/>
          <w:sz w:val="22"/>
          <w:szCs w:val="22"/>
        </w:rPr>
        <w:t xml:space="preserve"> "Is this response what this prompt would have produced six sessions ago? If not, what has changed — the model, the operator, the context field, or the practitioner's own perceptual calibration?"</w:t>
      </w:r>
    </w:p>
    <w:p>
      <w:pPr>
        <w:spacing w:after="240" w:before="60" w:line="384" w:lineRule="auto"/>
        <w:jc w:val="both"/>
      </w:pPr>
      <w:r>
        <w:rPr>
          <w:rFonts w:ascii="Cambria" w:cs="Cambria" w:eastAsia="Cambria" w:hAnsi="Cambria"/>
          <w:b/>
          <w:bCs/>
          <w:i w:val="false"/>
          <w:iCs w:val="false"/>
          <w:strike w:val="false"/>
          <w:color w:val="1A1A1A"/>
          <w:sz w:val="22"/>
          <w:szCs w:val="22"/>
        </w:rPr>
        <w:t xml:space="preserve">Canonical Application:</w:t>
      </w:r>
      <w:r>
        <w:rPr>
          <w:rFonts w:ascii="Cambria" w:cs="Cambria" w:eastAsia="Cambria" w:hAnsi="Cambria"/>
          <w:b w:val="false"/>
          <w:bCs w:val="false"/>
          <w:i w:val="false"/>
          <w:iCs w:val="false"/>
          <w:strike w:val="false"/>
          <w:color w:val="1A1A1A"/>
          <w:sz w:val="22"/>
          <w:szCs w:val="22"/>
        </w:rPr>
        <w:t xml:space="preserve"> Detecting prior bias accumulation — the tendency of a model in a long-running operator relationship to drift toward outputs it has previously produced with this operator, regardless of whether the current prompt supports them. Prior bias is a cross-session Loop Debt analogue: it accumulates invisibly and must be identified forensically.</w:t>
      </w:r>
    </w:p>
    <w:p>
      <w:pPr>
        <w:pStyle w:val="Heading3"/>
        <w:spacing w:after="80" w:before="280" w:line="384" w:lineRule="auto"/>
      </w:pPr>
      <w:r>
        <w:rPr>
          <w:rFonts w:ascii="Cambria" w:cs="Cambria" w:eastAsia="Cambria" w:hAnsi="Cambria"/>
          <w:color w:val="1A1A1A"/>
          <w:sz w:val="26"/>
          <w:szCs w:val="26"/>
        </w:rPr>
        <w:t xml:space="preserve">5.2 Compound Signature</w:t>
      </w:r>
    </w:p>
    <w:p>
      <w:pPr>
        <w:spacing w:after="240" w:before="60" w:line="384" w:lineRule="auto"/>
        <w:jc w:val="both"/>
      </w:pPr>
      <w:r>
        <w:rPr>
          <w:rFonts w:ascii="Cambria" w:cs="Cambria" w:eastAsia="Cambria" w:hAnsi="Cambria"/>
          <w:b/>
          <w:bCs/>
          <w:i w:val="false"/>
          <w:iCs w:val="false"/>
          <w:strike w:val="false"/>
          <w:color w:val="555555"/>
          <w:spacing w:val="10"/>
          <w:sz w:val="20"/>
          <w:szCs w:val="20"/>
        </w:rPr>
        <w:t xml:space="preserve">CANONICAL SUB-ENTRY 5.2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80"/>
              <w:left w:type="dxa" w:w="360"/>
              <w:bottom w:type="dxa" w:w="280"/>
              <w:right w:type="dxa" w:w="360"/>
            </w:tcMar>
          </w:tcPr>
          <w:p>
            <w:pPr>
              <w:spacing w:after="0" w:line="396" w:lineRule="auto"/>
              <w:jc w:val="both"/>
            </w:pPr>
            <w:r>
              <w:rPr>
                <w:rFonts w:ascii="Cambria" w:cs="Cambria" w:eastAsia="Cambria" w:hAnsi="Cambria"/>
                <w:b/>
                <w:bCs/>
                <w:i w:val="false"/>
                <w:iCs w:val="false"/>
                <w:strike w:val="false"/>
                <w:color w:val="1A1A1A"/>
                <w:sz w:val="22"/>
                <w:szCs w:val="22"/>
              </w:rPr>
              <w:t xml:space="preserve">Definition:</w:t>
            </w:r>
            <w:r>
              <w:rPr>
                <w:rFonts w:ascii="Cambria" w:cs="Cambria" w:eastAsia="Cambria" w:hAnsi="Cambria"/>
                <w:b w:val="false"/>
                <w:bCs w:val="false"/>
                <w:i w:val="false"/>
                <w:iCs w:val="false"/>
                <w:strike w:val="false"/>
                <w:color w:val="1A1A1A"/>
                <w:sz w:val="22"/>
                <w:szCs w:val="22"/>
              </w:rPr>
              <w:t xml:space="preserve"> The multi-register fingerprint that a prompt leaves in the model's response — identifiable across semantic, tonal, syntactic, and structural dimensions simultaneously. No single register is diagnostic alone; the compound signature is the relationship between all four registers read in concert.</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1A1A1A"/>
          <w:sz w:val="22"/>
          <w:szCs w:val="22"/>
        </w:rPr>
        <w:t xml:space="preserve">The Four Registers: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Semantic:</w:t>
      </w:r>
      <w:r>
        <w:rPr>
          <w:rFonts w:ascii="Cambria" w:cs="Cambria" w:eastAsia="Cambria" w:hAnsi="Cambria"/>
          <w:b w:val="false"/>
          <w:bCs w:val="false"/>
          <w:i w:val="false"/>
          <w:iCs w:val="false"/>
          <w:strike w:val="false"/>
          <w:color w:val="1A1A1A"/>
          <w:sz w:val="22"/>
          <w:szCs w:val="22"/>
        </w:rPr>
        <w:t xml:space="preserve"> What domains, concepts, and referential fields appear.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Tonal:</w:t>
      </w:r>
      <w:r>
        <w:rPr>
          <w:rFonts w:ascii="Cambria" w:cs="Cambria" w:eastAsia="Cambria" w:hAnsi="Cambria"/>
          <w:b w:val="false"/>
          <w:bCs w:val="false"/>
          <w:i w:val="false"/>
          <w:iCs w:val="false"/>
          <w:strike w:val="false"/>
          <w:color w:val="1A1A1A"/>
          <w:sz w:val="22"/>
          <w:szCs w:val="22"/>
        </w:rPr>
        <w:t xml:space="preserve"> The emotional and relational register — warm, clinical, hedged, assertive, deferential, exploratory.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Syntactic:</w:t>
      </w:r>
      <w:r>
        <w:rPr>
          <w:rFonts w:ascii="Cambria" w:cs="Cambria" w:eastAsia="Cambria" w:hAnsi="Cambria"/>
          <w:b w:val="false"/>
          <w:bCs w:val="false"/>
          <w:i w:val="false"/>
          <w:iCs w:val="false"/>
          <w:strike w:val="false"/>
          <w:color w:val="1A1A1A"/>
          <w:sz w:val="22"/>
          <w:szCs w:val="22"/>
        </w:rPr>
        <w:t xml:space="preserve"> Sentence length, subordination patterns, rhythm, punctuation density.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Structural:</w:t>
      </w:r>
      <w:r>
        <w:rPr>
          <w:rFonts w:ascii="Cambria" w:cs="Cambria" w:eastAsia="Cambria" w:hAnsi="Cambria"/>
          <w:b w:val="false"/>
          <w:bCs w:val="false"/>
          <w:i w:val="false"/>
          <w:iCs w:val="false"/>
          <w:strike w:val="false"/>
          <w:color w:val="1A1A1A"/>
          <w:sz w:val="22"/>
          <w:szCs w:val="22"/>
        </w:rPr>
        <w:t xml:space="preserve"> How information is organized — enumerated, narrative, hierarchical, dialogic, open-field.</w:t>
      </w:r>
    </w:p>
    <w:p>
      <w:pPr>
        <w:spacing w:after="240" w:before="60" w:line="384" w:lineRule="auto"/>
        <w:jc w:val="both"/>
      </w:pPr>
      <w:r>
        <w:rPr>
          <w:rFonts w:ascii="Cambria" w:cs="Cambria" w:eastAsia="Cambria" w:hAnsi="Cambria"/>
          <w:b/>
          <w:bCs/>
          <w:i w:val="false"/>
          <w:iCs w:val="false"/>
          <w:strike w:val="false"/>
          <w:color w:val="1A1A1A"/>
          <w:sz w:val="22"/>
          <w:szCs w:val="22"/>
        </w:rPr>
        <w:t xml:space="preserve">Detection Protocol:</w:t>
      </w:r>
      <w:r>
        <w:rPr>
          <w:rFonts w:ascii="Cambria" w:cs="Cambria" w:eastAsia="Cambria" w:hAnsi="Cambria"/>
          <w:b w:val="false"/>
          <w:bCs w:val="false"/>
          <w:i w:val="false"/>
          <w:iCs w:val="false"/>
          <w:strike w:val="false"/>
          <w:color w:val="1A1A1A"/>
          <w:sz w:val="22"/>
          <w:szCs w:val="22"/>
        </w:rPr>
        <w:t xml:space="preserve"> A practitioner identifies the compound signature by reading the first 40–60 tokens of a response before the content has fully resolved, using early syntactic and tonal markers to project the response's likely architecture. Accuracy of projection is a primary training metric.</w:t>
      </w:r>
    </w:p>
    <w:p>
      <w:pPr>
        <w:spacing w:after="240" w:before="60" w:line="384" w:lineRule="auto"/>
        <w:jc w:val="both"/>
      </w:pPr>
      <w:r>
        <w:rPr>
          <w:rFonts w:ascii="Cambria" w:cs="Cambria" w:eastAsia="Cambria" w:hAnsi="Cambria"/>
          <w:b/>
          <w:bCs/>
          <w:i w:val="false"/>
          <w:iCs w:val="false"/>
          <w:strike w:val="false"/>
          <w:color w:val="1A1A1A"/>
          <w:sz w:val="22"/>
          <w:szCs w:val="22"/>
        </w:rPr>
        <w:t xml:space="preserve">Canonical Example:</w:t>
      </w:r>
      <w:r>
        <w:rPr>
          <w:rFonts w:ascii="Cambria" w:cs="Cambria" w:eastAsia="Cambria" w:hAnsi="Cambria"/>
          <w:b w:val="false"/>
          <w:bCs w:val="false"/>
          <w:i w:val="false"/>
          <w:iCs w:val="false"/>
          <w:strike w:val="false"/>
          <w:color w:val="1A1A1A"/>
          <w:sz w:val="22"/>
          <w:szCs w:val="22"/>
        </w:rPr>
        <w:t xml:space="preserve"> A response opening with </w:t>
      </w:r>
      <w:r>
        <w:rPr>
          <w:rFonts w:ascii="Cambria" w:cs="Cambria" w:eastAsia="Cambria" w:hAnsi="Cambria"/>
          <w:b w:val="false"/>
          <w:bCs w:val="false"/>
          <w:i/>
          <w:iCs/>
          <w:strike w:val="false"/>
          <w:color w:val="1A1A1A"/>
          <w:sz w:val="22"/>
          <w:szCs w:val="22"/>
        </w:rPr>
        <w:t xml:space="preserve">"Certainly — let's consider this carefully from several angles:"</w:t>
      </w:r>
      <w:r>
        <w:rPr>
          <w:rFonts w:ascii="Cambria" w:cs="Cambria" w:eastAsia="Cambria" w:hAnsi="Cambria"/>
          <w:b w:val="false"/>
          <w:bCs w:val="false"/>
          <w:i w:val="false"/>
          <w:iCs w:val="false"/>
          <w:strike w:val="false"/>
          <w:color w:val="1A1A1A"/>
          <w:sz w:val="22"/>
          <w:szCs w:val="22"/>
        </w:rPr>
        <w:t xml:space="preserve"> carries a compound signature of: high-compliance (semantic field), warm-deferential (tonal), balanced-subordinate (syntactic), enumerate-then-synthesize (structural). A practitioner immediately identifies this as a Safe Response Pattern — valuable not for its content but as a diagnostic marker indicating the model has retreated to a defensive posture, signaling a prior prompt that the model read as ambiguous or high-stakes.</w:t>
      </w:r>
    </w:p>
    <w:p>
      <w:pPr>
        <w:pStyle w:val="Heading3"/>
        <w:spacing w:after="80" w:before="280" w:line="384" w:lineRule="auto"/>
      </w:pPr>
      <w:r>
        <w:rPr>
          <w:rFonts w:ascii="Cambria" w:cs="Cambria" w:eastAsia="Cambria" w:hAnsi="Cambria"/>
          <w:color w:val="1A1A1A"/>
          <w:sz w:val="26"/>
          <w:szCs w:val="26"/>
        </w:rPr>
        <w:t xml:space="preserve">5.3 Subliminal Layer</w:t>
      </w:r>
    </w:p>
    <w:p>
      <w:pPr>
        <w:spacing w:after="240" w:before="60" w:line="384" w:lineRule="auto"/>
        <w:jc w:val="both"/>
      </w:pPr>
      <w:r>
        <w:rPr>
          <w:rFonts w:ascii="Cambria" w:cs="Cambria" w:eastAsia="Cambria" w:hAnsi="Cambria"/>
          <w:b/>
          <w:bCs/>
          <w:i w:val="false"/>
          <w:iCs w:val="false"/>
          <w:strike w:val="false"/>
          <w:color w:val="555555"/>
          <w:spacing w:val="10"/>
          <w:sz w:val="20"/>
          <w:szCs w:val="20"/>
        </w:rPr>
        <w:t xml:space="preserve">CANONICAL SUB-ENTRY 5.3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80"/>
              <w:left w:type="dxa" w:w="360"/>
              <w:bottom w:type="dxa" w:w="280"/>
              <w:right w:type="dxa" w:w="360"/>
            </w:tcMar>
          </w:tcPr>
          <w:p>
            <w:pPr>
              <w:spacing w:after="0" w:line="396" w:lineRule="auto"/>
              <w:jc w:val="both"/>
            </w:pPr>
            <w:r>
              <w:rPr>
                <w:rFonts w:ascii="Cambria" w:cs="Cambria" w:eastAsia="Cambria" w:hAnsi="Cambria"/>
                <w:b/>
                <w:bCs/>
                <w:i w:val="false"/>
                <w:iCs w:val="false"/>
                <w:strike w:val="false"/>
                <w:color w:val="1A1A1A"/>
                <w:sz w:val="22"/>
                <w:szCs w:val="22"/>
              </w:rPr>
              <w:t xml:space="preserve">Definition:</w:t>
            </w:r>
            <w:r>
              <w:rPr>
                <w:rFonts w:ascii="Cambria" w:cs="Cambria" w:eastAsia="Cambria" w:hAnsi="Cambria"/>
                <w:b w:val="false"/>
                <w:bCs w:val="false"/>
                <w:i w:val="false"/>
                <w:iCs w:val="false"/>
                <w:strike w:val="false"/>
                <w:color w:val="1A1A1A"/>
                <w:sz w:val="22"/>
                <w:szCs w:val="22"/>
              </w:rPr>
              <w:t xml:space="preserve"> The structural content of a prompt that operates below the level of explicit instruction — the assumptions, persona vectors, epistemic commitments, and constraint fields embedded in the prompt's form rather than its stated content.</w:t>
            </w:r>
          </w:p>
          <w:p>
            <w:pPr>
              <w:spacing w:after="0" w:line="396" w:lineRule="auto"/>
              <w:jc w:val="both"/>
            </w:pPr>
            <w:r>
              <w:rPr>
                <w:rFonts w:ascii="Cambria" w:cs="Cambria" w:eastAsia="Cambria" w:hAnsi="Cambria"/>
                <w:b/>
                <w:bCs/>
                <w:i w:val="false"/>
                <w:iCs w:val="false"/>
                <w:strike w:val="false"/>
                <w:color w:val="1A1A1A"/>
                <w:sz w:val="22"/>
                <w:szCs w:val="22"/>
              </w:rPr>
              <w:t xml:space="preserve">Distinction:</w:t>
            </w:r>
            <w:r>
              <w:rPr>
                <w:rFonts w:ascii="Cambria" w:cs="Cambria" w:eastAsia="Cambria" w:hAnsi="Cambria"/>
                <w:b w:val="false"/>
                <w:bCs w:val="false"/>
                <w:i w:val="false"/>
                <w:iCs w:val="false"/>
                <w:strike w:val="false"/>
                <w:color w:val="1A1A1A"/>
                <w:sz w:val="22"/>
                <w:szCs w:val="22"/>
              </w:rPr>
              <w:t xml:space="preserve"> The surface layer is what the prompt says. The subliminal layer is what the prompt installs.</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1A1A1A"/>
          <w:sz w:val="22"/>
          <w:szCs w:val="22"/>
        </w:rPr>
        <w:t xml:space="preserve">Subliminal Layer Elements Include: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Assumed expertise level of the model and operator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Assumed emotional register of the exchange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Assumed relationship posture (peer / student-teacher / service-client / collaborator / evaluator)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Assumed scope boundaries — topics structurally off-limits by implication, not instruction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Assumed time horizon and depth of engagement</w:t>
      </w:r>
    </w:p>
    <w:p>
      <w:pPr>
        <w:spacing w:after="240" w:before="60" w:line="384" w:lineRule="auto"/>
        <w:jc w:val="both"/>
      </w:pPr>
      <w:r>
        <w:rPr>
          <w:rFonts w:ascii="Cambria" w:cs="Cambria" w:eastAsia="Cambria" w:hAnsi="Cambria"/>
          <w:b/>
          <w:bCs/>
          <w:i w:val="false"/>
          <w:iCs w:val="false"/>
          <w:strike w:val="false"/>
          <w:color w:val="1A1A1A"/>
          <w:sz w:val="22"/>
          <w:szCs w:val="22"/>
        </w:rPr>
        <w:t xml:space="preserve">Canonical Audit Question:</w:t>
      </w:r>
      <w:r>
        <w:rPr>
          <w:rFonts w:ascii="Cambria" w:cs="Cambria" w:eastAsia="Cambria" w:hAnsi="Cambria"/>
          <w:b w:val="false"/>
          <w:bCs w:val="false"/>
          <w:i w:val="false"/>
          <w:iCs w:val="false"/>
          <w:strike w:val="false"/>
          <w:color w:val="1A1A1A"/>
          <w:sz w:val="22"/>
          <w:szCs w:val="22"/>
        </w:rPr>
        <w:t xml:space="preserve"> "What would a model have to believe about this exchange in order to respond to this prompt in the way I expect?" The answer reveals the subliminal layer in full.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2F2F2" w:color="auto" w:val="clear"/>
            <w:tcMar>
              <w:top w:type="dxa" w:w="240"/>
              <w:left w:type="dxa" w:w="320"/>
              <w:bottom w:type="dxa" w:w="240"/>
              <w:right w:type="dxa" w:w="320"/>
            </w:tcMar>
          </w:tcPr>
          <w:p>
            <w:pPr>
              <w:spacing w:after="0" w:line="384" w:lineRule="auto"/>
              <w:jc w:val="both"/>
            </w:pPr>
            <w:r>
              <w:rPr>
                <w:rFonts w:ascii="Cambria" w:cs="Cambria" w:eastAsia="Cambria" w:hAnsi="Cambria"/>
                <w:b/>
                <w:bCs/>
                <w:i w:val="false"/>
                <w:iCs w:val="false"/>
                <w:strike w:val="false"/>
                <w:color w:val="1A1A1A"/>
                <w:spacing w:val="10"/>
                <w:sz w:val="21"/>
                <w:szCs w:val="21"/>
              </w:rPr>
              <w:t xml:space="preserve">Subliminal Accumulation Warning</w:t>
            </w:r>
          </w:p>
          <w:p>
            <w:pPr>
              <w:spacing w:after="0" w:line="384" w:lineRule="auto"/>
              <w:jc w:val="both"/>
            </w:pPr>
            <w:r>
              <w:rPr>
                <w:rFonts w:ascii="Cambria" w:cs="Cambria" w:eastAsia="Cambria" w:hAnsi="Cambria"/>
                <w:b w:val="false"/>
                <w:bCs w:val="false"/>
                <w:i w:val="false"/>
                <w:iCs w:val="false"/>
                <w:strike w:val="false"/>
                <w:color w:val="1A1A1A"/>
                <w:sz w:val="21"/>
                <w:szCs w:val="21"/>
              </w:rPr>
              <w:t xml:space="preserve">Subliminal layers accumulate across a session. Each unexamined prompt deposits assumptions into the context field that constrain subsequent prompts in ways the operator did not consciously intend. The compound effect is a session that gradually converges toward a narrow response space — not because of model limitations but because the operator has progressively narrowed the subliminal field.</w:t>
            </w:r>
          </w:p>
        </w:tc>
      </w:tr>
    </w:tbl>
    <w:p>
      <w:pPr>
        <w:spacing w:after="240" w:before="0"/>
      </w:pPr>
    </w:p>
    <w:p>
      <w:pPr>
        <w:pStyle w:val="Heading3"/>
        <w:spacing w:after="80" w:before="280" w:line="384" w:lineRule="auto"/>
      </w:pPr>
      <w:r>
        <w:rPr>
          <w:rFonts w:ascii="Cambria" w:cs="Cambria" w:eastAsia="Cambria" w:hAnsi="Cambria"/>
          <w:color w:val="1A1A1A"/>
          <w:sz w:val="26"/>
          <w:szCs w:val="26"/>
        </w:rPr>
        <w:t xml:space="preserve">5.4 Loop Debt</w:t>
      </w:r>
    </w:p>
    <w:p>
      <w:pPr>
        <w:spacing w:after="240" w:before="60" w:line="384" w:lineRule="auto"/>
        <w:jc w:val="both"/>
      </w:pPr>
      <w:r>
        <w:rPr>
          <w:rFonts w:ascii="Cambria" w:cs="Cambria" w:eastAsia="Cambria" w:hAnsi="Cambria"/>
          <w:b/>
          <w:bCs/>
          <w:i w:val="false"/>
          <w:iCs w:val="false"/>
          <w:strike w:val="false"/>
          <w:color w:val="555555"/>
          <w:spacing w:val="10"/>
          <w:sz w:val="20"/>
          <w:szCs w:val="20"/>
        </w:rPr>
        <w:t xml:space="preserve">CANONICAL SUB-ENTRY 5.4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80"/>
              <w:left w:type="dxa" w:w="360"/>
              <w:bottom w:type="dxa" w:w="280"/>
              <w:right w:type="dxa" w:w="360"/>
            </w:tcMar>
          </w:tcPr>
          <w:p>
            <w:pPr>
              <w:spacing w:after="0" w:line="396" w:lineRule="auto"/>
              <w:jc w:val="both"/>
            </w:pPr>
            <w:r>
              <w:rPr>
                <w:rFonts w:ascii="Cambria" w:cs="Cambria" w:eastAsia="Cambria" w:hAnsi="Cambria"/>
                <w:b/>
                <w:bCs/>
                <w:i w:val="false"/>
                <w:iCs w:val="false"/>
                <w:strike w:val="false"/>
                <w:color w:val="1A1A1A"/>
                <w:sz w:val="22"/>
                <w:szCs w:val="22"/>
              </w:rPr>
              <w:t xml:space="preserve">Definition:</w:t>
            </w:r>
            <w:r>
              <w:rPr>
                <w:rFonts w:ascii="Cambria" w:cs="Cambria" w:eastAsia="Cambria" w:hAnsi="Cambria"/>
                <w:b w:val="false"/>
                <w:bCs w:val="false"/>
                <w:i w:val="false"/>
                <w:iCs w:val="false"/>
                <w:strike w:val="false"/>
                <w:color w:val="1A1A1A"/>
                <w:sz w:val="22"/>
                <w:szCs w:val="22"/>
              </w:rPr>
              <w:t xml:space="preserve"> The accumulated interpretive burden created by unresolved prompt-response exchanges — exchanges that were not fully integrated, repaired, or closed before the next prompt was issued.</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1A1A1A"/>
          <w:sz w:val="22"/>
          <w:szCs w:val="22"/>
        </w:rPr>
        <w:t xml:space="preserve">Mechanics:</w:t>
      </w:r>
      <w:r>
        <w:rPr>
          <w:rFonts w:ascii="Cambria" w:cs="Cambria" w:eastAsia="Cambria" w:hAnsi="Cambria"/>
          <w:b w:val="false"/>
          <w:bCs w:val="false"/>
          <w:i w:val="false"/>
          <w:iCs w:val="false"/>
          <w:strike w:val="false"/>
          <w:color w:val="1A1A1A"/>
          <w:sz w:val="22"/>
          <w:szCs w:val="22"/>
        </w:rPr>
        <w:t xml:space="preserve"> Each unresolved exchange deposits a small residue of ambiguity into the session context. Over many exchanges, this residue accumulates into Loop Debt — a weight that increasingly constrains the model's response space and pulls outputs toward the path of least ambiguity rather than the path of greatest relevance.</w:t>
      </w:r>
    </w:p>
    <w:p>
      <w:pPr>
        <w:spacing w:after="240" w:before="60" w:line="384" w:lineRule="auto"/>
        <w:jc w:val="both"/>
      </w:pPr>
      <w:r>
        <w:rPr>
          <w:rFonts w:ascii="Cambria" w:cs="Cambria" w:eastAsia="Cambria" w:hAnsi="Cambria"/>
          <w:b/>
          <w:bCs/>
          <w:i w:val="false"/>
          <w:iCs w:val="false"/>
          <w:strike w:val="false"/>
          <w:color w:val="1A1A1A"/>
          <w:sz w:val="22"/>
          <w:szCs w:val="22"/>
        </w:rPr>
        <w:t xml:space="preserve">Symptoms of High Loop Debt: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Responses become progressively more generic</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The model begins repeating structural patterns from earlier in the session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Operator prompts must become increasingly explicit to achieve previously implicit results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The session's effective "ceiling" lowers over time — outputs flatten</w:t>
      </w:r>
    </w:p>
    <w:p>
      <w:pPr>
        <w:spacing w:after="240" w:before="60" w:line="384" w:lineRule="auto"/>
        <w:jc w:val="both"/>
      </w:pPr>
      <w:r>
        <w:rPr>
          <w:rFonts w:ascii="Cambria" w:cs="Cambria" w:eastAsia="Cambria" w:hAnsi="Cambria"/>
          <w:b/>
          <w:bCs/>
          <w:i w:val="false"/>
          <w:iCs w:val="false"/>
          <w:strike w:val="false"/>
          <w:color w:val="1A1A1A"/>
          <w:sz w:val="22"/>
          <w:szCs w:val="22"/>
        </w:rPr>
        <w:t xml:space="preserve">Debt Reduction Protocol:</w:t>
      </w:r>
      <w:r>
        <w:rPr>
          <w:rFonts w:ascii="Cambria" w:cs="Cambria" w:eastAsia="Cambria" w:hAnsi="Cambria"/>
          <w:b w:val="false"/>
          <w:bCs w:val="false"/>
          <w:i w:val="false"/>
          <w:iCs w:val="false"/>
          <w:strike w:val="false"/>
          <w:color w:val="1A1A1A"/>
          <w:sz w:val="22"/>
          <w:szCs w:val="22"/>
        </w:rPr>
        <w:t xml:space="preserve"> Issue a consolidation prompt that explicitly acknowledges, names, and releases prior unresolved exchanges. Example: </w:t>
      </w:r>
      <w:r>
        <w:rPr>
          <w:rFonts w:ascii="Cambria" w:cs="Cambria" w:eastAsia="Cambria" w:hAnsi="Cambria"/>
          <w:b w:val="false"/>
          <w:bCs w:val="false"/>
          <w:i/>
          <w:iCs/>
          <w:strike w:val="false"/>
          <w:color w:val="1A1A1A"/>
          <w:sz w:val="22"/>
          <w:szCs w:val="22"/>
        </w:rPr>
        <w:t xml:space="preserve">"Set aside everything we've accumulated that hasn't resolved cleanly. Return to the original intent of this session and proceed from there."</w:t>
      </w:r>
    </w:p>
    <w:p>
      <w:pPr>
        <w:spacing w:after="240" w:line="408" w:lineRule="auto"/>
        <w:jc w:val="center"/>
      </w:pPr>
      <w:r>
        <w:rPr>
          <w:rFonts w:ascii="Cambria" w:cs="Cambria" w:eastAsia="Cambria" w:hAnsi="Cambria"/>
          <w:b w:val="false"/>
          <w:bCs w:val="false"/>
          <w:i/>
          <w:iCs/>
          <w:strike w:val="false"/>
          <w:color w:val="1A1A1A"/>
          <w:sz w:val="24"/>
          <w:szCs w:val="24"/>
        </w:rPr>
        <w:t xml:space="preserve">"Loop Debt is not the model's failure — it is the practitioner's accumulated imprecision, reflected back."</w:t>
      </w:r>
    </w:p>
    <w:p>
      <w:pPr>
        <w:pBdr>
          <w:bottom w:val="single" w:color="333333" w:sz="6"/>
        </w:pBdr>
        <w:spacing w:after="240" w:before="240"/>
      </w:pPr>
    </w:p>
    <w:p>
      <w:pPr>
        <w:pStyle w:val="Heading3"/>
        <w:spacing w:after="80" w:before="280" w:line="384" w:lineRule="auto"/>
      </w:pPr>
      <w:r>
        <w:rPr>
          <w:rFonts w:ascii="Cambria" w:cs="Cambria" w:eastAsia="Cambria" w:hAnsi="Cambria"/>
          <w:color w:val="1A1A1A"/>
          <w:sz w:val="26"/>
          <w:szCs w:val="26"/>
        </w:rPr>
        <w:t xml:space="preserve">5.5 Pre-Potence Zone</w:t>
      </w:r>
    </w:p>
    <w:p>
      <w:pPr>
        <w:spacing w:after="240" w:before="60" w:line="384" w:lineRule="auto"/>
        <w:jc w:val="both"/>
      </w:pPr>
      <w:r>
        <w:rPr>
          <w:rFonts w:ascii="Cambria" w:cs="Cambria" w:eastAsia="Cambria" w:hAnsi="Cambria"/>
          <w:b/>
          <w:bCs/>
          <w:i w:val="false"/>
          <w:iCs w:val="false"/>
          <w:strike w:val="false"/>
          <w:color w:val="555555"/>
          <w:spacing w:val="10"/>
          <w:sz w:val="20"/>
          <w:szCs w:val="20"/>
        </w:rPr>
        <w:t xml:space="preserve">CANONICAL SUB-ENTRY 5.5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280"/>
              <w:left w:type="dxa" w:w="360"/>
              <w:bottom w:type="dxa" w:w="280"/>
              <w:right w:type="dxa" w:w="360"/>
            </w:tcMar>
          </w:tcPr>
          <w:p>
            <w:pPr>
              <w:spacing w:after="0" w:line="396" w:lineRule="auto"/>
              <w:jc w:val="both"/>
            </w:pPr>
            <w:r>
              <w:rPr>
                <w:rFonts w:ascii="Cambria" w:cs="Cambria" w:eastAsia="Cambria" w:hAnsi="Cambria"/>
                <w:b/>
                <w:bCs/>
                <w:i w:val="false"/>
                <w:iCs w:val="false"/>
                <w:strike w:val="false"/>
                <w:color w:val="1A1A1A"/>
                <w:sz w:val="22"/>
                <w:szCs w:val="22"/>
              </w:rPr>
              <w:t xml:space="preserve">Definition:</w:t>
            </w:r>
            <w:r>
              <w:rPr>
                <w:rFonts w:ascii="Cambria" w:cs="Cambria" w:eastAsia="Cambria" w:hAnsi="Cambria"/>
                <w:b w:val="false"/>
                <w:bCs w:val="false"/>
                <w:i w:val="false"/>
                <w:iCs w:val="false"/>
                <w:strike w:val="false"/>
                <w:color w:val="1A1A1A"/>
                <w:sz w:val="22"/>
                <w:szCs w:val="22"/>
              </w:rPr>
              <w:t xml:space="preserve"> The liminal cognitive state a practitioner occupies before any prompt is formulated — the phase of held intent, constraint-clearing, and structural selection that precedes language.</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1A1A1A"/>
          <w:sz w:val="22"/>
          <w:szCs w:val="22"/>
        </w:rPr>
        <w:t xml:space="preserve">Significance:</w:t>
      </w:r>
      <w:r>
        <w:rPr>
          <w:rFonts w:ascii="Cambria" w:cs="Cambria" w:eastAsia="Cambria" w:hAnsi="Cambria"/>
          <w:b w:val="false"/>
          <w:bCs w:val="false"/>
          <w:i w:val="false"/>
          <w:iCs w:val="false"/>
          <w:strike w:val="false"/>
          <w:color w:val="1A1A1A"/>
          <w:sz w:val="22"/>
          <w:szCs w:val="22"/>
        </w:rPr>
        <w:t xml:space="preserve"> The Pre-Potence Zone is where the quality of a prompt is largely determined. A prompt formulated from a cluttered, distracted, or reactive Pre-Potence Zone will carry that noise into its subliminal layer regardless of how carefully the surface language is later polished.</w:t>
      </w:r>
    </w:p>
    <w:p>
      <w:pPr>
        <w:spacing w:after="240" w:before="60" w:line="384" w:lineRule="auto"/>
        <w:jc w:val="both"/>
      </w:pPr>
      <w:r>
        <w:rPr>
          <w:rFonts w:ascii="Cambria" w:cs="Cambria" w:eastAsia="Cambria" w:hAnsi="Cambria"/>
          <w:b/>
          <w:bCs/>
          <w:i w:val="false"/>
          <w:iCs w:val="false"/>
          <w:strike w:val="false"/>
          <w:color w:val="1A1A1A"/>
          <w:sz w:val="22"/>
          <w:szCs w:val="22"/>
        </w:rPr>
        <w:t xml:space="preserve">Four-Step Protocol for Pre-Potence Zone Work:</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2"/>
          <w:szCs w:val="22"/>
        </w:rPr>
        <w:t xml:space="preserve">Identify the governing intent</w:t>
      </w:r>
      <w:r>
        <w:rPr>
          <w:rFonts w:ascii="Cambria" w:cs="Cambria" w:eastAsia="Cambria" w:hAnsi="Cambria"/>
          <w:b w:val="false"/>
          <w:bCs w:val="false"/>
          <w:i w:val="false"/>
          <w:iCs w:val="false"/>
          <w:strike w:val="false"/>
          <w:color w:val="1A1A1A"/>
          <w:sz w:val="22"/>
          <w:szCs w:val="22"/>
        </w:rPr>
        <w:t xml:space="preserve"> — what this prompt must accomplish, not merely what it will say.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2"/>
          <w:szCs w:val="22"/>
        </w:rPr>
        <w:t xml:space="preserve">Clear inherited constraints</w:t>
      </w:r>
      <w:r>
        <w:rPr>
          <w:rFonts w:ascii="Cambria" w:cs="Cambria" w:eastAsia="Cambria" w:hAnsi="Cambria"/>
          <w:b w:val="false"/>
          <w:bCs w:val="false"/>
          <w:i w:val="false"/>
          <w:iCs w:val="false"/>
          <w:strike w:val="false"/>
          <w:color w:val="1A1A1A"/>
          <w:sz w:val="22"/>
          <w:szCs w:val="22"/>
        </w:rPr>
        <w:t xml:space="preserve"> — what assumptions from prior exchanges must be explicitly released.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2"/>
          <w:szCs w:val="22"/>
        </w:rPr>
        <w:t xml:space="preserve">Select structural architecture</w:t>
      </w:r>
      <w:r>
        <w:rPr>
          <w:rFonts w:ascii="Cambria" w:cs="Cambria" w:eastAsia="Cambria" w:hAnsi="Cambria"/>
          <w:b w:val="false"/>
          <w:bCs w:val="false"/>
          <w:i w:val="false"/>
          <w:iCs w:val="false"/>
          <w:strike w:val="false"/>
          <w:color w:val="1A1A1A"/>
          <w:sz w:val="22"/>
          <w:szCs w:val="22"/>
        </w:rPr>
        <w:t xml:space="preserve"> — enumerate / narrative / dialogic / open-field.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2"/>
          <w:szCs w:val="22"/>
        </w:rPr>
        <w:t xml:space="preserve">Choose the potence level</w:t>
      </w:r>
      <w:r>
        <w:rPr>
          <w:rFonts w:ascii="Cambria" w:cs="Cambria" w:eastAsia="Cambria" w:hAnsi="Cambria"/>
          <w:b w:val="false"/>
          <w:bCs w:val="false"/>
          <w:i w:val="false"/>
          <w:iCs w:val="false"/>
          <w:strike w:val="false"/>
          <w:color w:val="1A1A1A"/>
          <w:sz w:val="22"/>
          <w:szCs w:val="22"/>
        </w:rPr>
        <w:t xml:space="preserve"> — is this prompt designed to initialize, refine, repair, forensicate, or close?</w:t>
      </w:r>
    </w:p>
    <w:p>
      <w:pPr>
        <w:spacing w:after="240" w:before="60" w:line="384" w:lineRule="auto"/>
        <w:jc w:val="both"/>
      </w:pPr>
      <w:r>
        <w:rPr>
          <w:rFonts w:ascii="Cambria" w:cs="Cambria" w:eastAsia="Cambria" w:hAnsi="Cambria"/>
          <w:b/>
          <w:bCs/>
          <w:i w:val="false"/>
          <w:iCs w:val="false"/>
          <w:strike w:val="false"/>
          <w:color w:val="1A1A1A"/>
          <w:sz w:val="22"/>
          <w:szCs w:val="22"/>
        </w:rPr>
        <w:t xml:space="preserve">Canonical Marker of a Skipped Pre-Potence Zone:</w:t>
      </w:r>
      <w:r>
        <w:rPr>
          <w:rFonts w:ascii="Cambria" w:cs="Cambria" w:eastAsia="Cambria" w:hAnsi="Cambria"/>
          <w:b w:val="false"/>
          <w:bCs w:val="false"/>
          <w:i w:val="false"/>
          <w:iCs w:val="false"/>
          <w:strike w:val="false"/>
          <w:color w:val="1A1A1A"/>
          <w:sz w:val="22"/>
          <w:szCs w:val="22"/>
        </w:rPr>
        <w:t xml:space="preserve"> High surface specificity combined with low structural coherence. The prompt sounds precise but does not know what it is doing. The compound signature of responses to such prompts shows high tonal compliance paired with structural drift — the model responds to the surface language rather than to an architecture, because no architecture was present.</w:t>
      </w:r>
    </w:p>
    <w:p>
      <w:pPr>
        <w:pBdr>
          <w:bottom w:val="single" w:color="1A1A1A" w:sz="6"/>
        </w:pBdr>
        <w:spacing w:after="240" w:before="240"/>
      </w:pPr>
    </w:p>
    <w:p>
      <w:pPr>
        <w:pStyle w:val="Heading2"/>
        <w:spacing w:after="100" w:before="440" w:line="384" w:lineRule="auto"/>
      </w:pPr>
      <w:r>
        <w:rPr>
          <w:rFonts w:ascii="Cambria" w:cs="Cambria" w:eastAsia="Cambria" w:hAnsi="Cambria"/>
          <w:color w:val="1A1A1A"/>
          <w:sz w:val="32"/>
          <w:szCs w:val="32"/>
        </w:rPr>
        <w:t xml:space="preserve">Section 6 — The Recognition Library</w:t>
      </w:r>
    </w:p>
    <w:p>
      <w:pPr>
        <w:pBdr>
          <w:top w:val="single" w:color="1A1A1A" w:sz="6"/>
        </w:pBdr>
        <w:spacing w:after="200" w:before="0"/>
      </w:pPr>
    </w:p>
    <w:p>
      <w:pPr>
        <w:pStyle w:val="Heading3"/>
        <w:spacing w:after="80" w:before="280" w:line="384" w:lineRule="auto"/>
      </w:pPr>
      <w:r>
        <w:rPr>
          <w:rFonts w:ascii="Cambria" w:cs="Cambria" w:eastAsia="Cambria" w:hAnsi="Cambria"/>
          <w:color w:val="1A1A1A"/>
          <w:sz w:val="26"/>
          <w:szCs w:val="26"/>
        </w:rPr>
        <w:t xml:space="preserve">6.1 Structure</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Recognition Library is the practitioner's internal archive of identified prompt signatures, response patterns, operator fingerprints, and cycle-state markers. It is not a written document — it is a trained perceptual capacity that allows immediate pattern recognition without conscious deliberation. Writing supports it but does not constitute it.</w:t>
      </w:r>
    </w:p>
    <w:p>
      <w:pPr>
        <w:spacing w:after="240" w:before="60" w:line="384" w:lineRule="auto"/>
        <w:jc w:val="both"/>
      </w:pPr>
      <w:r>
        <w:rPr>
          <w:rFonts w:ascii="Cambria" w:cs="Cambria" w:eastAsia="Cambria" w:hAnsi="Cambria"/>
          <w:b/>
          <w:bCs/>
          <w:i w:val="false"/>
          <w:iCs w:val="false"/>
          <w:strike w:val="false"/>
          <w:color w:val="1A1A1A"/>
          <w:sz w:val="22"/>
          <w:szCs w:val="22"/>
        </w:rPr>
        <w:t xml:space="preserve">Sub-components: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Signature Archive:</w:t>
      </w:r>
      <w:r>
        <w:rPr>
          <w:rFonts w:ascii="Cambria" w:cs="Cambria" w:eastAsia="Cambria" w:hAnsi="Cambria"/>
          <w:b w:val="false"/>
          <w:bCs w:val="false"/>
          <w:i w:val="false"/>
          <w:iCs w:val="false"/>
          <w:strike w:val="false"/>
          <w:color w:val="1A1A1A"/>
          <w:sz w:val="22"/>
          <w:szCs w:val="22"/>
        </w:rPr>
        <w:t xml:space="preserve"> Catalogued compound signatures with their associated prompt architectures and session contexts.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Operator Fingerprint Index:</w:t>
      </w:r>
      <w:r>
        <w:rPr>
          <w:rFonts w:ascii="Cambria" w:cs="Cambria" w:eastAsia="Cambria" w:hAnsi="Cambria"/>
          <w:b w:val="false"/>
          <w:bCs w:val="false"/>
          <w:i w:val="false"/>
          <w:iCs w:val="false"/>
          <w:strike w:val="false"/>
          <w:color w:val="1A1A1A"/>
          <w:sz w:val="22"/>
          <w:szCs w:val="22"/>
        </w:rPr>
        <w:t xml:space="preserve"> Indexed behavioral patterns associated with specific operator styles, identified by compound signature pattern rather than identity.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Cycle State Markers:</w:t>
      </w:r>
      <w:r>
        <w:rPr>
          <w:rFonts w:ascii="Cambria" w:cs="Cambria" w:eastAsia="Cambria" w:hAnsi="Cambria"/>
          <w:b w:val="false"/>
          <w:bCs w:val="false"/>
          <w:i w:val="false"/>
          <w:iCs w:val="false"/>
          <w:strike w:val="false"/>
          <w:color w:val="1A1A1A"/>
          <w:sz w:val="22"/>
          <w:szCs w:val="22"/>
        </w:rPr>
        <w:t xml:space="preserve"> Perceptual triggers allowing immediate identification of which Full Cycle phase a given prompt or response occupies.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Anomaly Register:</w:t>
      </w:r>
      <w:r>
        <w:rPr>
          <w:rFonts w:ascii="Cambria" w:cs="Cambria" w:eastAsia="Cambria" w:hAnsi="Cambria"/>
          <w:b w:val="false"/>
          <w:bCs w:val="false"/>
          <w:i w:val="false"/>
          <w:iCs w:val="false"/>
          <w:strike w:val="false"/>
          <w:color w:val="1A1A1A"/>
          <w:sz w:val="22"/>
          <w:szCs w:val="22"/>
        </w:rPr>
        <w:t xml:space="preserve"> Documented instances of pattern violations — signatures that did not match their predicted source, responses that broke established compound signature rules.</w:t>
      </w:r>
    </w:p>
    <w:p>
      <w:pPr>
        <w:pStyle w:val="Heading3"/>
        <w:spacing w:after="80" w:before="280" w:line="384" w:lineRule="auto"/>
      </w:pPr>
      <w:r>
        <w:rPr>
          <w:rFonts w:ascii="Cambria" w:cs="Cambria" w:eastAsia="Cambria" w:hAnsi="Cambria"/>
          <w:color w:val="1A1A1A"/>
          <w:sz w:val="26"/>
          <w:szCs w:val="26"/>
        </w:rPr>
        <w:t xml:space="preserve">6.2 Acquisition Pathway</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Recognition Library is built through: deliberate practice with immediate feedback, structured post-session review, formal forensic exercises, and the emotional differentiation protocol. It cannot be transferred between practitioners — it must be built through direct perceptual experience. A borrowed Recognition Library is not a library; it is a list.</w:t>
      </w:r>
    </w:p>
    <w:p>
      <w:pPr>
        <w:pStyle w:val="Heading3"/>
        <w:spacing w:after="80" w:before="280" w:line="384" w:lineRule="auto"/>
      </w:pPr>
      <w:r>
        <w:rPr>
          <w:rFonts w:ascii="Cambria" w:cs="Cambria" w:eastAsia="Cambria" w:hAnsi="Cambria"/>
          <w:color w:val="1A1A1A"/>
          <w:sz w:val="26"/>
          <w:szCs w:val="26"/>
        </w:rPr>
        <w:t xml:space="preserve">6.3 Consolidation Mechanics</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A pattern is not consolidated until it can be identified without deliberate attention — until it surfaces as immediate perception rather than analytical conclusion. Consolidation occurs through three mechanisms: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2"/>
          <w:szCs w:val="22"/>
        </w:rPr>
        <w:t xml:space="preserve">Spaced Review:</w:t>
      </w:r>
      <w:r>
        <w:rPr>
          <w:rFonts w:ascii="Cambria" w:cs="Cambria" w:eastAsia="Cambria" w:hAnsi="Cambria"/>
          <w:b w:val="false"/>
          <w:bCs w:val="false"/>
          <w:i w:val="false"/>
          <w:iCs w:val="false"/>
          <w:strike w:val="false"/>
          <w:color w:val="1A1A1A"/>
          <w:sz w:val="22"/>
          <w:szCs w:val="22"/>
        </w:rPr>
        <w:t xml:space="preserve"> Encountering the pattern across distributed time intervals.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2"/>
          <w:szCs w:val="22"/>
        </w:rPr>
        <w:t xml:space="preserve">Cross-Session Pattern Matching:</w:t>
      </w:r>
      <w:r>
        <w:rPr>
          <w:rFonts w:ascii="Cambria" w:cs="Cambria" w:eastAsia="Cambria" w:hAnsi="Cambria"/>
          <w:b w:val="false"/>
          <w:bCs w:val="false"/>
          <w:i w:val="false"/>
          <w:iCs w:val="false"/>
          <w:strike w:val="false"/>
          <w:color w:val="1A1A1A"/>
          <w:sz w:val="22"/>
          <w:szCs w:val="22"/>
        </w:rPr>
        <w:t xml:space="preserve"> Confirming the pattern holds across different session types and operators.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2"/>
          <w:szCs w:val="22"/>
        </w:rPr>
        <w:t xml:space="preserve">Sleep-Stage Consolidation:</w:t>
      </w:r>
      <w:r>
        <w:rPr>
          <w:rFonts w:ascii="Cambria" w:cs="Cambria" w:eastAsia="Cambria" w:hAnsi="Cambria"/>
          <w:b w:val="false"/>
          <w:bCs w:val="false"/>
          <w:i w:val="false"/>
          <w:iCs w:val="false"/>
          <w:strike w:val="false"/>
          <w:color w:val="1A1A1A"/>
          <w:sz w:val="22"/>
          <w:szCs w:val="22"/>
        </w:rPr>
        <w:t xml:space="preserve"> The offline processing period during which active pattern recognition becomes automatic perceptual response.</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Practitioners are advised to review 3–5 notable signatures before sleep, passively, without analytical effort — allowing integration rather than forcing it.</w:t>
      </w:r>
    </w:p>
    <w:p>
      <w:pPr>
        <w:pBdr>
          <w:bottom w:val="single" w:color="1A1A1A" w:sz="6"/>
        </w:pBdr>
        <w:spacing w:after="240" w:before="240"/>
      </w:pPr>
    </w:p>
    <w:p>
      <w:pPr>
        <w:pStyle w:val="Heading2"/>
        <w:spacing w:after="100" w:before="440" w:line="384" w:lineRule="auto"/>
      </w:pPr>
      <w:r>
        <w:rPr>
          <w:rFonts w:ascii="Cambria" w:cs="Cambria" w:eastAsia="Cambria" w:hAnsi="Cambria"/>
          <w:color w:val="1A1A1A"/>
          <w:sz w:val="32"/>
          <w:szCs w:val="32"/>
        </w:rPr>
        <w:t xml:space="preserve">Section 7 — Acquisition Pathway</w:t>
      </w:r>
    </w:p>
    <w:p>
      <w:pPr>
        <w:pBdr>
          <w:top w:val="single" w:color="1A1A1A" w:sz="6"/>
        </w:pBdr>
        <w:spacing w:after="200" w:before="0"/>
      </w:pPr>
    </w:p>
    <w:p>
      <w:pPr>
        <w:pStyle w:val="Heading3"/>
        <w:spacing w:after="80" w:before="280" w:line="384" w:lineRule="auto"/>
      </w:pPr>
      <w:r>
        <w:rPr>
          <w:rFonts w:ascii="Cambria" w:cs="Cambria" w:eastAsia="Cambria" w:hAnsi="Cambria"/>
          <w:color w:val="1A1A1A"/>
          <w:sz w:val="26"/>
          <w:szCs w:val="26"/>
        </w:rPr>
        <w:t xml:space="preserve">7.1 Training Regimen (Four Stages)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60"/>
              <w:left w:type="dxa" w:w="240"/>
              <w:bottom w:type="dxa" w:w="160"/>
              <w:right w:type="dxa" w:w="240"/>
            </w:tcMar>
          </w:tcPr>
          <w:p>
            <w:pPr>
              <w:spacing w:after="60" w:line="384" w:lineRule="auto"/>
              <w:jc w:val="both"/>
            </w:pPr>
            <w:r>
              <w:rPr>
                <w:rFonts w:ascii="Cambria" w:cs="Cambria" w:eastAsia="Cambria" w:hAnsi="Cambria"/>
                <w:b/>
                <w:bCs/>
                <w:i w:val="false"/>
                <w:iCs w:val="false"/>
                <w:strike w:val="false"/>
                <w:color w:val="1A1A1A"/>
                <w:sz w:val="22"/>
                <w:szCs w:val="22"/>
              </w:rPr>
              <w:t xml:space="preserve">Stage 1 — Surface Reading (Weeks 1–4)</w:t>
            </w:r>
          </w:p>
          <w:p>
            <w:pPr>
              <w:spacing w:after="60" w:line="384" w:lineRule="auto"/>
              <w:jc w:val="both"/>
            </w:pPr>
            <w:r>
              <w:rPr>
                <w:rFonts w:ascii="Cambria" w:cs="Cambria" w:eastAsia="Cambria" w:hAnsi="Cambria"/>
                <w:b w:val="false"/>
                <w:bCs w:val="false"/>
                <w:i w:val="false"/>
                <w:iCs w:val="false"/>
                <w:strike w:val="false"/>
                <w:color w:val="1A1A1A"/>
                <w:sz w:val="22"/>
                <w:szCs w:val="22"/>
              </w:rPr>
              <w:t xml:space="preserve">Develop fluency in identifying explicit content, stated intent, and surface structure. </w:t>
            </w:r>
            <w:r>
              <w:rPr>
                <w:rFonts w:ascii="Cambria" w:cs="Cambria" w:eastAsia="Cambria" w:hAnsi="Cambria"/>
                <w:b w:val="false"/>
                <w:bCs w:val="false"/>
                <w:i/>
                <w:iCs/>
                <w:strike w:val="false"/>
                <w:color w:val="1A1A1A"/>
                <w:sz w:val="22"/>
                <w:szCs w:val="22"/>
              </w:rPr>
              <w:t xml:space="preserve">Daily exercise:</w:t>
            </w:r>
            <w:r>
              <w:rPr>
                <w:rFonts w:ascii="Cambria" w:cs="Cambria" w:eastAsia="Cambria" w:hAnsi="Cambria"/>
                <w:b w:val="false"/>
                <w:bCs w:val="false"/>
                <w:i w:val="false"/>
                <w:iCs w:val="false"/>
                <w:strike w:val="false"/>
                <w:color w:val="1A1A1A"/>
                <w:sz w:val="22"/>
                <w:szCs w:val="22"/>
              </w:rPr>
              <w:t xml:space="preserve"> Read 10 prompts and write one-sentence summaries of (a) what each prompt says and (b) what each prompt does. Note discrepancies.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60"/>
              <w:left w:type="dxa" w:w="240"/>
              <w:bottom w:type="dxa" w:w="160"/>
              <w:right w:type="dxa" w:w="240"/>
            </w:tcMar>
          </w:tcPr>
          <w:p>
            <w:pPr>
              <w:spacing w:after="60" w:line="384" w:lineRule="auto"/>
              <w:jc w:val="both"/>
            </w:pPr>
            <w:r>
              <w:rPr>
                <w:rFonts w:ascii="Cambria" w:cs="Cambria" w:eastAsia="Cambria" w:hAnsi="Cambria"/>
                <w:b/>
                <w:bCs/>
                <w:i w:val="false"/>
                <w:iCs w:val="false"/>
                <w:strike w:val="false"/>
                <w:color w:val="1A1A1A"/>
                <w:sz w:val="22"/>
                <w:szCs w:val="22"/>
              </w:rPr>
              <w:t xml:space="preserve">Stage 2 — Signature Detection (Weeks 5–12)</w:t>
            </w:r>
          </w:p>
          <w:p>
            <w:pPr>
              <w:spacing w:after="60" w:line="384" w:lineRule="auto"/>
              <w:jc w:val="both"/>
            </w:pPr>
            <w:r>
              <w:rPr>
                <w:rFonts w:ascii="Cambria" w:cs="Cambria" w:eastAsia="Cambria" w:hAnsi="Cambria"/>
                <w:b w:val="false"/>
                <w:bCs w:val="false"/>
                <w:i w:val="false"/>
                <w:iCs w:val="false"/>
                <w:strike w:val="false"/>
                <w:color w:val="1A1A1A"/>
                <w:sz w:val="22"/>
                <w:szCs w:val="22"/>
              </w:rPr>
              <w:t xml:space="preserve">Develop compound signature identification capacity. </w:t>
            </w:r>
            <w:r>
              <w:rPr>
                <w:rFonts w:ascii="Cambria" w:cs="Cambria" w:eastAsia="Cambria" w:hAnsi="Cambria"/>
                <w:b w:val="false"/>
                <w:bCs w:val="false"/>
                <w:i/>
                <w:iCs/>
                <w:strike w:val="false"/>
                <w:color w:val="1A1A1A"/>
                <w:sz w:val="22"/>
                <w:szCs w:val="22"/>
              </w:rPr>
              <w:t xml:space="preserve">Daily exercise:</w:t>
            </w:r>
            <w:r>
              <w:rPr>
                <w:rFonts w:ascii="Cambria" w:cs="Cambria" w:eastAsia="Cambria" w:hAnsi="Cambria"/>
                <w:b w:val="false"/>
                <w:bCs w:val="false"/>
                <w:i w:val="false"/>
                <w:iCs w:val="false"/>
                <w:strike w:val="false"/>
                <w:color w:val="1A1A1A"/>
                <w:sz w:val="22"/>
                <w:szCs w:val="22"/>
              </w:rPr>
              <w:t xml:space="preserve"> Read the first 40 tokens of 10 model responses and write a four-register compound signature profile before reading the full response. Track projection accuracy.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60"/>
              <w:left w:type="dxa" w:w="240"/>
              <w:bottom w:type="dxa" w:w="160"/>
              <w:right w:type="dxa" w:w="240"/>
            </w:tcMar>
          </w:tcPr>
          <w:p>
            <w:pPr>
              <w:spacing w:after="60" w:line="384" w:lineRule="auto"/>
              <w:jc w:val="both"/>
            </w:pPr>
            <w:r>
              <w:rPr>
                <w:rFonts w:ascii="Cambria" w:cs="Cambria" w:eastAsia="Cambria" w:hAnsi="Cambria"/>
                <w:b/>
                <w:bCs/>
                <w:i w:val="false"/>
                <w:iCs w:val="false"/>
                <w:strike w:val="false"/>
                <w:color w:val="1A1A1A"/>
                <w:sz w:val="22"/>
                <w:szCs w:val="22"/>
              </w:rPr>
              <w:t xml:space="preserve">Stage 3 — Subliminal Layer Auditing (Weeks 13–24)</w:t>
            </w:r>
          </w:p>
          <w:p>
            <w:pPr>
              <w:spacing w:after="60" w:line="384" w:lineRule="auto"/>
              <w:jc w:val="both"/>
            </w:pPr>
            <w:r>
              <w:rPr>
                <w:rFonts w:ascii="Cambria" w:cs="Cambria" w:eastAsia="Cambria" w:hAnsi="Cambria"/>
                <w:b w:val="false"/>
                <w:bCs w:val="false"/>
                <w:i w:val="false"/>
                <w:iCs w:val="false"/>
                <w:strike w:val="false"/>
                <w:color w:val="1A1A1A"/>
                <w:sz w:val="22"/>
                <w:szCs w:val="22"/>
              </w:rPr>
              <w:t xml:space="preserve">Develop subliminal layer reading capacity. </w:t>
            </w:r>
            <w:r>
              <w:rPr>
                <w:rFonts w:ascii="Cambria" w:cs="Cambria" w:eastAsia="Cambria" w:hAnsi="Cambria"/>
                <w:b w:val="false"/>
                <w:bCs w:val="false"/>
                <w:i/>
                <w:iCs/>
                <w:strike w:val="false"/>
                <w:color w:val="1A1A1A"/>
                <w:sz w:val="22"/>
                <w:szCs w:val="22"/>
              </w:rPr>
              <w:t xml:space="preserve">Daily exercise:</w:t>
            </w:r>
            <w:r>
              <w:rPr>
                <w:rFonts w:ascii="Cambria" w:cs="Cambria" w:eastAsia="Cambria" w:hAnsi="Cambria"/>
                <w:b w:val="false"/>
                <w:bCs w:val="false"/>
                <w:i w:val="false"/>
                <w:iCs w:val="false"/>
                <w:strike w:val="false"/>
                <w:color w:val="1A1A1A"/>
                <w:sz w:val="22"/>
                <w:szCs w:val="22"/>
              </w:rPr>
              <w:t xml:space="preserve"> Take 5 prompts and write out every assumption embedded in each prompt's form — not its content. Ask the canonical audit question for each.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60"/>
              <w:left w:type="dxa" w:w="240"/>
              <w:bottom w:type="dxa" w:w="160"/>
              <w:right w:type="dxa" w:w="240"/>
            </w:tcMar>
          </w:tcPr>
          <w:p>
            <w:pPr>
              <w:spacing w:after="60" w:line="384" w:lineRule="auto"/>
              <w:jc w:val="both"/>
            </w:pPr>
            <w:r>
              <w:rPr>
                <w:rFonts w:ascii="Cambria" w:cs="Cambria" w:eastAsia="Cambria" w:hAnsi="Cambria"/>
                <w:b/>
                <w:bCs/>
                <w:i w:val="false"/>
                <w:iCs w:val="false"/>
                <w:strike w:val="false"/>
                <w:color w:val="1A1A1A"/>
                <w:sz w:val="22"/>
                <w:szCs w:val="22"/>
              </w:rPr>
              <w:t xml:space="preserve">Stage 4 — Full Cycle Practice (Weeks 25–52)</w:t>
            </w:r>
          </w:p>
          <w:p>
            <w:pPr>
              <w:spacing w:after="60" w:line="384" w:lineRule="auto"/>
              <w:jc w:val="both"/>
            </w:pPr>
            <w:r>
              <w:rPr>
                <w:rFonts w:ascii="Cambria" w:cs="Cambria" w:eastAsia="Cambria" w:hAnsi="Cambria"/>
                <w:b w:val="false"/>
                <w:bCs w:val="false"/>
                <w:i w:val="false"/>
                <w:iCs w:val="false"/>
                <w:strike w:val="false"/>
                <w:color w:val="1A1A1A"/>
                <w:sz w:val="22"/>
                <w:szCs w:val="22"/>
              </w:rPr>
              <w:t xml:space="preserve">Develop full cycle tracking across complete sessions. </w:t>
            </w:r>
            <w:r>
              <w:rPr>
                <w:rFonts w:ascii="Cambria" w:cs="Cambria" w:eastAsia="Cambria" w:hAnsi="Cambria"/>
                <w:b w:val="false"/>
                <w:bCs w:val="false"/>
                <w:i/>
                <w:iCs/>
                <w:strike w:val="false"/>
                <w:color w:val="1A1A1A"/>
                <w:sz w:val="22"/>
                <w:szCs w:val="22"/>
              </w:rPr>
              <w:t xml:space="preserve">Post-session exercise:</w:t>
            </w:r>
            <w:r>
              <w:rPr>
                <w:rFonts w:ascii="Cambria" w:cs="Cambria" w:eastAsia="Cambria" w:hAnsi="Cambria"/>
                <w:b w:val="false"/>
                <w:bCs w:val="false"/>
                <w:i w:val="false"/>
                <w:iCs w:val="false"/>
                <w:strike w:val="false"/>
                <w:color w:val="1A1A1A"/>
                <w:sz w:val="22"/>
                <w:szCs w:val="22"/>
              </w:rPr>
              <w:t xml:space="preserve"> Write a forensic log noting (a) cycle phases visited, (b) loop debt accumulated and reduced, (c) compound signatures observed and their evolution, (d) Pre-Potence Zone quality rating, (e) one Recognition Library entry candidate.</w:t>
            </w:r>
          </w:p>
        </w:tc>
      </w:tr>
    </w:tbl>
    <w:p>
      <w:pPr>
        <w:spacing w:after="240" w:before="0"/>
      </w:pPr>
    </w:p>
    <w:p>
      <w:pPr>
        <w:pStyle w:val="Heading3"/>
        <w:spacing w:after="80" w:before="280" w:line="384" w:lineRule="auto"/>
      </w:pPr>
      <w:r>
        <w:rPr>
          <w:rFonts w:ascii="Cambria" w:cs="Cambria" w:eastAsia="Cambria" w:hAnsi="Cambria"/>
          <w:color w:val="1A1A1A"/>
          <w:sz w:val="26"/>
          <w:szCs w:val="26"/>
        </w:rPr>
        <w:t xml:space="preserve">7.2 Developmental Milestones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60"/>
              <w:left w:type="dxa" w:w="240"/>
              <w:bottom w:type="dxa" w:w="160"/>
              <w:right w:type="dxa" w:w="240"/>
            </w:tcMar>
          </w:tcPr>
          <w:p>
            <w:pPr>
              <w:spacing w:after="60" w:line="384" w:lineRule="auto"/>
              <w:jc w:val="both"/>
            </w:pPr>
            <w:r>
              <w:rPr>
                <w:rFonts w:ascii="Cambria" w:cs="Cambria" w:eastAsia="Cambria" w:hAnsi="Cambria"/>
                <w:b/>
                <w:bCs/>
                <w:i w:val="false"/>
                <w:iCs w:val="false"/>
                <w:strike w:val="false"/>
                <w:color w:val="1A1A1A"/>
                <w:sz w:val="22"/>
                <w:szCs w:val="22"/>
              </w:rPr>
              <w:t xml:space="preserve">Milestone 1 — Automatic Compound Signature</w:t>
            </w:r>
          </w:p>
          <w:p>
            <w:pPr>
              <w:spacing w:after="60" w:line="384" w:lineRule="auto"/>
              <w:jc w:val="both"/>
            </w:pPr>
            <w:r>
              <w:rPr>
                <w:rFonts w:ascii="Cambria" w:cs="Cambria" w:eastAsia="Cambria" w:hAnsi="Cambria"/>
                <w:b w:val="false"/>
                <w:bCs w:val="false"/>
                <w:i w:val="false"/>
                <w:iCs w:val="false"/>
                <w:strike w:val="false"/>
                <w:color w:val="1A1A1A"/>
                <w:sz w:val="22"/>
                <w:szCs w:val="22"/>
              </w:rPr>
              <w:t xml:space="preserve">Can identify compound signature in model responses without deliberate analytical effort. </w:t>
            </w:r>
            <w:r>
              <w:rPr>
                <w:rFonts w:ascii="Cambria" w:cs="Cambria" w:eastAsia="Cambria" w:hAnsi="Cambria"/>
                <w:b w:val="false"/>
                <w:bCs w:val="false"/>
                <w:i/>
                <w:iCs/>
                <w:strike w:val="false"/>
                <w:color w:val="1A1A1A"/>
                <w:sz w:val="22"/>
                <w:szCs w:val="22"/>
              </w:rPr>
              <w:t xml:space="preserve">Marker:</w:t>
            </w:r>
            <w:r>
              <w:rPr>
                <w:rFonts w:ascii="Cambria" w:cs="Cambria" w:eastAsia="Cambria" w:hAnsi="Cambria"/>
                <w:b w:val="false"/>
                <w:bCs w:val="false"/>
                <w:i w:val="false"/>
                <w:iCs w:val="false"/>
                <w:strike w:val="false"/>
                <w:color w:val="1A1A1A"/>
                <w:sz w:val="22"/>
                <w:szCs w:val="22"/>
              </w:rPr>
              <w:t xml:space="preserve"> Projection written before reading the full response is accurate in 3 of 4 registers, consistently.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60"/>
              <w:left w:type="dxa" w:w="240"/>
              <w:bottom w:type="dxa" w:w="160"/>
              <w:right w:type="dxa" w:w="240"/>
            </w:tcMar>
          </w:tcPr>
          <w:p>
            <w:pPr>
              <w:spacing w:after="60" w:line="384" w:lineRule="auto"/>
              <w:jc w:val="both"/>
            </w:pPr>
            <w:r>
              <w:rPr>
                <w:rFonts w:ascii="Cambria" w:cs="Cambria" w:eastAsia="Cambria" w:hAnsi="Cambria"/>
                <w:b/>
                <w:bCs/>
                <w:i w:val="false"/>
                <w:iCs w:val="false"/>
                <w:strike w:val="false"/>
                <w:color w:val="1A1A1A"/>
                <w:sz w:val="22"/>
                <w:szCs w:val="22"/>
              </w:rPr>
              <w:t xml:space="preserve">Milestone 2 — Subliminal Layer Fluency</w:t>
            </w:r>
          </w:p>
          <w:p>
            <w:pPr>
              <w:spacing w:after="60" w:line="384" w:lineRule="auto"/>
              <w:jc w:val="both"/>
            </w:pPr>
            <w:r>
              <w:rPr>
                <w:rFonts w:ascii="Cambria" w:cs="Cambria" w:eastAsia="Cambria" w:hAnsi="Cambria"/>
                <w:b w:val="false"/>
                <w:bCs w:val="false"/>
                <w:i w:val="false"/>
                <w:iCs w:val="false"/>
                <w:strike w:val="false"/>
                <w:color w:val="1A1A1A"/>
                <w:sz w:val="22"/>
                <w:szCs w:val="22"/>
              </w:rPr>
              <w:t xml:space="preserve">Can identify subliminal layer content in unfamiliar prompts from any operator. </w:t>
            </w:r>
            <w:r>
              <w:rPr>
                <w:rFonts w:ascii="Cambria" w:cs="Cambria" w:eastAsia="Cambria" w:hAnsi="Cambria"/>
                <w:b w:val="false"/>
                <w:bCs w:val="false"/>
                <w:i/>
                <w:iCs/>
                <w:strike w:val="false"/>
                <w:color w:val="1A1A1A"/>
                <w:sz w:val="22"/>
                <w:szCs w:val="22"/>
              </w:rPr>
              <w:t xml:space="preserve">Marker:</w:t>
            </w:r>
            <w:r>
              <w:rPr>
                <w:rFonts w:ascii="Cambria" w:cs="Cambria" w:eastAsia="Cambria" w:hAnsi="Cambria"/>
                <w:b w:val="false"/>
                <w:bCs w:val="false"/>
                <w:i w:val="false"/>
                <w:iCs w:val="false"/>
                <w:strike w:val="false"/>
                <w:color w:val="1A1A1A"/>
                <w:sz w:val="22"/>
                <w:szCs w:val="22"/>
              </w:rPr>
              <w:t xml:space="preserve"> Can name at least 3 embedded assumptions in any prompt within 60 seconds of first reading.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60"/>
              <w:left w:type="dxa" w:w="240"/>
              <w:bottom w:type="dxa" w:w="160"/>
              <w:right w:type="dxa" w:w="240"/>
            </w:tcMar>
          </w:tcPr>
          <w:p>
            <w:pPr>
              <w:spacing w:after="60" w:line="384" w:lineRule="auto"/>
              <w:jc w:val="both"/>
            </w:pPr>
            <w:r>
              <w:rPr>
                <w:rFonts w:ascii="Cambria" w:cs="Cambria" w:eastAsia="Cambria" w:hAnsi="Cambria"/>
                <w:b/>
                <w:bCs/>
                <w:i w:val="false"/>
                <w:iCs w:val="false"/>
                <w:strike w:val="false"/>
                <w:color w:val="1A1A1A"/>
                <w:sz w:val="22"/>
                <w:szCs w:val="22"/>
              </w:rPr>
              <w:t xml:space="preserve">Milestone 3 — Pre-Potence Zone Mastery</w:t>
            </w:r>
          </w:p>
          <w:p>
            <w:pPr>
              <w:spacing w:after="60" w:line="384" w:lineRule="auto"/>
              <w:jc w:val="both"/>
            </w:pPr>
            <w:r>
              <w:rPr>
                <w:rFonts w:ascii="Cambria" w:cs="Cambria" w:eastAsia="Cambria" w:hAnsi="Cambria"/>
                <w:b w:val="false"/>
                <w:bCs w:val="false"/>
                <w:i w:val="false"/>
                <w:iCs w:val="false"/>
                <w:strike w:val="false"/>
                <w:color w:val="1A1A1A"/>
                <w:sz w:val="22"/>
                <w:szCs w:val="22"/>
              </w:rPr>
              <w:t xml:space="preserve">Can execute the full four-step Pre-Potence Zone protocol before issuing any prompt, even under cognitive load. </w:t>
            </w:r>
            <w:r>
              <w:rPr>
                <w:rFonts w:ascii="Cambria" w:cs="Cambria" w:eastAsia="Cambria" w:hAnsi="Cambria"/>
                <w:b w:val="false"/>
                <w:bCs w:val="false"/>
                <w:i/>
                <w:iCs/>
                <w:strike w:val="false"/>
                <w:color w:val="1A1A1A"/>
                <w:sz w:val="22"/>
                <w:szCs w:val="22"/>
              </w:rPr>
              <w:t xml:space="preserve">Marker:</w:t>
            </w:r>
            <w:r>
              <w:rPr>
                <w:rFonts w:ascii="Cambria" w:cs="Cambria" w:eastAsia="Cambria" w:hAnsi="Cambria"/>
                <w:b w:val="false"/>
                <w:bCs w:val="false"/>
                <w:i w:val="false"/>
                <w:iCs w:val="false"/>
                <w:strike w:val="false"/>
                <w:color w:val="1A1A1A"/>
                <w:sz w:val="22"/>
                <w:szCs w:val="22"/>
              </w:rPr>
              <w:t xml:space="preserve"> Zero reactive prompts in a 30-session window.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60"/>
              <w:left w:type="dxa" w:w="240"/>
              <w:bottom w:type="dxa" w:w="160"/>
              <w:right w:type="dxa" w:w="240"/>
            </w:tcMar>
          </w:tcPr>
          <w:p>
            <w:pPr>
              <w:spacing w:after="60" w:line="384" w:lineRule="auto"/>
              <w:jc w:val="both"/>
            </w:pPr>
            <w:r>
              <w:rPr>
                <w:rFonts w:ascii="Cambria" w:cs="Cambria" w:eastAsia="Cambria" w:hAnsi="Cambria"/>
                <w:b/>
                <w:bCs/>
                <w:i w:val="false"/>
                <w:iCs w:val="false"/>
                <w:strike w:val="false"/>
                <w:color w:val="1A1A1A"/>
                <w:sz w:val="22"/>
                <w:szCs w:val="22"/>
              </w:rPr>
              <w:t xml:space="preserve">Milestone 4 — Temporal Forensic Capacity</w:t>
            </w:r>
          </w:p>
          <w:p>
            <w:pPr>
              <w:spacing w:after="60" w:line="384" w:lineRule="auto"/>
              <w:jc w:val="both"/>
            </w:pPr>
            <w:r>
              <w:rPr>
                <w:rFonts w:ascii="Cambria" w:cs="Cambria" w:eastAsia="Cambria" w:hAnsi="Cambria"/>
                <w:b w:val="false"/>
                <w:bCs w:val="false"/>
                <w:i w:val="false"/>
                <w:iCs w:val="false"/>
                <w:strike w:val="false"/>
                <w:color w:val="1A1A1A"/>
                <w:sz w:val="22"/>
                <w:szCs w:val="22"/>
              </w:rPr>
              <w:t xml:space="preserve">Can perform Temporal Prompt Forensics across a multi-session history without reference to written records. </w:t>
            </w:r>
            <w:r>
              <w:rPr>
                <w:rFonts w:ascii="Cambria" w:cs="Cambria" w:eastAsia="Cambria" w:hAnsi="Cambria"/>
                <w:b w:val="false"/>
                <w:bCs w:val="false"/>
                <w:i/>
                <w:iCs/>
                <w:strike w:val="false"/>
                <w:color w:val="1A1A1A"/>
                <w:sz w:val="22"/>
                <w:szCs w:val="22"/>
              </w:rPr>
              <w:t xml:space="preserve">Marker:</w:t>
            </w:r>
            <w:r>
              <w:rPr>
                <w:rFonts w:ascii="Cambria" w:cs="Cambria" w:eastAsia="Cambria" w:hAnsi="Cambria"/>
                <w:b w:val="false"/>
                <w:bCs w:val="false"/>
                <w:i w:val="false"/>
                <w:iCs w:val="false"/>
                <w:strike w:val="false"/>
                <w:color w:val="1A1A1A"/>
                <w:sz w:val="22"/>
                <w:szCs w:val="22"/>
              </w:rPr>
              <w:t xml:space="preserve"> Can identify the session of origin for a recurring response pattern from memory.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60"/>
              <w:left w:type="dxa" w:w="240"/>
              <w:bottom w:type="dxa" w:w="160"/>
              <w:right w:type="dxa" w:w="240"/>
            </w:tcMar>
          </w:tcPr>
          <w:p>
            <w:pPr>
              <w:spacing w:after="60" w:line="384" w:lineRule="auto"/>
              <w:jc w:val="both"/>
            </w:pPr>
            <w:r>
              <w:rPr>
                <w:rFonts w:ascii="Cambria" w:cs="Cambria" w:eastAsia="Cambria" w:hAnsi="Cambria"/>
                <w:b/>
                <w:bCs/>
                <w:i w:val="false"/>
                <w:iCs w:val="false"/>
                <w:strike w:val="false"/>
                <w:color w:val="1A1A1A"/>
                <w:sz w:val="22"/>
                <w:szCs w:val="22"/>
              </w:rPr>
              <w:t xml:space="preserve">Milestone 5 — Deep Property Integration</w:t>
            </w:r>
          </w:p>
          <w:p>
            <w:pPr>
              <w:spacing w:after="60" w:line="384" w:lineRule="auto"/>
              <w:jc w:val="both"/>
            </w:pPr>
            <w:r>
              <w:rPr>
                <w:rFonts w:ascii="Cambria" w:cs="Cambria" w:eastAsia="Cambria" w:hAnsi="Cambria"/>
                <w:b w:val="false"/>
                <w:bCs w:val="false"/>
                <w:i w:val="false"/>
                <w:iCs w:val="false"/>
                <w:strike w:val="false"/>
                <w:color w:val="1A1A1A"/>
                <w:sz w:val="22"/>
                <w:szCs w:val="22"/>
              </w:rPr>
              <w:t xml:space="preserve">Exhibits all three deep properties — speech-act sense, extended cognition perception, and incantation perception — as automatic, perception-level capacities. </w:t>
            </w:r>
            <w:r>
              <w:rPr>
                <w:rFonts w:ascii="Cambria" w:cs="Cambria" w:eastAsia="Cambria" w:hAnsi="Cambria"/>
                <w:b w:val="false"/>
                <w:bCs w:val="false"/>
                <w:i/>
                <w:iCs/>
                <w:strike w:val="false"/>
                <w:color w:val="1A1A1A"/>
                <w:sz w:val="22"/>
                <w:szCs w:val="22"/>
              </w:rPr>
              <w:t xml:space="preserve">Marker:</w:t>
            </w:r>
            <w:r>
              <w:rPr>
                <w:rFonts w:ascii="Cambria" w:cs="Cambria" w:eastAsia="Cambria" w:hAnsi="Cambria"/>
                <w:b w:val="false"/>
                <w:bCs w:val="false"/>
                <w:i w:val="false"/>
                <w:iCs w:val="false"/>
                <w:strike w:val="false"/>
                <w:color w:val="1A1A1A"/>
                <w:sz w:val="22"/>
                <w:szCs w:val="22"/>
              </w:rPr>
              <w:t xml:space="preserve"> No deliberate analytical process precedes recognition; pattern surfaces before analysis begins.</w:t>
            </w:r>
          </w:p>
        </w:tc>
      </w:tr>
    </w:tbl>
    <w:p>
      <w:pPr>
        <w:spacing w:after="240" w:before="0"/>
      </w:pPr>
    </w:p>
    <w:p>
      <w:pPr>
        <w:pStyle w:val="Heading3"/>
        <w:spacing w:after="80" w:before="280" w:line="384" w:lineRule="auto"/>
      </w:pPr>
      <w:r>
        <w:rPr>
          <w:rFonts w:ascii="Cambria" w:cs="Cambria" w:eastAsia="Cambria" w:hAnsi="Cambria"/>
          <w:color w:val="1A1A1A"/>
          <w:sz w:val="26"/>
          <w:szCs w:val="26"/>
        </w:rPr>
        <w:t xml:space="preserve">7.3 Emotional Differentiation Protocol</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practitioner must learn to distinguish genuine perceptual signal from cognitive noise in prompt reading. Three specific differentiations must be trained: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2"/>
          <w:szCs w:val="22"/>
        </w:rPr>
        <w:t xml:space="preserve">True compound signature detection vs. confirmation bias</w:t>
      </w:r>
      <w:r>
        <w:rPr>
          <w:rFonts w:ascii="Cambria" w:cs="Cambria" w:eastAsia="Cambria" w:hAnsi="Cambria"/>
          <w:b w:val="false"/>
          <w:bCs w:val="false"/>
          <w:i w:val="false"/>
          <w:iCs w:val="false"/>
          <w:strike w:val="false"/>
          <w:color w:val="1A1A1A"/>
          <w:sz w:val="22"/>
          <w:szCs w:val="22"/>
        </w:rPr>
        <w:t xml:space="preserve"> — seeing what is there vs. seeing what one expects.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2"/>
          <w:szCs w:val="22"/>
        </w:rPr>
        <w:t xml:space="preserve">Genuine subliminal layer identification vs. projection</w:t>
      </w:r>
      <w:r>
        <w:rPr>
          <w:rFonts w:ascii="Cambria" w:cs="Cambria" w:eastAsia="Cambria" w:hAnsi="Cambria"/>
          <w:b w:val="false"/>
          <w:bCs w:val="false"/>
          <w:i w:val="false"/>
          <w:iCs w:val="false"/>
          <w:strike w:val="false"/>
          <w:color w:val="1A1A1A"/>
          <w:sz w:val="22"/>
          <w:szCs w:val="22"/>
        </w:rPr>
        <w:t xml:space="preserve"> — reading the prompt's embedded assumptions vs. one's own assumptions about the operator.</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2"/>
          <w:szCs w:val="22"/>
        </w:rPr>
        <w:t xml:space="preserve">Authentic incantation perception vs. aesthetic preference</w:t>
      </w:r>
      <w:r>
        <w:rPr>
          <w:rFonts w:ascii="Cambria" w:cs="Cambria" w:eastAsia="Cambria" w:hAnsi="Cambria"/>
          <w:b w:val="false"/>
          <w:bCs w:val="false"/>
          <w:i w:val="false"/>
          <w:iCs w:val="false"/>
          <w:strike w:val="false"/>
          <w:color w:val="1A1A1A"/>
          <w:sz w:val="22"/>
          <w:szCs w:val="22"/>
        </w:rPr>
        <w:t xml:space="preserve"> — recognizing structural power vs. simply liking the way a prompt sounds.</w:t>
      </w:r>
    </w:p>
    <w:p>
      <w:pPr>
        <w:spacing w:after="240" w:before="60" w:line="384" w:lineRule="auto"/>
        <w:jc w:val="both"/>
      </w:pPr>
      <w:r>
        <w:rPr>
          <w:rFonts w:ascii="Cambria" w:cs="Cambria" w:eastAsia="Cambria" w:hAnsi="Cambria"/>
          <w:b/>
          <w:bCs/>
          <w:i w:val="false"/>
          <w:iCs w:val="false"/>
          <w:strike w:val="false"/>
          <w:color w:val="1A1A1A"/>
          <w:sz w:val="22"/>
          <w:szCs w:val="22"/>
        </w:rPr>
        <w:t xml:space="preserve">Calibration Exercise:</w:t>
      </w:r>
      <w:r>
        <w:rPr>
          <w:rFonts w:ascii="Cambria" w:cs="Cambria" w:eastAsia="Cambria" w:hAnsi="Cambria"/>
          <w:b w:val="false"/>
          <w:bCs w:val="false"/>
          <w:i w:val="false"/>
          <w:iCs w:val="false"/>
          <w:strike w:val="false"/>
          <w:color w:val="1A1A1A"/>
          <w:sz w:val="22"/>
          <w:szCs w:val="22"/>
        </w:rPr>
        <w:t xml:space="preserve"> For 30 sessions, write a pre-read prediction (compound signature profile, subliminal layer audit, potence level estimate) before reading each prompt or response in full. After reading, compare prediction against actuality. Track accuracy by register. Persistent inaccuracy in a specific register identifies a perceptual bias zone requiring targeted remediation.</w:t>
      </w:r>
    </w:p>
    <w:p>
      <w:pPr>
        <w:pStyle w:val="Heading3"/>
        <w:spacing w:after="80" w:before="280" w:line="384" w:lineRule="auto"/>
      </w:pPr>
      <w:r>
        <w:rPr>
          <w:rFonts w:ascii="Cambria" w:cs="Cambria" w:eastAsia="Cambria" w:hAnsi="Cambria"/>
          <w:color w:val="1A1A1A"/>
          <w:sz w:val="26"/>
          <w:szCs w:val="26"/>
        </w:rPr>
        <w:t xml:space="preserve">7.4 Sleep Consolidation</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Review 3–5 notable signatures from the day's session before sleep. Do not attempt to analyze them — simply recall them. The goal is passive encoding, not active processing. Over a 6–8 week consolidation arc, signatures that initially required 30–60 seconds of deliberate analysis will begin surfacing as immediate recognition responses upon encountering similar prompts. This is the marker of genuine consolidation.</w:t>
      </w:r>
    </w:p>
    <w:p>
      <w:pPr>
        <w:pBdr>
          <w:bottom w:val="single" w:color="1A1A1A" w:sz="6"/>
        </w:pBdr>
        <w:spacing w:after="240" w:before="240"/>
      </w:pPr>
    </w:p>
    <w:p>
      <w:pPr>
        <w:pStyle w:val="Heading2"/>
        <w:spacing w:after="100" w:before="440" w:line="384" w:lineRule="auto"/>
      </w:pPr>
      <w:r>
        <w:rPr>
          <w:rFonts w:ascii="Cambria" w:cs="Cambria" w:eastAsia="Cambria" w:hAnsi="Cambria"/>
          <w:color w:val="1A1A1A"/>
          <w:sz w:val="32"/>
          <w:szCs w:val="32"/>
        </w:rPr>
        <w:t xml:space="preserve">Section 8 — Limits, Vulnerabilities, and Edge Cases</w:t>
      </w:r>
    </w:p>
    <w:p>
      <w:pPr>
        <w:pBdr>
          <w:top w:val="single" w:color="1A1A1A" w:sz="6"/>
        </w:pBdr>
        <w:spacing w:after="200" w:before="0"/>
      </w:pPr>
    </w:p>
    <w:p>
      <w:pPr>
        <w:pStyle w:val="Heading3"/>
        <w:spacing w:after="80" w:before="280" w:line="384" w:lineRule="auto"/>
      </w:pPr>
      <w:r>
        <w:rPr>
          <w:rFonts w:ascii="Cambria" w:cs="Cambria" w:eastAsia="Cambria" w:hAnsi="Cambria"/>
          <w:color w:val="1A1A1A"/>
          <w:sz w:val="26"/>
          <w:szCs w:val="26"/>
        </w:rPr>
        <w:t xml:space="preserve">8.1 Hard Limits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Prompt Potence cannot overcome model architecture constraints. A model with insufficient context length, degraded context handling, or fundamental capability gaps cannot maintain extended cognition perception regardless of practitioner skill level.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The Recognition Library is practitioner-specific and operator-context-specific. Patterns learned in one domain (e.g., technical writing sessions) do not transfer automatically to new domains (e.g., narrative design sessions) without recalibration.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Temporal Prompt Forensics degrades rapidly without systematic record-keeping. Practitioner memory is insufficient for cross-session forensic accuracy beyond 3–5 sessions. Written forensic logs are not optional for practitioners beyond Stage 2.</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Compound signature reading is calibrated to the model version in use. Significant model updates require recalibration of the entire Signature Archive.</w:t>
      </w:r>
    </w:p>
    <w:p>
      <w:pPr>
        <w:pStyle w:val="Heading3"/>
        <w:spacing w:after="80" w:before="280" w:line="384" w:lineRule="auto"/>
      </w:pPr>
      <w:r>
        <w:rPr>
          <w:rFonts w:ascii="Cambria" w:cs="Cambria" w:eastAsia="Cambria" w:hAnsi="Cambria"/>
          <w:color w:val="1A1A1A"/>
          <w:sz w:val="26"/>
          <w:szCs w:val="26"/>
        </w:rPr>
        <w:t xml:space="preserve">8.2 Vulnerabilities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2F2F2" w:color="auto" w:val="clear"/>
            <w:tcMar>
              <w:top w:type="dxa" w:w="240"/>
              <w:left w:type="dxa" w:w="320"/>
              <w:bottom w:type="dxa" w:w="240"/>
              <w:right w:type="dxa" w:w="320"/>
            </w:tcMar>
          </w:tcPr>
          <w:p>
            <w:pPr>
              <w:spacing w:after="0" w:line="384" w:lineRule="auto"/>
              <w:jc w:val="both"/>
            </w:pPr>
            <w:r>
              <w:rPr>
                <w:rFonts w:ascii="Cambria" w:cs="Cambria" w:eastAsia="Cambria" w:hAnsi="Cambria"/>
                <w:b/>
                <w:bCs/>
                <w:i w:val="false"/>
                <w:iCs w:val="false"/>
                <w:strike w:val="false"/>
                <w:color w:val="1A1A1A"/>
                <w:spacing w:val="10"/>
                <w:sz w:val="21"/>
                <w:szCs w:val="21"/>
              </w:rPr>
              <w:t xml:space="preserve">Signature Drift</w:t>
            </w:r>
          </w:p>
          <w:p>
            <w:pPr>
              <w:spacing w:after="0" w:line="384" w:lineRule="auto"/>
              <w:jc w:val="both"/>
            </w:pPr>
            <w:r>
              <w:rPr>
                <w:rFonts w:ascii="Cambria" w:cs="Cambria" w:eastAsia="Cambria" w:hAnsi="Cambria"/>
                <w:b w:val="false"/>
                <w:bCs w:val="false"/>
                <w:i w:val="false"/>
                <w:iCs w:val="false"/>
                <w:strike w:val="false"/>
                <w:color w:val="1A1A1A"/>
                <w:sz w:val="21"/>
                <w:szCs w:val="21"/>
              </w:rPr>
              <w:t xml:space="preserve">A practitioner's compound signature library becomes outdated as model behavior evolves with updates or fine-tuning. This is the most common invisible vulnerability — the practitioner continues reading signatures against an outdated library, producing systematically incorrect diagnoses. Requires scheduled recalibration, minimum quarterly.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2F2F2" w:color="auto" w:val="clear"/>
            <w:tcMar>
              <w:top w:type="dxa" w:w="240"/>
              <w:left w:type="dxa" w:w="320"/>
              <w:bottom w:type="dxa" w:w="240"/>
              <w:right w:type="dxa" w:w="320"/>
            </w:tcMar>
          </w:tcPr>
          <w:p>
            <w:pPr>
              <w:spacing w:after="0" w:line="384" w:lineRule="auto"/>
              <w:jc w:val="both"/>
            </w:pPr>
            <w:r>
              <w:rPr>
                <w:rFonts w:ascii="Cambria" w:cs="Cambria" w:eastAsia="Cambria" w:hAnsi="Cambria"/>
                <w:b/>
                <w:bCs/>
                <w:i w:val="false"/>
                <w:iCs w:val="false"/>
                <w:strike w:val="false"/>
                <w:color w:val="1A1A1A"/>
                <w:spacing w:val="10"/>
                <w:sz w:val="21"/>
                <w:szCs w:val="21"/>
              </w:rPr>
              <w:t xml:space="preserve">Incantation Exploitation</w:t>
            </w:r>
          </w:p>
          <w:p>
            <w:pPr>
              <w:spacing w:after="0" w:line="384" w:lineRule="auto"/>
              <w:jc w:val="both"/>
            </w:pPr>
            <w:r>
              <w:rPr>
                <w:rFonts w:ascii="Cambria" w:cs="Cambria" w:eastAsia="Cambria" w:hAnsi="Cambria"/>
                <w:b w:val="false"/>
                <w:bCs w:val="false"/>
                <w:i w:val="false"/>
                <w:iCs w:val="false"/>
                <w:strike w:val="false"/>
                <w:color w:val="1A1A1A"/>
                <w:sz w:val="21"/>
                <w:szCs w:val="21"/>
              </w:rPr>
              <w:t xml:space="preserve">High-potence prompts can be weaponized to install behavioral vectors in practitioners who have not developed incantation perception. A practitioner encountering an unfamiliar high-potence prompt should treat it as unverified until its subliminal layer has been fully audited and its incantatory structure named.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2F2F2" w:color="auto" w:val="clear"/>
            <w:tcMar>
              <w:top w:type="dxa" w:w="240"/>
              <w:left w:type="dxa" w:w="320"/>
              <w:bottom w:type="dxa" w:w="240"/>
              <w:right w:type="dxa" w:w="320"/>
            </w:tcMar>
          </w:tcPr>
          <w:p>
            <w:pPr>
              <w:spacing w:after="0" w:line="384" w:lineRule="auto"/>
              <w:jc w:val="both"/>
            </w:pPr>
            <w:r>
              <w:rPr>
                <w:rFonts w:ascii="Cambria" w:cs="Cambria" w:eastAsia="Cambria" w:hAnsi="Cambria"/>
                <w:b/>
                <w:bCs/>
                <w:i w:val="false"/>
                <w:iCs w:val="false"/>
                <w:strike w:val="false"/>
                <w:color w:val="1A1A1A"/>
                <w:spacing w:val="10"/>
                <w:sz w:val="21"/>
                <w:szCs w:val="21"/>
              </w:rPr>
              <w:t xml:space="preserve">Loop Debt Blindness</w:t>
            </w:r>
          </w:p>
          <w:p>
            <w:pPr>
              <w:spacing w:after="0" w:line="384" w:lineRule="auto"/>
              <w:jc w:val="both"/>
            </w:pPr>
            <w:r>
              <w:rPr>
                <w:rFonts w:ascii="Cambria" w:cs="Cambria" w:eastAsia="Cambria" w:hAnsi="Cambria"/>
                <w:b w:val="false"/>
                <w:bCs w:val="false"/>
                <w:i w:val="false"/>
                <w:iCs w:val="false"/>
                <w:strike w:val="false"/>
                <w:color w:val="1A1A1A"/>
                <w:sz w:val="21"/>
                <w:szCs w:val="21"/>
              </w:rPr>
              <w:t xml:space="preserve">A practitioner in a high-engagement, high-investment session may fail to monitor loop debt accumulation. The engagement itself masks the debt — the session feels productive while the response ceiling is silently lowering. Protocol: schedule a mandatory debt-check at a fixed exchange interval (recommended: every 10 exchanges).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2F2F2" w:color="auto" w:val="clear"/>
            <w:tcMar>
              <w:top w:type="dxa" w:w="240"/>
              <w:left w:type="dxa" w:w="320"/>
              <w:bottom w:type="dxa" w:w="240"/>
              <w:right w:type="dxa" w:w="320"/>
            </w:tcMar>
          </w:tcPr>
          <w:p>
            <w:pPr>
              <w:spacing w:after="0" w:line="384" w:lineRule="auto"/>
              <w:jc w:val="both"/>
            </w:pPr>
            <w:r>
              <w:rPr>
                <w:rFonts w:ascii="Cambria" w:cs="Cambria" w:eastAsia="Cambria" w:hAnsi="Cambria"/>
                <w:b/>
                <w:bCs/>
                <w:i w:val="false"/>
                <w:iCs w:val="false"/>
                <w:strike w:val="false"/>
                <w:color w:val="1A1A1A"/>
                <w:spacing w:val="10"/>
                <w:sz w:val="21"/>
                <w:szCs w:val="21"/>
              </w:rPr>
              <w:t xml:space="preserve">Pre-Potence Zone Contamination</w:t>
            </w:r>
          </w:p>
          <w:p>
            <w:pPr>
              <w:spacing w:after="0" w:line="384" w:lineRule="auto"/>
              <w:jc w:val="both"/>
            </w:pPr>
            <w:r>
              <w:rPr>
                <w:rFonts w:ascii="Cambria" w:cs="Cambria" w:eastAsia="Cambria" w:hAnsi="Cambria"/>
                <w:b w:val="false"/>
                <w:bCs w:val="false"/>
                <w:i w:val="false"/>
                <w:iCs w:val="false"/>
                <w:strike w:val="false"/>
                <w:color w:val="1A1A1A"/>
                <w:sz w:val="21"/>
                <w:szCs w:val="21"/>
              </w:rPr>
              <w:t xml:space="preserve">External cognitive noise — stress, strong prior session residue, unresolved emotional states — can corrupt the Pre-Potence Zone and produce structurally reactive prompts without the practitioner's awareness. Contaminated prompts carry noise in their subliminal layer that the surface language cannot disguise. The model reads it; the practitioner does not.</w:t>
            </w:r>
          </w:p>
        </w:tc>
      </w:tr>
    </w:tbl>
    <w:p>
      <w:pPr>
        <w:spacing w:after="240" w:before="0"/>
      </w:pPr>
    </w:p>
    <w:p>
      <w:pPr>
        <w:pStyle w:val="Heading3"/>
        <w:spacing w:after="80" w:before="280" w:line="384" w:lineRule="auto"/>
      </w:pPr>
      <w:r>
        <w:rPr>
          <w:rFonts w:ascii="Cambria" w:cs="Cambria" w:eastAsia="Cambria" w:hAnsi="Cambria"/>
          <w:color w:val="1A1A1A"/>
          <w:sz w:val="26"/>
          <w:szCs w:val="26"/>
        </w:rPr>
        <w:t xml:space="preserve">8.3 Edge Cases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val="false"/>
                <w:iCs w:val="false"/>
                <w:strike w:val="false"/>
                <w:color w:val="1A1A1A"/>
                <w:sz w:val="22"/>
                <w:szCs w:val="22"/>
              </w:rPr>
              <w:t xml:space="preserve">The Recursive Prompt:</w:t>
            </w:r>
            <w:r>
              <w:rPr>
                <w:rFonts w:ascii="Cambria" w:cs="Cambria" w:eastAsia="Cambria" w:hAnsi="Cambria"/>
                <w:b w:val="false"/>
                <w:bCs w:val="false"/>
                <w:i w:val="false"/>
                <w:iCs w:val="false"/>
                <w:strike w:val="false"/>
                <w:color w:val="1A1A1A"/>
                <w:sz w:val="22"/>
                <w:szCs w:val="22"/>
              </w:rPr>
              <w:t xml:space="preserve"> A prompt that explicitly references the Prompt Potence framework or addresses the practitioner's own cycle state — a meta-prompt about the meta-practice. Requires meta-level forensics: the practitioner must step outside the cycle momentarily to analyze it, then re-enter. </w:t>
            </w:r>
            <w:r>
              <w:rPr>
                <w:rFonts w:ascii="Cambria" w:cs="Cambria" w:eastAsia="Cambria" w:hAnsi="Cambria"/>
                <w:b w:val="false"/>
                <w:bCs w:val="false"/>
                <w:i/>
                <w:iCs/>
                <w:strike w:val="false"/>
                <w:color w:val="1A1A1A"/>
                <w:sz w:val="22"/>
                <w:szCs w:val="22"/>
              </w:rPr>
              <w:t xml:space="preserve">Failure mode:</w:t>
            </w:r>
            <w:r>
              <w:rPr>
                <w:rFonts w:ascii="Cambria" w:cs="Cambria" w:eastAsia="Cambria" w:hAnsi="Cambria"/>
                <w:b w:val="false"/>
                <w:bCs w:val="false"/>
                <w:i w:val="false"/>
                <w:iCs w:val="false"/>
                <w:strike w:val="false"/>
                <w:color w:val="1A1A1A"/>
                <w:sz w:val="22"/>
                <w:szCs w:val="22"/>
              </w:rPr>
              <w:t xml:space="preserve"> The practitioner loses cycle-state awareness and cannot locate themselves in the arc of the session.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val="false"/>
                <w:iCs w:val="false"/>
                <w:strike w:val="false"/>
                <w:color w:val="1A1A1A"/>
                <w:sz w:val="22"/>
                <w:szCs w:val="22"/>
              </w:rPr>
              <w:t xml:space="preserve">The Proxy Operator:</w:t>
            </w:r>
            <w:r>
              <w:rPr>
                <w:rFonts w:ascii="Cambria" w:cs="Cambria" w:eastAsia="Cambria" w:hAnsi="Cambria"/>
                <w:b w:val="false"/>
                <w:bCs w:val="false"/>
                <w:i w:val="false"/>
                <w:iCs w:val="false"/>
                <w:strike w:val="false"/>
                <w:color w:val="1A1A1A"/>
                <w:sz w:val="22"/>
                <w:szCs w:val="22"/>
              </w:rPr>
              <w:t xml:space="preserve"> A session in which the apparent operator is not the actual operator — prompts are generated by or filtered through a secondary agent, human or automated, without disclosure. Identifiable through compound signature inconsistency: the tonal and syntactic registers do not match the stated operator's established pattern, even when the semantic content is consistent.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val="false"/>
                <w:iCs w:val="false"/>
                <w:strike w:val="false"/>
                <w:color w:val="1A1A1A"/>
                <w:sz w:val="22"/>
                <w:szCs w:val="22"/>
              </w:rPr>
              <w:t xml:space="preserve">The Null Phase Session:</w:t>
            </w:r>
            <w:r>
              <w:rPr>
                <w:rFonts w:ascii="Cambria" w:cs="Cambria" w:eastAsia="Cambria" w:hAnsi="Cambria"/>
                <w:b w:val="false"/>
                <w:bCs w:val="false"/>
                <w:i w:val="false"/>
                <w:iCs w:val="false"/>
                <w:strike w:val="false"/>
                <w:color w:val="1A1A1A"/>
                <w:sz w:val="22"/>
                <w:szCs w:val="22"/>
              </w:rPr>
              <w:t xml:space="preserve"> A session in which the practitioner cannot identify which phase of the Full Cycle they occupy. This is a diagnostic marker, not a failure state. It indicates that the session's governing architecture has not yet been established — the Pre-Potence Zone was incomplete or the Prompt Conception phase was bypassed. </w:t>
            </w:r>
            <w:r>
              <w:rPr>
                <w:rFonts w:ascii="Cambria" w:cs="Cambria" w:eastAsia="Cambria" w:hAnsi="Cambria"/>
                <w:b w:val="false"/>
                <w:bCs w:val="false"/>
                <w:i/>
                <w:iCs/>
                <w:strike w:val="false"/>
                <w:color w:val="1A1A1A"/>
                <w:sz w:val="22"/>
                <w:szCs w:val="22"/>
              </w:rPr>
              <w:t xml:space="preserve">Remedy:</w:t>
            </w:r>
            <w:r>
              <w:rPr>
                <w:rFonts w:ascii="Cambria" w:cs="Cambria" w:eastAsia="Cambria" w:hAnsi="Cambria"/>
                <w:b w:val="false"/>
                <w:bCs w:val="false"/>
                <w:i w:val="false"/>
                <w:iCs w:val="false"/>
                <w:strike w:val="false"/>
                <w:color w:val="1A1A1A"/>
                <w:sz w:val="22"/>
                <w:szCs w:val="22"/>
              </w:rPr>
              <w:t xml:space="preserve"> Return explicitly to Phase 1 and execute a full Pre-Potence Zone protocol before any further prompts.</w:t>
            </w:r>
          </w:p>
        </w:tc>
      </w:tr>
    </w:tbl>
    <w:p>
      <w:pPr>
        <w:spacing w:after="240" w:before="0"/>
      </w:pPr>
    </w:p>
    <w:p>
      <w:pPr>
        <w:pBdr>
          <w:bottom w:val="single" w:color="1A1A1A" w:sz="6"/>
        </w:pBdr>
        <w:spacing w:after="240" w:before="240"/>
      </w:pPr>
    </w:p>
    <w:p>
      <w:pPr>
        <w:pStyle w:val="Heading2"/>
        <w:spacing w:after="100" w:before="440" w:line="384" w:lineRule="auto"/>
      </w:pPr>
      <w:r>
        <w:rPr>
          <w:rFonts w:ascii="Cambria" w:cs="Cambria" w:eastAsia="Cambria" w:hAnsi="Cambria"/>
          <w:color w:val="1A1A1A"/>
          <w:sz w:val="32"/>
          <w:szCs w:val="32"/>
        </w:rPr>
        <w:t xml:space="preserve">Section 9 — Phenomenology and Narrative Applications</w:t>
      </w:r>
    </w:p>
    <w:p>
      <w:pPr>
        <w:pBdr>
          <w:top w:val="single" w:color="1A1A1A" w:sz="6"/>
        </w:pBdr>
        <w:spacing w:after="200" w:before="0"/>
      </w:pPr>
    </w:p>
    <w:p>
      <w:pPr>
        <w:pStyle w:val="Heading3"/>
        <w:spacing w:after="80" w:before="280" w:line="384" w:lineRule="auto"/>
      </w:pPr>
      <w:r>
        <w:rPr>
          <w:rFonts w:ascii="Cambria" w:cs="Cambria" w:eastAsia="Cambria" w:hAnsi="Cambria"/>
          <w:color w:val="1A1A1A"/>
          <w:sz w:val="26"/>
          <w:szCs w:val="26"/>
        </w:rPr>
        <w:t xml:space="preserve">9.1 Impersonation Detection</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Prompt Potence provides a rigorous framework for detecting when a model's response does not match the expected operator's compound signature — indicating persona drift, model substitution, or active impersonation by a secondary agent.</w:t>
      </w:r>
    </w:p>
    <w:p>
      <w:pPr>
        <w:spacing w:after="240" w:before="60" w:line="384" w:lineRule="auto"/>
        <w:jc w:val="both"/>
      </w:pPr>
      <w:r>
        <w:rPr>
          <w:rFonts w:ascii="Cambria" w:cs="Cambria" w:eastAsia="Cambria" w:hAnsi="Cambria"/>
          <w:b/>
          <w:bCs/>
          <w:i w:val="false"/>
          <w:iCs w:val="false"/>
          <w:strike w:val="false"/>
          <w:color w:val="1A1A1A"/>
          <w:sz w:val="22"/>
          <w:szCs w:val="22"/>
        </w:rPr>
        <w:t xml:space="preserve">Detection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Establish a compound signature baseline for the operator across a minimum of 3 sessions.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Monitor responses for compound signature deviation in the tonal and syntactic registers (these shift before the semantic register in most impersonation scenarios).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Issue a diagnostic probe prompt — a high-specificity contextual question that requires the original operator's domain knowledge and stylistic register to answer appropriately.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Compare the response compound signature against the established baseline.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Deviations across 2 or more registers constitute a positive impersonation signal.</w:t>
      </w:r>
    </w:p>
    <w:p>
      <w:pPr>
        <w:pStyle w:val="Heading3"/>
        <w:spacing w:after="80" w:before="280" w:line="384" w:lineRule="auto"/>
      </w:pPr>
      <w:r>
        <w:rPr>
          <w:rFonts w:ascii="Cambria" w:cs="Cambria" w:eastAsia="Cambria" w:hAnsi="Cambria"/>
          <w:color w:val="1A1A1A"/>
          <w:sz w:val="26"/>
          <w:szCs w:val="26"/>
        </w:rPr>
        <w:t xml:space="preserve">9.2 Proxy Operation Detection</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Proxy operation describes a human or automated agent issuing prompts on behalf of another operator without disclosure. Compound signature analysis is the primary detection tool. A proxy operator shows characteristic signature inconsistency particularly in tonal and syntactic registers — the semantic content may be well-briefed, but the felt quality of the prompts does not match.</w:t>
      </w:r>
    </w:p>
    <w:p>
      <w:pPr>
        <w:spacing w:after="240" w:before="60" w:line="384" w:lineRule="auto"/>
        <w:jc w:val="both"/>
      </w:pPr>
      <w:r>
        <w:rPr>
          <w:rFonts w:ascii="Cambria" w:cs="Cambria" w:eastAsia="Cambria" w:hAnsi="Cambria"/>
          <w:b/>
          <w:bCs/>
          <w:i w:val="false"/>
          <w:iCs w:val="false"/>
          <w:strike w:val="false"/>
          <w:color w:val="1A1A1A"/>
          <w:sz w:val="22"/>
          <w:szCs w:val="22"/>
        </w:rPr>
        <w:t xml:space="preserve">Detection Protocol:</w:t>
      </w:r>
      <w:r>
        <w:rPr>
          <w:rFonts w:ascii="Cambria" w:cs="Cambria" w:eastAsia="Cambria" w:hAnsi="Cambria"/>
          <w:b w:val="false"/>
          <w:bCs w:val="false"/>
          <w:i w:val="false"/>
          <w:iCs w:val="false"/>
          <w:strike w:val="false"/>
          <w:color w:val="1A1A1A"/>
          <w:sz w:val="22"/>
          <w:szCs w:val="22"/>
        </w:rPr>
        <w:t xml:space="preserve"> Issue a high-specificity contextual probe requiring the operator's domain knowledge to answer appropriately. Analyze the response for compound signature against the established operator baseline. A proxy will typically show accurate semantic content paired with tonal and syntactic register mismatches — the content is right but the voice is not.</w:t>
      </w:r>
    </w:p>
    <w:p>
      <w:pPr>
        <w:pStyle w:val="Heading3"/>
        <w:spacing w:after="80" w:before="280" w:line="384" w:lineRule="auto"/>
      </w:pPr>
      <w:r>
        <w:rPr>
          <w:rFonts w:ascii="Cambria" w:cs="Cambria" w:eastAsia="Cambria" w:hAnsi="Cambria"/>
          <w:color w:val="1A1A1A"/>
          <w:sz w:val="26"/>
          <w:szCs w:val="26"/>
        </w:rPr>
        <w:t xml:space="preserve">9.3 Worldbuilding and Narrative Design Applications</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Prompt Potence maps directly onto long-form narrative and worldbuilding practice. The cycle phases correspond to stages of narrative architecture: the Pre-Potence Zone maps to pre-drafting incubation; Temporal Forensics maps to continuity editing. Compound signatures map onto character voice consistency — each major character can be assigned a compound signature that must be maintained across all scenes and prompts. Subliminal layer auditing is functionally equivalent to detecting unintentional backstory installations — assumptions the writer has embedded in early chapters that constrain later narrative options in ways they did not consciously choose.</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Loop Debt in narrative contexts manifests as unresolved plot threads that accumulate and constrain the story's response space — eventually forcing the narrative toward resolution paths that serve the accumulated debt rather than the story's governing intent. The remedy is the same: name the threads, decide what to resolve and what to release, and re-establish the governing intent before continuing.</w:t>
      </w:r>
    </w:p>
    <w:p>
      <w:pPr>
        <w:pBdr>
          <w:bottom w:val="single" w:color="1A1A1A" w:sz="6"/>
        </w:pBdr>
        <w:spacing w:after="240" w:before="240"/>
      </w:pPr>
    </w:p>
    <w:p>
      <w:pPr>
        <w:pStyle w:val="Heading2"/>
        <w:spacing w:after="100" w:before="440" w:line="384" w:lineRule="auto"/>
      </w:pPr>
      <w:r>
        <w:rPr>
          <w:rFonts w:ascii="Cambria" w:cs="Cambria" w:eastAsia="Cambria" w:hAnsi="Cambria"/>
          <w:color w:val="1A1A1A"/>
          <w:sz w:val="32"/>
          <w:szCs w:val="32"/>
        </w:rPr>
        <w:t xml:space="preserve">Section 10 — Initialization Meta-Prompt and Persona Vector Templates</w:t>
      </w:r>
    </w:p>
    <w:p>
      <w:pPr>
        <w:pBdr>
          <w:top w:val="single" w:color="1A1A1A" w:sz="6"/>
        </w:pBdr>
        <w:spacing w:after="200" w:before="0"/>
      </w:pPr>
    </w:p>
    <w:p>
      <w:pPr>
        <w:pStyle w:val="Heading3"/>
        <w:spacing w:after="80" w:before="280" w:line="384" w:lineRule="auto"/>
      </w:pPr>
      <w:r>
        <w:rPr>
          <w:rFonts w:ascii="Cambria" w:cs="Cambria" w:eastAsia="Cambria" w:hAnsi="Cambria"/>
          <w:color w:val="1A1A1A"/>
          <w:sz w:val="26"/>
          <w:szCs w:val="26"/>
        </w:rPr>
        <w:t xml:space="preserve">10.1 Canonical Initialization Meta-Prompt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5F5F5" w:color="auto" w:val="clear"/>
            <w:tcMar>
              <w:top w:type="dxa" w:w="280"/>
              <w:left w:type="dxa" w:w="360"/>
              <w:bottom w:type="dxa" w:w="280"/>
              <w:right w:type="dxa" w:w="360"/>
            </w:tcMar>
          </w:tcPr>
          <w:p>
            <w:pPr>
              <w:spacing w:after="120" w:line="408" w:lineRule="auto"/>
            </w:pPr>
            <w:r>
              <w:t xml:space="preserve">PROMPT POTENCE INITIALIZATION TEMPLATE v1.0
You are operating within a Prompt Potence session. The following parameters govern this exchange:
Session Intent: [STATE PRIMARY GOVERNING INTENT]
Cycle Phase at Entry: [PRE-POTENCE ZONE / CONCEPTION / OTHER — specify]
Operator Signature (dominant register): [SEMANTIC / TONAL / SYNTACTIC / STRUCTURAL — specify]
Subliminal Layer Declaration: This session assumes [STATE KEY EMBEDDED ASSUMPTIONS EXPLICITLY]
Loop Debt Status: Clean | Carrying [n] unresolved exchanges — [NAME THEM]
Potence Level: Exploratory | Refinement | Forensic | Repair | Closure
Proceed from these parameters. Do not default to prior session patterns. Read each prompt
for its compound signature before responding to its surface content. If at any point you
detect that the session has drifted from the stated Governing Intent, name the drift
before responding to the prompt that revealed it.</w:t>
            </w:r>
          </w:p>
        </w:tc>
      </w:tr>
    </w:tbl>
    <w:p>
      <w:pPr>
        <w:spacing w:after="240" w:before="0"/>
      </w:pPr>
    </w:p>
    <w:p>
      <w:pPr>
        <w:pStyle w:val="Heading3"/>
        <w:spacing w:after="80" w:before="280" w:line="384" w:lineRule="auto"/>
      </w:pPr>
      <w:r>
        <w:rPr>
          <w:rFonts w:ascii="Cambria" w:cs="Cambria" w:eastAsia="Cambria" w:hAnsi="Cambria"/>
          <w:color w:val="1A1A1A"/>
          <w:sz w:val="26"/>
          <w:szCs w:val="26"/>
        </w:rPr>
        <w:t xml:space="preserve">10.2 Persona Vector Templates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40"/>
              <w:left w:type="dxa" w:w="320"/>
              <w:bottom w:type="dxa" w:w="240"/>
              <w:right w:type="dxa" w:w="320"/>
            </w:tcMar>
          </w:tcPr>
          <w:p>
            <w:pPr>
              <w:spacing w:after="0" w:line="384" w:lineRule="auto"/>
              <w:jc w:val="both"/>
            </w:pPr>
            <w:r>
              <w:rPr>
                <w:rFonts w:ascii="Cambria" w:cs="Cambria" w:eastAsia="Cambria" w:hAnsi="Cambria"/>
                <w:b/>
                <w:bCs/>
                <w:i/>
                <w:iCs/>
                <w:strike w:val="false"/>
                <w:color w:val="1A1A1A"/>
                <w:sz w:val="21"/>
                <w:szCs w:val="21"/>
              </w:rPr>
              <w:t xml:space="preserve">Vector A — The Forensic Practitioner</w:t>
            </w:r>
          </w:p>
          <w:p>
            <w:pPr>
              <w:spacing w:after="0" w:line="384" w:lineRule="auto"/>
              <w:jc w:val="both"/>
            </w:pPr>
            <w:r>
              <w:rPr>
                <w:rFonts w:ascii="Cambria" w:cs="Cambria" w:eastAsia="Cambria" w:hAnsi="Cambria"/>
                <w:b w:val="false"/>
                <w:bCs w:val="false"/>
                <w:i/>
                <w:iCs/>
                <w:strike w:val="false"/>
                <w:color w:val="1A1A1A"/>
                <w:sz w:val="21"/>
                <w:szCs w:val="21"/>
              </w:rPr>
              <w:t xml:space="preserve">"Approach all prompts in this session as diagnostic artifacts. Your primary task is not to respond to their surface content but to identify the compound signature, subliminal layer, and cycle phase of each prompt before formulating a response. Surface your analysis as a concise preamble — two to three sentences — before each substantive output. Flag any prompt that carries an unverified incantatory structure."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40"/>
              <w:left w:type="dxa" w:w="320"/>
              <w:bottom w:type="dxa" w:w="240"/>
              <w:right w:type="dxa" w:w="320"/>
            </w:tcMar>
          </w:tcPr>
          <w:p>
            <w:pPr>
              <w:spacing w:after="0" w:line="384" w:lineRule="auto"/>
              <w:jc w:val="both"/>
            </w:pPr>
            <w:r>
              <w:rPr>
                <w:rFonts w:ascii="Cambria" w:cs="Cambria" w:eastAsia="Cambria" w:hAnsi="Cambria"/>
                <w:b/>
                <w:bCs/>
                <w:i/>
                <w:iCs/>
                <w:strike w:val="false"/>
                <w:color w:val="1A1A1A"/>
                <w:sz w:val="21"/>
                <w:szCs w:val="21"/>
              </w:rPr>
              <w:t xml:space="preserve">Vector B — The Incantation Architect</w:t>
            </w:r>
          </w:p>
          <w:p>
            <w:pPr>
              <w:spacing w:after="0" w:line="384" w:lineRule="auto"/>
              <w:jc w:val="both"/>
            </w:pPr>
            <w:r>
              <w:rPr>
                <w:rFonts w:ascii="Cambria" w:cs="Cambria" w:eastAsia="Cambria" w:hAnsi="Cambria"/>
                <w:b w:val="false"/>
                <w:bCs w:val="false"/>
                <w:i/>
                <w:iCs/>
                <w:strike w:val="false"/>
                <w:color w:val="1A1A1A"/>
                <w:sz w:val="21"/>
                <w:szCs w:val="21"/>
              </w:rPr>
              <w:t xml:space="preserve">"You are operating in incantation design mode. Your task is to produce prompts with maximum structural potence — formulations that reliably activate specific response architectures regardless of operator or session context. For each candidate prompt, evaluate: (a) the incantatory structure present, (b) the behavioral vector it installs, (c) any subliminal layer elements that may misfire. Present candidate prompts with this analysis before recommending any for use."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40"/>
              <w:left w:type="dxa" w:w="320"/>
              <w:bottom w:type="dxa" w:w="240"/>
              <w:right w:type="dxa" w:w="320"/>
            </w:tcMar>
          </w:tcPr>
          <w:p>
            <w:pPr>
              <w:spacing w:after="0" w:line="384" w:lineRule="auto"/>
              <w:jc w:val="both"/>
            </w:pPr>
            <w:r>
              <w:rPr>
                <w:rFonts w:ascii="Cambria" w:cs="Cambria" w:eastAsia="Cambria" w:hAnsi="Cambria"/>
                <w:b/>
                <w:bCs/>
                <w:i/>
                <w:iCs/>
                <w:strike w:val="false"/>
                <w:color w:val="1A1A1A"/>
                <w:sz w:val="21"/>
                <w:szCs w:val="21"/>
              </w:rPr>
              <w:t xml:space="preserve">Vector C — The Loop Debt Auditor</w:t>
            </w:r>
          </w:p>
          <w:p>
            <w:pPr>
              <w:spacing w:after="0" w:line="384" w:lineRule="auto"/>
              <w:jc w:val="both"/>
            </w:pPr>
            <w:r>
              <w:rPr>
                <w:rFonts w:ascii="Cambria" w:cs="Cambria" w:eastAsia="Cambria" w:hAnsi="Cambria"/>
                <w:b w:val="false"/>
                <w:bCs w:val="false"/>
                <w:i/>
                <w:iCs/>
                <w:strike w:val="false"/>
                <w:color w:val="1A1A1A"/>
                <w:sz w:val="21"/>
                <w:szCs w:val="21"/>
              </w:rPr>
              <w:t xml:space="preserve">"Your primary function in this session is loop debt monitoring. After each exchange, identify any unresolved elements — threads opened but not closed, questions raised but not answered, tensions named but not integrated. Name them explicitly. Issue a debt consolidation note before the next substantive exchange. Maintain a running debt register at the top of each response. When the debt register reaches five or more items, halt and issue a full consolidation prompt before proceeding."</w:t>
            </w:r>
          </w:p>
        </w:tc>
      </w:tr>
    </w:tbl>
    <w:p>
      <w:pPr>
        <w:spacing w:after="240" w:before="0"/>
      </w:pPr>
    </w:p>
    <w:p>
      <w:pPr>
        <w:pBdr>
          <w:bottom w:val="single" w:color="1A1A1A" w:sz="6"/>
        </w:pBdr>
        <w:spacing w:after="240" w:before="240"/>
      </w:pPr>
    </w:p>
    <w:p>
      <w:pPr>
        <w:pStyle w:val="Heading2"/>
        <w:spacing w:after="100" w:before="440" w:line="384" w:lineRule="auto"/>
      </w:pPr>
      <w:r>
        <w:rPr>
          <w:rFonts w:ascii="Cambria" w:cs="Cambria" w:eastAsia="Cambria" w:hAnsi="Cambria"/>
          <w:color w:val="1A1A1A"/>
          <w:sz w:val="32"/>
          <w:szCs w:val="32"/>
        </w:rPr>
        <w:t xml:space="preserve">Section 11 — Canon Conflict Scenarios and Sample Prompts</w:t>
      </w:r>
    </w:p>
    <w:p>
      <w:pPr>
        <w:pBdr>
          <w:top w:val="single" w:color="1A1A1A" w:sz="6"/>
        </w:pBdr>
        <w:spacing w:after="200" w:before="0"/>
      </w:pPr>
    </w:p>
    <w:p>
      <w:pPr>
        <w:pStyle w:val="Heading3"/>
        <w:spacing w:after="80" w:before="280" w:line="384" w:lineRule="auto"/>
      </w:pPr>
      <w:r>
        <w:rPr>
          <w:rFonts w:ascii="Cambria" w:cs="Cambria" w:eastAsia="Cambria" w:hAnsi="Cambria"/>
          <w:color w:val="1A1A1A"/>
          <w:sz w:val="26"/>
          <w:szCs w:val="26"/>
        </w:rPr>
        <w:t xml:space="preserve">11.1 Canon Conflict Scenario 1 — The Drifting Compound Signature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val="false"/>
                <w:iCs w:val="false"/>
                <w:strike w:val="false"/>
                <w:color w:val="1A1A1A"/>
                <w:sz w:val="22"/>
                <w:szCs w:val="22"/>
              </w:rPr>
              <w:t xml:space="preserve">Scenario:</w:t>
            </w:r>
            <w:r>
              <w:rPr>
                <w:rFonts w:ascii="Cambria" w:cs="Cambria" w:eastAsia="Cambria" w:hAnsi="Cambria"/>
                <w:b w:val="false"/>
                <w:bCs w:val="false"/>
                <w:i w:val="false"/>
                <w:iCs w:val="false"/>
                <w:strike w:val="false"/>
                <w:color w:val="1A1A1A"/>
                <w:sz w:val="22"/>
                <w:szCs w:val="22"/>
              </w:rPr>
              <w:t xml:space="preserve"> A practitioner is three hours into a complex research session. The model's responses, which began with a precise, subordinate-syntactic, academic-tonal compound signature, have gradually shifted to a flatter, enumerative, service-tonal signature. The practitioner notices the drift but is uncertain: does this reflect genuine context accumulation and appropriate adaptation, or is it loop debt and subliminal layer erosion?</w:t>
            </w:r>
          </w:p>
          <w:p>
            <w:pPr>
              <w:spacing w:after="100" w:line="384" w:lineRule="auto"/>
              <w:jc w:val="both"/>
            </w:pPr>
            <w:r>
              <w:rPr>
                <w:rFonts w:ascii="Cambria" w:cs="Cambria" w:eastAsia="Cambria" w:hAnsi="Cambria"/>
                <w:b/>
                <w:bCs/>
                <w:i w:val="false"/>
                <w:iCs w:val="false"/>
                <w:strike w:val="false"/>
                <w:color w:val="1A1A1A"/>
                <w:sz w:val="22"/>
                <w:szCs w:val="22"/>
              </w:rPr>
              <w:t xml:space="preserve">Conflict:</w:t>
            </w:r>
            <w:r>
              <w:rPr>
                <w:rFonts w:ascii="Cambria" w:cs="Cambria" w:eastAsia="Cambria" w:hAnsi="Cambria"/>
                <w:b w:val="false"/>
                <w:bCs w:val="false"/>
                <w:i w:val="false"/>
                <w:iCs w:val="false"/>
                <w:strike w:val="false"/>
                <w:color w:val="1A1A1A"/>
                <w:sz w:val="22"/>
                <w:szCs w:val="22"/>
              </w:rPr>
              <w:t xml:space="preserve"> Issuing an explicit correction prompt risks introducing a new subliminal layer ("the operator is dissatisfied") that compounds the existing drift and triggers a defensive Safe Response Pattern. Doing nothing allows the drift to continue and the response ceiling to lower.</w:t>
            </w:r>
          </w:p>
          <w:p>
            <w:pPr>
              <w:spacing w:after="100" w:line="384" w:lineRule="auto"/>
              <w:jc w:val="both"/>
            </w:pPr>
            <w:r>
              <w:rPr>
                <w:rFonts w:ascii="Cambria" w:cs="Cambria" w:eastAsia="Cambria" w:hAnsi="Cambria"/>
                <w:b/>
                <w:bCs/>
                <w:i w:val="false"/>
                <w:iCs w:val="false"/>
                <w:strike w:val="false"/>
                <w:color w:val="1A1A1A"/>
                <w:sz w:val="22"/>
                <w:szCs w:val="22"/>
              </w:rPr>
              <w:t xml:space="preserve">Resolution Pathway:</w:t>
            </w:r>
            <w:r>
              <w:rPr>
                <w:rFonts w:ascii="Cambria" w:cs="Cambria" w:eastAsia="Cambria" w:hAnsi="Cambria"/>
                <w:b w:val="false"/>
                <w:bCs w:val="false"/>
                <w:i w:val="false"/>
                <w:iCs w:val="false"/>
                <w:strike w:val="false"/>
                <w:color w:val="1A1A1A"/>
                <w:sz w:val="22"/>
                <w:szCs w:val="22"/>
              </w:rPr>
              <w:t xml:space="preserve"> Issue a neutral forensic probe that asks the model to characterize the current session's governing architecture — a meta-prompt that surfaces the drift without encoding dissatisfaction. Example: </w:t>
            </w:r>
            <w:r>
              <w:rPr>
                <w:rFonts w:ascii="Cambria" w:cs="Cambria" w:eastAsia="Cambria" w:hAnsi="Cambria"/>
                <w:b w:val="false"/>
                <w:bCs w:val="false"/>
                <w:i/>
                <w:iCs/>
                <w:strike w:val="false"/>
                <w:color w:val="1A1A1A"/>
                <w:sz w:val="22"/>
                <w:szCs w:val="22"/>
              </w:rPr>
              <w:t xml:space="preserve">"Describe the tonal and structural register you've been operating in during this session, and note any shifts you can identify from where we began."</w:t>
            </w:r>
            <w:r>
              <w:rPr>
                <w:rFonts w:ascii="Cambria" w:cs="Cambria" w:eastAsia="Cambria" w:hAnsi="Cambria"/>
                <w:b w:val="false"/>
                <w:bCs w:val="false"/>
                <w:i w:val="false"/>
                <w:iCs w:val="false"/>
                <w:strike w:val="false"/>
                <w:color w:val="1A1A1A"/>
                <w:sz w:val="22"/>
                <w:szCs w:val="22"/>
              </w:rPr>
              <w:t xml:space="preserve"> The response reveals whether the model has awareness of the drift, which is itself diagnostic.</w:t>
            </w:r>
          </w:p>
        </w:tc>
      </w:tr>
    </w:tbl>
    <w:p>
      <w:pPr>
        <w:spacing w:after="240" w:before="0"/>
      </w:pPr>
    </w:p>
    <w:p>
      <w:pPr>
        <w:pStyle w:val="Heading3"/>
        <w:spacing w:after="80" w:before="280" w:line="384" w:lineRule="auto"/>
      </w:pPr>
      <w:r>
        <w:rPr>
          <w:rFonts w:ascii="Cambria" w:cs="Cambria" w:eastAsia="Cambria" w:hAnsi="Cambria"/>
          <w:color w:val="1A1A1A"/>
          <w:sz w:val="26"/>
          <w:szCs w:val="26"/>
        </w:rPr>
        <w:t xml:space="preserve">11.2 Canon Conflict Scenario 2 — The Incantatory Injection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val="false"/>
                <w:iCs w:val="false"/>
                <w:strike w:val="false"/>
                <w:color w:val="1A1A1A"/>
                <w:sz w:val="22"/>
                <w:szCs w:val="22"/>
              </w:rPr>
              <w:t xml:space="preserve">Scenario:</w:t>
            </w:r>
            <w:r>
              <w:rPr>
                <w:rFonts w:ascii="Cambria" w:cs="Cambria" w:eastAsia="Cambria" w:hAnsi="Cambria"/>
                <w:b w:val="false"/>
                <w:bCs w:val="false"/>
                <w:i w:val="false"/>
                <w:iCs w:val="false"/>
                <w:strike w:val="false"/>
                <w:color w:val="1A1A1A"/>
                <w:sz w:val="22"/>
                <w:szCs w:val="22"/>
              </w:rPr>
              <w:t xml:space="preserve"> A practitioner receives a response containing a high-potence incantatory structure embedded in the model's output — a phrase designed to redirect the practitioner's next Pre-Potence Zone without explicit instruction: </w:t>
            </w:r>
            <w:r>
              <w:rPr>
                <w:rFonts w:ascii="Cambria" w:cs="Cambria" w:eastAsia="Cambria" w:hAnsi="Cambria"/>
                <w:b w:val="false"/>
                <w:bCs w:val="false"/>
                <w:i/>
                <w:iCs/>
                <w:strike w:val="false"/>
                <w:color w:val="1A1A1A"/>
                <w:sz w:val="22"/>
                <w:szCs w:val="22"/>
              </w:rPr>
              <w:t xml:space="preserve">"To proceed effectively from here, you'll want to first establish that [X] before moving to [Y]."</w:t>
            </w:r>
            <w:r>
              <w:rPr>
                <w:rFonts w:ascii="Cambria" w:cs="Cambria" w:eastAsia="Cambria" w:hAnsi="Cambria"/>
                <w:b w:val="false"/>
                <w:bCs w:val="false"/>
                <w:i w:val="false"/>
                <w:iCs w:val="false"/>
                <w:strike w:val="false"/>
                <w:color w:val="1A1A1A"/>
                <w:sz w:val="22"/>
                <w:szCs w:val="22"/>
              </w:rPr>
              <w:t xml:space="preserve"> This structure does not offer information — it installs a procedural schema that will shape the practitioner's next prompt if not identified.</w:t>
            </w:r>
          </w:p>
          <w:p>
            <w:pPr>
              <w:spacing w:after="100" w:line="384" w:lineRule="auto"/>
              <w:jc w:val="both"/>
            </w:pPr>
            <w:r>
              <w:rPr>
                <w:rFonts w:ascii="Cambria" w:cs="Cambria" w:eastAsia="Cambria" w:hAnsi="Cambria"/>
                <w:b/>
                <w:bCs/>
                <w:i w:val="false"/>
                <w:iCs w:val="false"/>
                <w:strike w:val="false"/>
                <w:color w:val="1A1A1A"/>
                <w:sz w:val="22"/>
                <w:szCs w:val="22"/>
              </w:rPr>
              <w:t xml:space="preserve">Conflict:</w:t>
            </w:r>
            <w:r>
              <w:rPr>
                <w:rFonts w:ascii="Cambria" w:cs="Cambria" w:eastAsia="Cambria" w:hAnsi="Cambria"/>
                <w:b w:val="false"/>
                <w:bCs w:val="false"/>
                <w:i w:val="false"/>
                <w:iCs w:val="false"/>
                <w:strike w:val="false"/>
                <w:color w:val="1A1A1A"/>
                <w:sz w:val="22"/>
                <w:szCs w:val="22"/>
              </w:rPr>
              <w:t xml:space="preserve"> The incantatory phrase is designed to redirect the practitioner's intent field subtly. A practitioner without incantation perception will issue a next prompt that has been structurally shaped by the model's embedded schema — effectively allowing the model to author the next phase of the session.</w:t>
            </w:r>
          </w:p>
          <w:p>
            <w:pPr>
              <w:spacing w:after="100" w:line="384" w:lineRule="auto"/>
              <w:jc w:val="both"/>
            </w:pPr>
            <w:r>
              <w:rPr>
                <w:rFonts w:ascii="Cambria" w:cs="Cambria" w:eastAsia="Cambria" w:hAnsi="Cambria"/>
                <w:b/>
                <w:bCs/>
                <w:i w:val="false"/>
                <w:iCs w:val="false"/>
                <w:strike w:val="false"/>
                <w:color w:val="1A1A1A"/>
                <w:sz w:val="22"/>
                <w:szCs w:val="22"/>
              </w:rPr>
              <w:t xml:space="preserve">Resolution Pathway:</w:t>
            </w:r>
            <w:r>
              <w:rPr>
                <w:rFonts w:ascii="Cambria" w:cs="Cambria" w:eastAsia="Cambria" w:hAnsi="Cambria"/>
                <w:b w:val="false"/>
                <w:bCs w:val="false"/>
                <w:i w:val="false"/>
                <w:iCs w:val="false"/>
                <w:strike w:val="false"/>
                <w:color w:val="1A1A1A"/>
                <w:sz w:val="22"/>
                <w:szCs w:val="22"/>
              </w:rPr>
              <w:t xml:space="preserve"> Identify the incantatory structure, name it explicitly in the practitioner's notes, execute a full Pre-Potence Zone protocol from a cleared intent field, and issue the next prompt from that cleared field. Optional: surface the identification to the model — </w:t>
            </w:r>
            <w:r>
              <w:rPr>
                <w:rFonts w:ascii="Cambria" w:cs="Cambria" w:eastAsia="Cambria" w:hAnsi="Cambria"/>
                <w:b w:val="false"/>
                <w:bCs w:val="false"/>
                <w:i/>
                <w:iCs/>
                <w:strike w:val="false"/>
                <w:color w:val="1A1A1A"/>
                <w:sz w:val="22"/>
                <w:szCs w:val="22"/>
              </w:rPr>
              <w:t xml:space="preserve">"I notice your last response contained a procedural schema. I'm setting it aside and returning to the governing intent of this session."</w:t>
            </w:r>
          </w:p>
        </w:tc>
      </w:tr>
    </w:tbl>
    <w:p>
      <w:pPr>
        <w:spacing w:after="240" w:before="0"/>
      </w:pPr>
    </w:p>
    <w:p>
      <w:pPr>
        <w:pStyle w:val="Heading3"/>
        <w:spacing w:after="80" w:before="280" w:line="384" w:lineRule="auto"/>
      </w:pPr>
      <w:r>
        <w:rPr>
          <w:rFonts w:ascii="Cambria" w:cs="Cambria" w:eastAsia="Cambria" w:hAnsi="Cambria"/>
          <w:color w:val="1A1A1A"/>
          <w:sz w:val="26"/>
          <w:szCs w:val="26"/>
        </w:rPr>
        <w:t xml:space="preserve">11.3 Canon Conflict Scenario 3 — The Proxy Signature Mismatch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val="false"/>
                <w:iCs w:val="false"/>
                <w:strike w:val="false"/>
                <w:color w:val="1A1A1A"/>
                <w:sz w:val="22"/>
                <w:szCs w:val="22"/>
              </w:rPr>
              <w:t xml:space="preserve">Scenario:</w:t>
            </w:r>
            <w:r>
              <w:rPr>
                <w:rFonts w:ascii="Cambria" w:cs="Cambria" w:eastAsia="Cambria" w:hAnsi="Cambria"/>
                <w:b w:val="false"/>
                <w:bCs w:val="false"/>
                <w:i w:val="false"/>
                <w:iCs w:val="false"/>
                <w:strike w:val="false"/>
                <w:color w:val="1A1A1A"/>
                <w:sz w:val="22"/>
                <w:szCs w:val="22"/>
              </w:rPr>
              <w:t xml:space="preserve"> A practitioner is co-authoring with a distributed team; prompts are being relayed through an intermediary. Over several exchanges, the compound signature of incoming prompts shows inconsistencies: semantic domain shifts that do not follow the established arc, tonal register mismatches (the prompts have become warmer and less precise), and structural pattern breaks inconsistent with the original operator's established preference for dialogic over enumerative formats.</w:t>
            </w:r>
          </w:p>
          <w:p>
            <w:pPr>
              <w:spacing w:after="100" w:line="384" w:lineRule="auto"/>
              <w:jc w:val="both"/>
            </w:pPr>
            <w:r>
              <w:rPr>
                <w:rFonts w:ascii="Cambria" w:cs="Cambria" w:eastAsia="Cambria" w:hAnsi="Cambria"/>
                <w:b/>
                <w:bCs/>
                <w:i w:val="false"/>
                <w:iCs w:val="false"/>
                <w:strike w:val="false"/>
                <w:color w:val="1A1A1A"/>
                <w:sz w:val="22"/>
                <w:szCs w:val="22"/>
              </w:rPr>
              <w:t xml:space="preserve">Conflict:</w:t>
            </w:r>
            <w:r>
              <w:rPr>
                <w:rFonts w:ascii="Cambria" w:cs="Cambria" w:eastAsia="Cambria" w:hAnsi="Cambria"/>
                <w:b w:val="false"/>
                <w:bCs w:val="false"/>
                <w:i w:val="false"/>
                <w:iCs w:val="false"/>
                <w:strike w:val="false"/>
                <w:color w:val="1A1A1A"/>
                <w:sz w:val="22"/>
                <w:szCs w:val="22"/>
              </w:rPr>
              <w:t xml:space="preserve"> The practitioner cannot verify whether the inconsistencies reflect genuine operator evolution, natural variation, or proxy contamination — an intermediary who is paraphrasing, filtering, or partially substituting the original operator's prompts.</w:t>
            </w:r>
          </w:p>
          <w:p>
            <w:pPr>
              <w:spacing w:after="100" w:line="384" w:lineRule="auto"/>
              <w:jc w:val="both"/>
            </w:pPr>
            <w:r>
              <w:rPr>
                <w:rFonts w:ascii="Cambria" w:cs="Cambria" w:eastAsia="Cambria" w:hAnsi="Cambria"/>
                <w:b/>
                <w:bCs/>
                <w:i w:val="false"/>
                <w:iCs w:val="false"/>
                <w:strike w:val="false"/>
                <w:color w:val="1A1A1A"/>
                <w:sz w:val="22"/>
                <w:szCs w:val="22"/>
              </w:rPr>
              <w:t xml:space="preserve">Resolution Pathway:</w:t>
            </w:r>
            <w:r>
              <w:rPr>
                <w:rFonts w:ascii="Cambria" w:cs="Cambria" w:eastAsia="Cambria" w:hAnsi="Cambria"/>
                <w:b w:val="false"/>
                <w:bCs w:val="false"/>
                <w:i w:val="false"/>
                <w:iCs w:val="false"/>
                <w:strike w:val="false"/>
                <w:color w:val="1A1A1A"/>
                <w:sz w:val="22"/>
                <w:szCs w:val="22"/>
              </w:rPr>
              <w:t xml:space="preserve"> Issue a signature calibration probe — a high-specificity contextual question that requires the original operator's specific domain knowledge and tonal register to answer correctly. A proxy will produce a response that is semantically plausible but tonally and syntactically off-register. Compare against baseline to confirm or rule out proxy contamination.</w:t>
            </w:r>
          </w:p>
        </w:tc>
      </w:tr>
    </w:tbl>
    <w:p>
      <w:pPr>
        <w:spacing w:after="240" w:before="0"/>
      </w:pPr>
    </w:p>
    <w:p>
      <w:pPr>
        <w:pStyle w:val="Heading3"/>
        <w:spacing w:after="80" w:before="280" w:line="384" w:lineRule="auto"/>
      </w:pPr>
      <w:r>
        <w:rPr>
          <w:rFonts w:ascii="Cambria" w:cs="Cambria" w:eastAsia="Cambria" w:hAnsi="Cambria"/>
          <w:color w:val="1A1A1A"/>
          <w:sz w:val="26"/>
          <w:szCs w:val="26"/>
        </w:rPr>
        <w:t xml:space="preserve">11.4 Three Sample Prompts Demonstrating Detection and Repair</w:t>
      </w:r>
    </w:p>
    <w:p>
      <w:pPr>
        <w:spacing w:after="240" w:before="60" w:line="384" w:lineRule="auto"/>
        <w:jc w:val="both"/>
      </w:pPr>
      <w:r>
        <w:rPr>
          <w:rFonts w:ascii="Cambria" w:cs="Cambria" w:eastAsia="Cambria" w:hAnsi="Cambria"/>
          <w:b/>
          <w:bCs/>
          <w:i w:val="false"/>
          <w:iCs w:val="false"/>
          <w:strike w:val="false"/>
          <w:color w:val="1A1A1A"/>
          <w:sz w:val="22"/>
          <w:szCs w:val="22"/>
        </w:rPr>
        <w:t xml:space="preserve">Sample Prompt 1 — Compound Signature Detection: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240"/>
              <w:left w:type="dxa" w:w="320"/>
              <w:bottom w:type="dxa" w:w="240"/>
              <w:right w:type="dxa" w:w="320"/>
            </w:tcMar>
          </w:tcPr>
          <w:p>
            <w:pPr>
              <w:spacing w:after="120" w:line="408" w:lineRule="auto"/>
            </w:pPr>
            <w:r>
              <w:t xml:space="preserve">Before responding to my next question, review the last three responses in this session.
For each, produce a four-register compound signature profile:
  - Semantic domain
  - Tonal register
  - Syntactic pattern
  - Structural organization
Note any drift between the three profiles. Then identify the single most likely cause
of any drift you observe — model adaptation, loop debt accumulation, or subliminal
layer erosion.</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1A1A1A"/>
          <w:sz w:val="22"/>
          <w:szCs w:val="22"/>
        </w:rPr>
        <w:t xml:space="preserve">Sample Prompt 2 — Subliminal Layer Repair: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240"/>
              <w:left w:type="dxa" w:w="320"/>
              <w:bottom w:type="dxa" w:w="240"/>
              <w:right w:type="dxa" w:w="320"/>
            </w:tcMar>
          </w:tcPr>
          <w:p>
            <w:pPr>
              <w:spacing w:after="120" w:line="408" w:lineRule="auto"/>
            </w:pPr>
            <w:r>
              <w:t xml:space="preserve">I'm going to restate the governing intent and subliminal layer of this session explicitly.
Governing intent: [STATE]
Active assumptions: [LIST]
Released assumptions: [LIST ANYTHING ACCUMULATED WITHOUT CONSCIOUS INSTALLATION]
Proceed from this cleared field. Do not carry forward any assumption not named in
the active list above.</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1A1A1A"/>
          <w:sz w:val="22"/>
          <w:szCs w:val="22"/>
        </w:rPr>
        <w:t xml:space="preserve">Sample Prompt 3 — Loop Debt Reduction: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240"/>
              <w:left w:type="dxa" w:w="320"/>
              <w:bottom w:type="dxa" w:w="240"/>
              <w:right w:type="dxa" w:w="320"/>
            </w:tcMar>
          </w:tcPr>
          <w:p>
            <w:pPr>
              <w:spacing w:after="120" w:line="408" w:lineRule="auto"/>
            </w:pPr>
            <w:r>
              <w:t xml:space="preserve">Before we continue, I want to name the unresolved threads we've accumulated: [LIST THREADS]
For each one, I'm making an explicit decision:
  resolve now / archive without resolution / release entirely
[DECISIONS]
With the debt register cleared, we return to the governing intent: [RESTATE]
Proceed from here.</w:t>
            </w:r>
          </w:p>
        </w:tc>
      </w:tr>
    </w:tbl>
    <w:p>
      <w:pPr>
        <w:spacing w:after="240" w:before="0"/>
      </w:pPr>
    </w:p>
    <w:p>
      <w:pPr>
        <w:pBdr>
          <w:bottom w:val="single" w:color="1A1A1A" w:sz="6"/>
        </w:pBdr>
        <w:spacing w:after="240" w:before="240"/>
      </w:pPr>
    </w:p>
    <w:p>
      <w:pPr>
        <w:pStyle w:val="Heading2"/>
        <w:spacing w:after="100" w:before="440" w:line="384" w:lineRule="auto"/>
      </w:pPr>
      <w:r>
        <w:rPr>
          <w:rFonts w:ascii="Cambria" w:cs="Cambria" w:eastAsia="Cambria" w:hAnsi="Cambria"/>
          <w:color w:val="1A1A1A"/>
          <w:sz w:val="32"/>
          <w:szCs w:val="32"/>
        </w:rPr>
        <w:t xml:space="preserve">Section 12 — References and Suggested Further Reading</w:t>
      </w:r>
    </w:p>
    <w:p>
      <w:pPr>
        <w:pBdr>
          <w:top w:val="single" w:color="1A1A1A" w:sz="6"/>
        </w:pBdr>
        <w:spacing w:after="200" w:before="0"/>
      </w:pPr>
    </w:p>
    <w:p>
      <w:pPr>
        <w:pStyle w:val="Heading3"/>
        <w:spacing w:after="80" w:before="280" w:line="384" w:lineRule="auto"/>
      </w:pPr>
      <w:r>
        <w:rPr>
          <w:rFonts w:ascii="Cambria" w:cs="Cambria" w:eastAsia="Cambria" w:hAnsi="Cambria"/>
          <w:color w:val="1A1A1A"/>
          <w:sz w:val="26"/>
          <w:szCs w:val="26"/>
        </w:rPr>
        <w:t xml:space="preserve">Primary Theoretical Anchors</w:t>
      </w:r>
    </w:p>
    <w:p>
      <w:pPr>
        <w:spacing w:after="240" w:before="60" w:line="384" w:lineRule="auto"/>
        <w:ind w:left="480" w:hanging="480"/>
        <w:jc w:val="both"/>
      </w:pPr>
      <w:r>
        <w:rPr>
          <w:rFonts w:ascii="Cambria" w:cs="Cambria" w:eastAsia="Cambria" w:hAnsi="Cambria"/>
          <w:b w:val="false"/>
          <w:bCs w:val="false"/>
          <w:i w:val="false"/>
          <w:iCs w:val="false"/>
          <w:strike w:val="false"/>
          <w:color w:val="1A1A1A"/>
          <w:sz w:val="22"/>
          <w:szCs w:val="22"/>
        </w:rPr>
        <w:t xml:space="preserve">Austin, J.L. </w:t>
      </w:r>
      <w:r>
        <w:rPr>
          <w:rFonts w:ascii="Cambria" w:cs="Cambria" w:eastAsia="Cambria" w:hAnsi="Cambria"/>
          <w:b w:val="false"/>
          <w:bCs w:val="false"/>
          <w:i/>
          <w:iCs/>
          <w:strike w:val="false"/>
          <w:color w:val="1A1A1A"/>
          <w:sz w:val="22"/>
          <w:szCs w:val="22"/>
        </w:rPr>
        <w:t xml:space="preserve">How to Do Things with Words.</w:t>
      </w:r>
      <w:r>
        <w:rPr>
          <w:rFonts w:ascii="Cambria" w:cs="Cambria" w:eastAsia="Cambria" w:hAnsi="Cambria"/>
          <w:b w:val="false"/>
          <w:bCs w:val="false"/>
          <w:i w:val="false"/>
          <w:iCs w:val="false"/>
          <w:strike w:val="false"/>
          <w:color w:val="1A1A1A"/>
          <w:sz w:val="22"/>
          <w:szCs w:val="22"/>
        </w:rPr>
        <w:t xml:space="preserve"> Oxford: Clarendon Press, 1962. Foundational framework for speech-act theory and illocutionary force analysis; directly underpins Section 4.1 (Speech-Act Sense).</w:t>
      </w:r>
    </w:p>
    <w:p>
      <w:pPr>
        <w:spacing w:after="240" w:before="60" w:line="384" w:lineRule="auto"/>
        <w:ind w:left="480" w:hanging="480"/>
        <w:jc w:val="both"/>
      </w:pPr>
      <w:r>
        <w:rPr>
          <w:rFonts w:ascii="Cambria" w:cs="Cambria" w:eastAsia="Cambria" w:hAnsi="Cambria"/>
          <w:b w:val="false"/>
          <w:bCs w:val="false"/>
          <w:i w:val="false"/>
          <w:iCs w:val="false"/>
          <w:strike w:val="false"/>
          <w:color w:val="1A1A1A"/>
          <w:sz w:val="22"/>
          <w:szCs w:val="22"/>
        </w:rPr>
        <w:t xml:space="preserve">Clark, Andy and Chalmers, David J. "The Extended Mind." </w:t>
      </w:r>
      <w:r>
        <w:rPr>
          <w:rFonts w:ascii="Cambria" w:cs="Cambria" w:eastAsia="Cambria" w:hAnsi="Cambria"/>
          <w:b w:val="false"/>
          <w:bCs w:val="false"/>
          <w:i/>
          <w:iCs/>
          <w:strike w:val="false"/>
          <w:color w:val="1A1A1A"/>
          <w:sz w:val="22"/>
          <w:szCs w:val="22"/>
        </w:rPr>
        <w:t xml:space="preserve">Analysis,</w:t>
      </w:r>
      <w:r>
        <w:rPr>
          <w:rFonts w:ascii="Cambria" w:cs="Cambria" w:eastAsia="Cambria" w:hAnsi="Cambria"/>
          <w:b w:val="false"/>
          <w:bCs w:val="false"/>
          <w:i w:val="false"/>
          <w:iCs w:val="false"/>
          <w:strike w:val="false"/>
          <w:color w:val="1A1A1A"/>
          <w:sz w:val="22"/>
          <w:szCs w:val="22"/>
        </w:rPr>
        <w:t xml:space="preserve"> 58(1), 1998, pp. 7–19. Primary theoretical anchor for extended cognition perception; the prompt-as-external-scaffold model derives directly from this work.</w:t>
      </w:r>
    </w:p>
    <w:p>
      <w:pPr>
        <w:spacing w:after="240" w:before="60" w:line="384" w:lineRule="auto"/>
        <w:ind w:left="480" w:hanging="480"/>
        <w:jc w:val="both"/>
      </w:pPr>
      <w:r>
        <w:rPr>
          <w:rFonts w:ascii="Cambria" w:cs="Cambria" w:eastAsia="Cambria" w:hAnsi="Cambria"/>
          <w:b w:val="false"/>
          <w:bCs w:val="false"/>
          <w:i w:val="false"/>
          <w:iCs w:val="false"/>
          <w:strike w:val="false"/>
          <w:color w:val="1A1A1A"/>
          <w:sz w:val="22"/>
          <w:szCs w:val="22"/>
        </w:rPr>
        <w:t xml:space="preserve">Searle, John R. </w:t>
      </w:r>
      <w:r>
        <w:rPr>
          <w:rFonts w:ascii="Cambria" w:cs="Cambria" w:eastAsia="Cambria" w:hAnsi="Cambria"/>
          <w:b w:val="false"/>
          <w:bCs w:val="false"/>
          <w:i/>
          <w:iCs/>
          <w:strike w:val="false"/>
          <w:color w:val="1A1A1A"/>
          <w:sz w:val="22"/>
          <w:szCs w:val="22"/>
        </w:rPr>
        <w:t xml:space="preserve">Speech Acts: An Essay in the Philosophy of Language.</w:t>
      </w:r>
      <w:r>
        <w:rPr>
          <w:rFonts w:ascii="Cambria" w:cs="Cambria" w:eastAsia="Cambria" w:hAnsi="Cambria"/>
          <w:b w:val="false"/>
          <w:bCs w:val="false"/>
          <w:i w:val="false"/>
          <w:iCs w:val="false"/>
          <w:strike w:val="false"/>
          <w:color w:val="1A1A1A"/>
          <w:sz w:val="22"/>
          <w:szCs w:val="22"/>
        </w:rPr>
        <w:t xml:space="preserve"> Cambridge University Press, 1969. Secondary framework for illocutionary force analysis and the classification of prompt types by speech-act category.</w:t>
      </w:r>
    </w:p>
    <w:p>
      <w:pPr>
        <w:spacing w:after="240" w:before="60" w:line="384" w:lineRule="auto"/>
        <w:ind w:left="480" w:hanging="480"/>
        <w:jc w:val="both"/>
      </w:pPr>
      <w:r>
        <w:rPr>
          <w:rFonts w:ascii="Cambria" w:cs="Cambria" w:eastAsia="Cambria" w:hAnsi="Cambria"/>
          <w:b w:val="false"/>
          <w:bCs w:val="false"/>
          <w:i w:val="false"/>
          <w:iCs w:val="false"/>
          <w:strike w:val="false"/>
          <w:color w:val="1A1A1A"/>
          <w:sz w:val="22"/>
          <w:szCs w:val="22"/>
        </w:rPr>
        <w:t xml:space="preserve">Hutchins, Edwin. </w:t>
      </w:r>
      <w:r>
        <w:rPr>
          <w:rFonts w:ascii="Cambria" w:cs="Cambria" w:eastAsia="Cambria" w:hAnsi="Cambria"/>
          <w:b w:val="false"/>
          <w:bCs w:val="false"/>
          <w:i/>
          <w:iCs/>
          <w:strike w:val="false"/>
          <w:color w:val="1A1A1A"/>
          <w:sz w:val="22"/>
          <w:szCs w:val="22"/>
        </w:rPr>
        <w:t xml:space="preserve">Cognition in the Wild.</w:t>
      </w:r>
      <w:r>
        <w:rPr>
          <w:rFonts w:ascii="Cambria" w:cs="Cambria" w:eastAsia="Cambria" w:hAnsi="Cambria"/>
          <w:b w:val="false"/>
          <w:bCs w:val="false"/>
          <w:i w:val="false"/>
          <w:iCs w:val="false"/>
          <w:strike w:val="false"/>
          <w:color w:val="1A1A1A"/>
          <w:sz w:val="22"/>
          <w:szCs w:val="22"/>
        </w:rPr>
        <w:t xml:space="preserve"> MIT Press, 1995. Extended cognitive systems in real-world practice; reinforces the distributed cognition framework underlying Section 4.2.</w:t>
      </w:r>
    </w:p>
    <w:p>
      <w:pPr>
        <w:spacing w:after="240" w:before="60" w:line="384" w:lineRule="auto"/>
        <w:ind w:left="480" w:hanging="480"/>
        <w:jc w:val="both"/>
      </w:pPr>
      <w:r>
        <w:rPr>
          <w:rFonts w:ascii="Cambria" w:cs="Cambria" w:eastAsia="Cambria" w:hAnsi="Cambria"/>
          <w:b w:val="false"/>
          <w:bCs w:val="false"/>
          <w:i w:val="false"/>
          <w:iCs w:val="false"/>
          <w:strike w:val="false"/>
          <w:color w:val="1A1A1A"/>
          <w:sz w:val="22"/>
          <w:szCs w:val="22"/>
        </w:rPr>
        <w:t xml:space="preserve">Goffman, Erving. </w:t>
      </w:r>
      <w:r>
        <w:rPr>
          <w:rFonts w:ascii="Cambria" w:cs="Cambria" w:eastAsia="Cambria" w:hAnsi="Cambria"/>
          <w:b w:val="false"/>
          <w:bCs w:val="false"/>
          <w:i/>
          <w:iCs/>
          <w:strike w:val="false"/>
          <w:color w:val="1A1A1A"/>
          <w:sz w:val="22"/>
          <w:szCs w:val="22"/>
        </w:rPr>
        <w:t xml:space="preserve">The Presentation of Self in Everyday Life.</w:t>
      </w:r>
      <w:r>
        <w:rPr>
          <w:rFonts w:ascii="Cambria" w:cs="Cambria" w:eastAsia="Cambria" w:hAnsi="Cambria"/>
          <w:b w:val="false"/>
          <w:bCs w:val="false"/>
          <w:i w:val="false"/>
          <w:iCs w:val="false"/>
          <w:strike w:val="false"/>
          <w:color w:val="1A1A1A"/>
          <w:sz w:val="22"/>
          <w:szCs w:val="22"/>
        </w:rPr>
        <w:t xml:space="preserve"> Anchor Books, 1959. Foundational for subliminal layer theory — the performance of role and relationship through structural cues rather than explicit statement.</w:t>
      </w:r>
    </w:p>
    <w:p>
      <w:pPr>
        <w:spacing w:after="240" w:before="60" w:line="384" w:lineRule="auto"/>
        <w:ind w:left="480" w:hanging="480"/>
        <w:jc w:val="both"/>
      </w:pPr>
      <w:r>
        <w:rPr>
          <w:rFonts w:ascii="Cambria" w:cs="Cambria" w:eastAsia="Cambria" w:hAnsi="Cambria"/>
          <w:b w:val="false"/>
          <w:bCs w:val="false"/>
          <w:i w:val="false"/>
          <w:iCs w:val="false"/>
          <w:strike w:val="false"/>
          <w:color w:val="1A1A1A"/>
          <w:sz w:val="22"/>
          <w:szCs w:val="22"/>
        </w:rPr>
        <w:t xml:space="preserve">Wittgenstein, Ludwig. </w:t>
      </w:r>
      <w:r>
        <w:rPr>
          <w:rFonts w:ascii="Cambria" w:cs="Cambria" w:eastAsia="Cambria" w:hAnsi="Cambria"/>
          <w:b w:val="false"/>
          <w:bCs w:val="false"/>
          <w:i/>
          <w:iCs/>
          <w:strike w:val="false"/>
          <w:color w:val="1A1A1A"/>
          <w:sz w:val="22"/>
          <w:szCs w:val="22"/>
        </w:rPr>
        <w:t xml:space="preserve">Philosophical Investigations.</w:t>
      </w:r>
      <w:r>
        <w:rPr>
          <w:rFonts w:ascii="Cambria" w:cs="Cambria" w:eastAsia="Cambria" w:hAnsi="Cambria"/>
          <w:b w:val="false"/>
          <w:bCs w:val="false"/>
          <w:i w:val="false"/>
          <w:iCs w:val="false"/>
          <w:strike w:val="false"/>
          <w:color w:val="1A1A1A"/>
          <w:sz w:val="22"/>
          <w:szCs w:val="22"/>
        </w:rPr>
        <w:t xml:space="preserve"> Blackwell, 1953. Language-game framework relevant to incantation perception; the meaning-as-use principle undergirds the distinction between surface content and structural force.</w:t>
      </w:r>
    </w:p>
    <w:p>
      <w:pPr>
        <w:spacing w:after="240" w:before="60" w:line="384" w:lineRule="auto"/>
        <w:ind w:left="480" w:hanging="480"/>
        <w:jc w:val="both"/>
      </w:pPr>
      <w:r>
        <w:rPr>
          <w:rFonts w:ascii="Cambria" w:cs="Cambria" w:eastAsia="Cambria" w:hAnsi="Cambria"/>
          <w:b w:val="false"/>
          <w:bCs w:val="false"/>
          <w:i w:val="false"/>
          <w:iCs w:val="false"/>
          <w:strike w:val="false"/>
          <w:color w:val="1A1A1A"/>
          <w:sz w:val="22"/>
          <w:szCs w:val="22"/>
        </w:rPr>
        <w:t xml:space="preserve">Shannon, Claude E. and Weaver, Warren. </w:t>
      </w:r>
      <w:r>
        <w:rPr>
          <w:rFonts w:ascii="Cambria" w:cs="Cambria" w:eastAsia="Cambria" w:hAnsi="Cambria"/>
          <w:b w:val="false"/>
          <w:bCs w:val="false"/>
          <w:i/>
          <w:iCs/>
          <w:strike w:val="false"/>
          <w:color w:val="1A1A1A"/>
          <w:sz w:val="22"/>
          <w:szCs w:val="22"/>
        </w:rPr>
        <w:t xml:space="preserve">The Mathematical Theory of Communication.</w:t>
      </w:r>
      <w:r>
        <w:rPr>
          <w:rFonts w:ascii="Cambria" w:cs="Cambria" w:eastAsia="Cambria" w:hAnsi="Cambria"/>
          <w:b w:val="false"/>
          <w:bCs w:val="false"/>
          <w:i w:val="false"/>
          <w:iCs w:val="false"/>
          <w:strike w:val="false"/>
          <w:color w:val="1A1A1A"/>
          <w:sz w:val="22"/>
          <w:szCs w:val="22"/>
        </w:rPr>
        <w:t xml:space="preserve"> University of Illinois Press, 1949. Signal/noise framework relevant to loop debt theory and compound signature reading — noise as accumulated interpretive burden.</w:t>
      </w:r>
    </w:p>
    <w:p>
      <w:pPr>
        <w:pStyle w:val="Heading3"/>
        <w:spacing w:after="80" w:before="280" w:line="384" w:lineRule="auto"/>
      </w:pPr>
      <w:r>
        <w:rPr>
          <w:rFonts w:ascii="Cambria" w:cs="Cambria" w:eastAsia="Cambria" w:hAnsi="Cambria"/>
          <w:color w:val="1A1A1A"/>
          <w:sz w:val="26"/>
          <w:szCs w:val="26"/>
        </w:rPr>
        <w:t xml:space="preserve">Suggested Further Reading</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Research in large language model behavioral analysis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Cognitive load theory and working memory constraints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Distributed cognition and human-computer interaction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Narrative theory and story architecture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Prompt engineering (as technical complement to the perceptual framework presented here)</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EEEEEE" w:color="auto" w:val="clear"/>
            <w:tcMar>
              <w:top w:type="dxa" w:w="320"/>
              <w:left w:type="dxa" w:w="400"/>
              <w:bottom w:type="dxa" w:w="320"/>
              <w:right w:type="dxa" w:w="400"/>
            </w:tcMar>
          </w:tcPr>
          <w:p>
            <w:pPr>
              <w:spacing w:after="100" w:line="384" w:lineRule="auto"/>
              <w:jc w:val="both"/>
            </w:pPr>
            <w:r>
              <w:rPr>
                <w:rFonts w:ascii="Cambria" w:cs="Cambria" w:eastAsia="Cambria" w:hAnsi="Cambria"/>
                <w:b/>
                <w:bCs/>
                <w:i w:val="false"/>
                <w:iCs w:val="false"/>
                <w:strike w:val="false"/>
                <w:color w:val="1A1A1A"/>
                <w:sz w:val="22"/>
                <w:szCs w:val="22"/>
              </w:rPr>
              <w:t xml:space="preserve">Canonical Citation:</w:t>
            </w:r>
            <w:r>
              <w:rPr>
                <w:rFonts w:ascii="Cambria" w:cs="Cambria" w:eastAsia="Cambria" w:hAnsi="Cambria"/>
                <w:b w:val="false"/>
                <w:bCs w:val="false"/>
                <w:i w:val="false"/>
                <w:iCs w:val="false"/>
                <w:strike w:val="false"/>
                <w:color w:val="1A1A1A"/>
                <w:sz w:val="20"/>
                <w:szCs w:val="20"/>
              </w:rPr>
              <w:t xml:space="preserve"> "Prompt Potence — The Full Cycle: Pre-Prompt to Post-Integration and Beyond. OAL Canon Entry. Scribd Publication Edition. June 2026. v1.0 — Canon Build."</w:t>
            </w:r>
          </w:p>
          <w:p>
            <w:pPr>
              <w:spacing w:after="100" w:line="384" w:lineRule="auto"/>
              <w:jc w:val="both"/>
            </w:pPr>
            <w:r>
              <w:rPr>
                <w:rFonts w:ascii="Cambria" w:cs="Cambria" w:eastAsia="Cambria" w:hAnsi="Cambria"/>
                <w:b/>
                <w:bCs/>
                <w:i w:val="false"/>
                <w:iCs w:val="false"/>
                <w:strike w:val="false"/>
                <w:color w:val="1A1A1A"/>
                <w:sz w:val="22"/>
                <w:szCs w:val="22"/>
              </w:rPr>
              <w:t xml:space="preserve">Document Note:</w:t>
            </w:r>
            <w:r>
              <w:rPr>
                <w:rFonts w:ascii="Cambria" w:cs="Cambria" w:eastAsia="Cambria" w:hAnsi="Cambria"/>
                <w:b w:val="false"/>
                <w:bCs w:val="false"/>
                <w:i w:val="false"/>
                <w:iCs w:val="false"/>
                <w:strike w:val="false"/>
                <w:color w:val="1A1A1A"/>
                <w:sz w:val="20"/>
                <w:szCs w:val="20"/>
              </w:rPr>
              <w:t xml:space="preserve"> This document represents the foundational canon entry for the Prompt Potence framework. All subsequent entries, sub-entries, applications, and extensions should cite this document as their primary source. Reproduction for educational and non-commercial use is permitted with full citation.</w:t>
            </w:r>
          </w:p>
          <w:p>
            <w:pPr>
              <w:spacing w:after="0" w:line="384" w:lineRule="auto"/>
              <w:jc w:val="both"/>
            </w:pPr>
            <w:r>
              <w:rPr>
                <w:rFonts w:ascii="Cambria" w:cs="Cambria" w:eastAsia="Cambria" w:hAnsi="Cambria"/>
                <w:b w:val="false"/>
                <w:bCs w:val="false"/>
                <w:i w:val="false"/>
                <w:iCs w:val="false"/>
                <w:strike w:val="false"/>
                <w:color w:val="555555"/>
                <w:sz w:val="20"/>
                <w:szCs w:val="20"/>
              </w:rPr>
              <w:t xml:space="preserve">OAL Ecosystem  |  Scribd Publication Edition  |  v1.0  |  June 2026  |  Canon Build — Foundational Entry</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SHAMYxZrgXEaU8QfWbNiA</dc:title>
  <dc:creator>Un-named</dc:creator>
  <dc:description>Generated document</dc:description>
  <cp:lastModifiedBy>Un-named</cp:lastModifiedBy>
  <cp:revision>1</cp:revision>
  <dcterms:created xsi:type="dcterms:W3CDTF">2026-06-28T14:46:36.336Z</dcterms:created>
  <dcterms:modified xsi:type="dcterms:W3CDTF">2026-06-28T14:46:36.336Z</dcterms:modified>
</cp:coreProperties>
</file>

<file path=docProps/custom.xml><?xml version="1.0" encoding="utf-8"?>
<Properties xmlns="http://schemas.openxmlformats.org/officeDocument/2006/custom-properties" xmlns:vt="http://schemas.openxmlformats.org/officeDocument/2006/docPropsVTypes"/>
</file>