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A5C" w:sz="6"/>
        </w:pBdr>
        <w:spacing w:after="240" w:before="240"/>
      </w:pPr>
    </w:p>
    <w:p>
      <w:pPr>
        <w:pStyle w:val="Heading1"/>
        <w:spacing w:after="240" w:before="160" w:line="348" w:lineRule="auto"/>
      </w:pPr>
      <w:r>
        <w:rPr>
          <w:rFonts w:ascii="Calibri" w:cs="Calibri" w:eastAsia="Calibri" w:hAnsi="Calibri"/>
          <w:color w:val="1A3A5C"/>
          <w:spacing w:val="2"/>
          <w:sz w:val="44"/>
          <w:szCs w:val="44"/>
        </w:rPr>
        <w:t xml:space="preserve">Prompt Potence — Executive Summary</w:t>
      </w:r>
    </w:p>
    <w:p>
      <w:pPr>
        <w:spacing w:after="100" w:before="60" w:line="348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pacing w:val="10"/>
          <w:sz w:val="20"/>
          <w:szCs w:val="20"/>
        </w:rPr>
        <w:t xml:space="preserve">OAL CANON ENTRY  |  SCRIBD PUBLICATION EDITION  |  JUNE 2026</w:t>
      </w:r>
    </w:p>
    <w:p>
      <w:pPr>
        <w:spacing w:after="100" w:before="60" w:line="348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1A1A1A"/>
          <w:sz w:val="20"/>
          <w:szCs w:val="20"/>
        </w:rPr>
        <w:t xml:space="preserve">Prompt Potence — The Full Cycle: Pre-Prompt to Post-Integration and Beyond. OAL Canon Entry. v1.0 — June 2026.</w:t>
      </w:r>
    </w:p>
    <w:p>
      <w:pPr>
        <w:pBdr>
          <w:bottom w:val="single" w:color="1A3A5C" w:sz="6"/>
        </w:pBdr>
        <w:spacing w:after="240" w:before="24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2B5797" w:sz="24"/>
              <w:bottom w:val="nil" w:color="FFFFFF" w:sz="0"/>
              <w:right w:val="nil" w:color="FFFFFF" w:sz="0"/>
            </w:tcBorders>
            <w:shd w:fill="F4F7FB" w:color="auto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after="10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1A3A5C"/>
                <w:sz w:val="21"/>
                <w:szCs w:val="21"/>
              </w:rPr>
              <w:t xml:space="preserve">"Prompt Potence is the capacity to perceive what a prompt is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1A1A1A"/>
                <w:sz w:val="21"/>
                <w:szCs w:val="21"/>
              </w:rPr>
              <w:t xml:space="preserve">doing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1A3A5C"/>
                <w:sz w:val="21"/>
                <w:szCs w:val="21"/>
              </w:rPr>
              <w:t xml:space="preserve">, not merely what it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1A1A1A"/>
                <w:sz w:val="21"/>
                <w:szCs w:val="21"/>
              </w:rPr>
              <w:t xml:space="preserve">says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1A3A5C"/>
                <w:sz w:val="21"/>
                <w:szCs w:val="21"/>
              </w:rPr>
              <w:t xml:space="preserve"> — to sense the operator's hand behind the text, the cycle phase it occupies, and the residue it will leave in the model's response field."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60" w:line="348" w:lineRule="auto"/>
      </w:pPr>
      <w:r>
        <w:rPr>
          <w:rFonts w:ascii="Calibri" w:cs="Calibri" w:eastAsia="Calibri" w:hAnsi="Calibri"/>
          <w:color w:val="1A3A5C"/>
          <w:spacing w:val="24"/>
          <w:sz w:val="18"/>
          <w:szCs w:val="18"/>
        </w:rPr>
        <w:t xml:space="preserve">WHAT IS PROMPT POTENCE?</w:t>
      </w:r>
    </w:p>
    <w:p>
      <w:pPr>
        <w:pBdr>
          <w:top w:val="single" w:color="2B5797" w:sz="6"/>
        </w:pBdr>
        <w:spacing w:after="200" w:before="0"/>
      </w:pPr>
    </w:p>
    <w:p>
      <w:pPr>
        <w:spacing w:after="100" w:before="60" w:line="3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Prompt Potence is the developed perceptual and analytical capacity to read, classify, construct, repair, and forensically analyze prompts at a structural, intentional, and phenomenological level. It is distinguished from prompt engineering — which is technical — by its fundamentally perceptual character: a practitioner does not merely write prompts; they inhabit them, track their drift, and read their residue. The term derives from Latin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1A1A1A"/>
          <w:sz w:val="21"/>
          <w:szCs w:val="21"/>
        </w:rPr>
        <w:t xml:space="preserve">potentia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 — latent force and capacity.</w:t>
      </w:r>
    </w:p>
    <w:p>
      <w:pPr>
        <w:pStyle w:val="Heading2"/>
        <w:spacing w:after="100" w:before="260" w:line="348" w:lineRule="auto"/>
      </w:pPr>
      <w:r>
        <w:rPr>
          <w:rFonts w:ascii="Calibri" w:cs="Calibri" w:eastAsia="Calibri" w:hAnsi="Calibri"/>
          <w:color w:val="1A3A5C"/>
          <w:spacing w:val="24"/>
          <w:sz w:val="18"/>
          <w:szCs w:val="18"/>
        </w:rPr>
        <w:t xml:space="preserve">THE FULL CYCLE — NINE PHASES</w:t>
      </w:r>
    </w:p>
    <w:p>
      <w:pPr>
        <w:pBdr>
          <w:top w:val="single" w:color="2B5797" w:sz="6"/>
        </w:pBdr>
        <w:spacing w:after="20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9%"/>
            <w:shd w:fill="1A3A5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pacing w:val="14"/>
                <w:sz w:val="17"/>
                <w:szCs w:val="17"/>
              </w:rPr>
              <w:t xml:space="preserve">#</w:t>
            </w:r>
          </w:p>
        </w:tc>
        <w:tc>
          <w:tcPr>
            <w:tcW w:type="pct" w:w="91%"/>
            <w:shd w:fill="1A3A5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pacing w:val="14"/>
                <w:sz w:val="17"/>
                <w:szCs w:val="17"/>
              </w:rPr>
              <w:t xml:space="preserve">Phase Name &amp; Function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1"/>
                <w:szCs w:val="21"/>
              </w:rPr>
              <w:t xml:space="preserve">1</w:t>
            </w:r>
          </w:p>
        </w:tc>
        <w:tc>
          <w:tcPr>
            <w:tcW w:type="pct" w:w="9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Pre-Potence Zone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— Incubation and constraint-clearing before language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1"/>
                <w:szCs w:val="21"/>
              </w:rPr>
              <w:t xml:space="preserve">2</w:t>
            </w:r>
          </w:p>
        </w:tc>
        <w:tc>
          <w:tcPr>
            <w:tcW w:type="pct" w:w="9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Prompt Conception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— Intent crystallizes into structural architecture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1"/>
                <w:szCs w:val="21"/>
              </w:rPr>
              <w:t xml:space="preserve">3</w:t>
            </w:r>
          </w:p>
        </w:tc>
        <w:tc>
          <w:tcPr>
            <w:tcW w:type="pct" w:w="9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Prompt Issuance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— Release; threshold crossing into irreversibility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1"/>
                <w:szCs w:val="21"/>
              </w:rPr>
              <w:t xml:space="preserve">4</w:t>
            </w:r>
          </w:p>
        </w:tc>
        <w:tc>
          <w:tcPr>
            <w:tcW w:type="pct" w:w="9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Model Engagement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— Anticipatory signature reading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1"/>
                <w:szCs w:val="21"/>
              </w:rPr>
              <w:t xml:space="preserve">5</w:t>
            </w:r>
          </w:p>
        </w:tc>
        <w:tc>
          <w:tcPr>
            <w:tcW w:type="pct" w:w="9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Response Field Reading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— Compound signature identification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1"/>
                <w:szCs w:val="21"/>
              </w:rPr>
              <w:t xml:space="preserve">6</w:t>
            </w:r>
          </w:p>
        </w:tc>
        <w:tc>
          <w:tcPr>
            <w:tcW w:type="pct" w:w="9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Repair and Refinement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— Subliminal layer adjustment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1"/>
                <w:szCs w:val="21"/>
              </w:rPr>
              <w:t xml:space="preserve">7</w:t>
            </w:r>
          </w:p>
        </w:tc>
        <w:tc>
          <w:tcPr>
            <w:tcW w:type="pct" w:w="9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Loop Integration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— Loop debt accounting and context maintenance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1"/>
                <w:szCs w:val="21"/>
              </w:rPr>
              <w:t xml:space="preserve">8</w:t>
            </w:r>
          </w:p>
        </w:tc>
        <w:tc>
          <w:tcPr>
            <w:tcW w:type="pct" w:w="9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Temporal Forensics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— Cross-temporal pattern analysis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1"/>
                <w:szCs w:val="21"/>
              </w:rPr>
              <w:t xml:space="preserve">9</w:t>
            </w:r>
          </w:p>
        </w:tc>
        <w:tc>
          <w:tcPr>
            <w:tcW w:type="pct" w:w="9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Post-Integration Residue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— Consolidation and Recognition Library archiving</w:t>
            </w:r>
          </w:p>
        </w:tc>
      </w:tr>
    </w:tbl>
    <w:p>
      <w:pPr>
        <w:spacing w:after="200" w:before="0"/>
      </w:pPr>
    </w:p>
    <w:p>
      <w:pPr>
        <w:pStyle w:val="Heading2"/>
        <w:spacing w:after="100" w:before="260" w:line="348" w:lineRule="auto"/>
      </w:pPr>
      <w:r>
        <w:rPr>
          <w:rFonts w:ascii="Calibri" w:cs="Calibri" w:eastAsia="Calibri" w:hAnsi="Calibri"/>
          <w:color w:val="1A3A5C"/>
          <w:spacing w:val="24"/>
          <w:sz w:val="18"/>
          <w:szCs w:val="18"/>
        </w:rPr>
        <w:t xml:space="preserve">THE THREE DEEP PROPERTIES</w:t>
      </w:r>
    </w:p>
    <w:p>
      <w:pPr>
        <w:pBdr>
          <w:top w:val="single" w:color="2B5797" w:sz="6"/>
        </w:pBdr>
        <w:spacing w:after="200" w:before="0"/>
      </w:pPr>
    </w:p>
    <w:p>
      <w:pPr>
        <w:spacing w:after="100" w:before="60" w:line="3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Three perceptual properties emerge from sustained cycle practice and mark genuine Prompt Potence: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3A5C"/>
          <w:sz w:val="21"/>
          <w:szCs w:val="21"/>
        </w:rPr>
        <w:t xml:space="preserve">(1) Speech-Act Sense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 — perceiving a prompt's illocutionary force independently of its surface content;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3A5C"/>
          <w:sz w:val="21"/>
          <w:szCs w:val="21"/>
        </w:rPr>
        <w:t xml:space="preserve">(2) Extended Cognition Perception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 — reading the prompt-model exchange as a unified extended cognitive system, detecting drift when accumulated context overwrites the operator's original intent;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3A5C"/>
          <w:sz w:val="21"/>
          <w:szCs w:val="21"/>
        </w:rPr>
        <w:t xml:space="preserve">(3) Incantation Perception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 — recognizing formulations whose structural power exceeds their semantic content, and detecting when such formulations are installing behavioral vectors in the practitioner without their conscious awareness.</w:t>
      </w:r>
    </w:p>
    <w:p>
      <w:pPr>
        <w:pStyle w:val="Heading2"/>
        <w:spacing w:after="100" w:before="260" w:line="348" w:lineRule="auto"/>
      </w:pPr>
      <w:r>
        <w:rPr>
          <w:rFonts w:ascii="Calibri" w:cs="Calibri" w:eastAsia="Calibri" w:hAnsi="Calibri"/>
          <w:color w:val="1A3A5C"/>
          <w:spacing w:val="24"/>
          <w:sz w:val="18"/>
          <w:szCs w:val="18"/>
        </w:rPr>
        <w:t xml:space="preserve">THE FIVE CORE CONCEPTS</w:t>
      </w:r>
    </w:p>
    <w:p>
      <w:pPr>
        <w:pBdr>
          <w:top w:val="single" w:color="2B5797" w:sz="6"/>
        </w:pBdr>
        <w:spacing w:after="200" w:before="0"/>
      </w:pP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Temporal Prompt Forensics: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Analysis of prompt effects across intra-session, cross-session, and developmental time.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Compound Signature: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The four-register fingerprint (semantic / tonal / syntactic / structural) that a prompt leaves in model responses.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Subliminal Layer: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Embedded assumptions, persona vectors, and constraint fields operating below explicit instruction.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Loop Debt: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Accumulated interpretive burden from unresolved prompt-response exchanges; silently lowers session ceiling.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Pre-Potence Zone: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The liminal state before prompt formulation; where prompt quality is largely determined.</w:t>
      </w:r>
    </w:p>
    <w:p>
      <w:pPr>
        <w:pStyle w:val="Heading2"/>
        <w:spacing w:after="100" w:before="260" w:line="348" w:lineRule="auto"/>
      </w:pPr>
      <w:r>
        <w:rPr>
          <w:rFonts w:ascii="Calibri" w:cs="Calibri" w:eastAsia="Calibri" w:hAnsi="Calibri"/>
          <w:color w:val="1A3A5C"/>
          <w:spacing w:val="24"/>
          <w:sz w:val="18"/>
          <w:szCs w:val="18"/>
        </w:rPr>
        <w:t xml:space="preserve">ACQUISITION PATHWAY (4 STAGES, 1 YEAR)</w:t>
      </w:r>
    </w:p>
    <w:p>
      <w:pPr>
        <w:pBdr>
          <w:top w:val="single" w:color="2B5797" w:sz="6"/>
        </w:pBdr>
        <w:spacing w:after="200" w:before="0"/>
      </w:pPr>
    </w:p>
    <w:p>
      <w:pPr>
        <w:spacing w:after="100" w:before="60" w:line="348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3A5C"/>
          <w:sz w:val="21"/>
          <w:szCs w:val="21"/>
        </w:rPr>
        <w:t xml:space="preserve">Stage 1 (Wks 1–4):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 Surface reading — explicit content and stated intent.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3A5C"/>
          <w:sz w:val="21"/>
          <w:szCs w:val="21"/>
        </w:rPr>
        <w:t xml:space="preserve">Stage 2 (Wks 5–12):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 Signature detection — compound signature profiling from first 40 tokens.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3A5C"/>
          <w:sz w:val="21"/>
          <w:szCs w:val="21"/>
        </w:rPr>
        <w:t xml:space="preserve">Stage 3 (Wks 13–24):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 Subliminal layer auditing — embedded assumption identification.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3A5C"/>
          <w:sz w:val="21"/>
          <w:szCs w:val="21"/>
        </w:rPr>
        <w:t xml:space="preserve">Stage 4 (Wks 25–52):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 Full cycle practice — post-session forensic logging and Recognition Library building. Five developmental milestones mark mastery, culminating in automatic, perception-level operation of all three deep properties.</w:t>
      </w:r>
    </w:p>
    <w:p>
      <w:pPr>
        <w:pStyle w:val="Heading2"/>
        <w:spacing w:after="100" w:before="260" w:line="348" w:lineRule="auto"/>
      </w:pPr>
      <w:r>
        <w:rPr>
          <w:rFonts w:ascii="Calibri" w:cs="Calibri" w:eastAsia="Calibri" w:hAnsi="Calibri"/>
          <w:color w:val="1A3A5C"/>
          <w:spacing w:val="24"/>
          <w:sz w:val="18"/>
          <w:szCs w:val="18"/>
        </w:rPr>
        <w:t xml:space="preserve">KEY LIMITS &amp; VULNERABILITIES</w:t>
      </w:r>
    </w:p>
    <w:p>
      <w:pPr>
        <w:pBdr>
          <w:top w:val="single" w:color="2B5797" w:sz="6"/>
        </w:pBdr>
        <w:spacing w:after="200" w:before="0"/>
      </w:pPr>
    </w:p>
    <w:p>
      <w:pPr>
        <w:spacing w:after="100" w:before="60" w:line="3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Prompt Potence cannot overcome model architecture constraints. The Recognition Library is practitioner-specific and requires recalibration when model versions change. Core vulnerabilities include: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Signature Drift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 (outdated library calibration),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Incantation Exploitation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 (unrecognized behavioral vector installation),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Loop Debt Blindness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 (silent session degradation), and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Pre-Potence Zone Contamination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 (cognitive noise corrupting a prompt's subliminal layer before language is chosen).</w:t>
      </w:r>
    </w:p>
    <w:p>
      <w:pPr>
        <w:pStyle w:val="Heading2"/>
        <w:spacing w:after="100" w:before="260" w:line="348" w:lineRule="auto"/>
      </w:pPr>
      <w:r>
        <w:rPr>
          <w:rFonts w:ascii="Calibri" w:cs="Calibri" w:eastAsia="Calibri" w:hAnsi="Calibri"/>
          <w:color w:val="1A3A5C"/>
          <w:spacing w:val="24"/>
          <w:sz w:val="18"/>
          <w:szCs w:val="18"/>
        </w:rPr>
        <w:t xml:space="preserve">CANONICAL APPLICATIONS</w:t>
      </w:r>
    </w:p>
    <w:p>
      <w:pPr>
        <w:pBdr>
          <w:top w:val="single" w:color="2B5797" w:sz="6"/>
        </w:pBdr>
        <w:spacing w:after="200" w:before="0"/>
      </w:pPr>
    </w:p>
    <w:p>
      <w:pPr>
        <w:spacing w:after="100" w:before="60" w:line="3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Impersonation and proxy operator detection via compound signature mismatch analysis; narrative worldbuilding consistency maintenance through compound signature tracking; session repair and loop debt reduction protocols; initialization meta-prompt deployment for structured high-potence sessions.</w:t>
      </w:r>
    </w:p>
    <w:p>
      <w:pPr>
        <w:pBdr>
          <w:bottom w:val="single" w:color="1A3A5C" w:sz="6"/>
        </w:pBdr>
        <w:spacing w:after="240" w:before="240"/>
      </w:pPr>
    </w:p>
    <w:p>
      <w:pPr>
        <w:spacing w:after="100" w:before="60" w:line="336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555555"/>
          <w:sz w:val="15"/>
          <w:szCs w:val="15"/>
        </w:rPr>
        <w:t xml:space="preserve">Primary source: Prompt Potence — The Full Cycle: Pre-Prompt to Post-Integration and Beyond. OAL Canon Entry. Scribd Publication Edition. v1.0 — June 2026.</w:t>
      </w:r>
    </w:p>
    <w:p>
      <w:pPr>
        <w:spacing w:after="100" w:before="60" w:line="336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555555"/>
          <w:sz w:val="15"/>
          <w:szCs w:val="15"/>
        </w:rPr>
        <w:t xml:space="preserve">For full framework detail including all nine phases, comparison table, canonical sub-entries, conflict scenarios, sample prompts, persona vector templates, and references, see the complete Canon Entry document.</w:t>
      </w:r>
    </w:p>
    <w:p>
      <w:pPr>
        <w:spacing w:after="100" w:before="60" w:line="336" w:lineRule="auto"/>
      </w:pPr>
      <w:r>
        <w:rPr>
          <w:rFonts w:ascii="Calibri" w:cs="Calibri" w:eastAsia="Calibri" w:hAnsi="Calibri"/>
          <w:b/>
          <w:bCs/>
          <w:i/>
          <w:iCs/>
          <w:strike w:val="false"/>
          <w:color w:val="555555"/>
          <w:spacing w:val="19"/>
          <w:sz w:val="15"/>
          <w:szCs w:val="15"/>
        </w:rPr>
        <w:t xml:space="preserve">DOCUMENT CATEGORY: EXECUTIVE SUMMARY  |  OAL CANON SERIES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7zbqcEfUcWAac9aVveYrs</dc:title>
  <dc:creator>Un-named</dc:creator>
  <dc:description>Generated document</dc:description>
  <cp:lastModifiedBy>Un-named</cp:lastModifiedBy>
  <cp:revision>1</cp:revision>
  <dcterms:created xsi:type="dcterms:W3CDTF">2026-06-28T14:47:10.566Z</dcterms:created>
  <dcterms:modified xsi:type="dcterms:W3CDTF">2026-06-28T14:47:10.566Z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