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888888"/>
          <w:sz w:val="18"/>
          <w:szCs w:val="18"/>
        </w:rPr>
        <w:t xml:space="preserve">OAL CANON DEVELOPMENT SERIES</w:t>
      </w:r>
    </w:p>
    <w:p>
      <w:pPr>
        <w:spacing w:after="80" w:before="0"/>
        <w:jc w:val="center"/>
      </w:pPr>
      <w:r>
        <w:rPr>
          <w:rFonts w:ascii="Arial" w:cs="Arial" w:eastAsia="Arial" w:hAnsi="Arial"/>
          <w:b/>
          <w:bCs/>
          <w:color w:val="1A1A2E"/>
          <w:sz w:val="56"/>
          <w:szCs w:val="56"/>
        </w:rPr>
        <w:t xml:space="preserve">Prompt Potence</w:t>
      </w:r>
    </w:p>
    <w:p>
      <w:pPr>
        <w:spacing w:after="80" w:before="0"/>
        <w:jc w:val="center"/>
      </w:pPr>
      <w:r>
        <w:rPr>
          <w:rFonts w:ascii="Arial" w:cs="Arial" w:eastAsia="Arial" w:hAnsi="Arial"/>
          <w:b/>
          <w:bCs/>
          <w:color w:val="2C2C54"/>
          <w:sz w:val="36"/>
          <w:szCs w:val="36"/>
        </w:rPr>
        <w:t xml:space="preserve">Part A: The Five Development Gaps</w:t>
      </w:r>
    </w:p>
    <w:p>
      <w:pPr>
        <w:spacing w:after="80" w:before="0"/>
        <w:jc w:val="center"/>
      </w:pPr>
      <w:r>
        <w:rPr>
          <w:rFonts w:ascii="Arial" w:cs="Arial" w:eastAsia="Arial" w:hAnsi="Arial"/>
          <w:i/>
          <w:iCs/>
          <w:color w:val="555555"/>
          <w:sz w:val="26"/>
          <w:szCs w:val="26"/>
        </w:rPr>
        <w:t xml:space="preserve">Full Framework Completion</w:t>
      </w:r>
    </w:p>
    <w:p>
      <w:pPr>
        <w:spacing w:after="400" w:before="0"/>
        <w:jc w:val="center"/>
      </w:pPr>
      <w:r>
        <w:rPr>
          <w:rFonts w:ascii="Arial" w:cs="Arial" w:eastAsia="Arial" w:hAnsi="Arial"/>
          <w:color w:val="888888"/>
          <w:sz w:val="20"/>
          <w:szCs w:val="20"/>
        </w:rPr>
        <w:t xml:space="preserve">June 2026  |  ONE UNIVERSE / OAL Canon</w:t>
      </w:r>
    </w:p>
    <w:p>
      <w:pPr>
        <w:pBdr>
          <w:bottom w:val="single" w:color="2C2C54" w:sz="4" w:space="1"/>
        </w:pBdr>
        <w:spacing w:after="200" w:before="200"/>
      </w:pPr>
      <w:r>
        <w:t xml:space="preserve"/>
      </w:r>
    </w:p>
    <w:p>
      <w:pPr>
        <w:spacing w:after="60" w:before="60"/>
      </w:pPr>
      <w:r>
        <w:t xml:space="preserve"/>
      </w:r>
    </w:p>
    <w:p>
      <w:pPr>
        <w:pStyle w:val="Heading1"/>
        <w:spacing w:after="200" w:before="400"/>
      </w:pPr>
      <w:r>
        <w:rPr>
          <w:rFonts w:ascii="Arial" w:cs="Arial" w:eastAsia="Arial" w:hAnsi="Arial"/>
          <w:b/>
          <w:bCs/>
          <w:color w:val="1A1A2E"/>
          <w:sz w:val="36"/>
          <w:szCs w:val="36"/>
        </w:rPr>
        <w:t xml:space="preserve">Preamble</w:t>
      </w:r>
    </w:p>
    <w:p>
      <w:pPr>
        <w:spacing w:after="120" w:before="80"/>
      </w:pPr>
      <w:r>
        <w:rPr>
          <w:rFonts w:ascii="Arial" w:cs="Arial" w:eastAsia="Arial" w:hAnsi="Arial"/>
          <w:sz w:val="22"/>
          <w:szCs w:val="22"/>
        </w:rPr>
        <w:t xml:space="preserve">The original Prompt Potence framework established five pillars and a recognition library. The Full Cycle document (Part II of this series) expanded the operational domain to ten phases covering pre-state through loop architecture. Both documents identified five development gaps — areas explicitly named but left undeveloped. This document fills all five in full canonical detail, producing the complete foundation required for the formal OAL ability entry.</w:t>
      </w:r>
    </w:p>
    <w:p>
      <w:pPr>
        <w:spacing w:after="120" w:before="80"/>
      </w:pPr>
      <w:r>
        <w:rPr>
          <w:rFonts w:ascii="Arial" w:cs="Arial" w:eastAsia="Arial" w:hAnsi="Arial"/>
          <w:sz w:val="22"/>
          <w:szCs w:val="22"/>
        </w:rPr>
        <w:t xml:space="preserve">The five gaps are: (1) Acquisition Pathway, (2) Limits and Vulnerabilities, (3) The Emotional Differentiation Protocol, (4) The False Positive Problem, and (5) Cross-Language and Cross-Domain Validity. Each section below constitutes a standalone canonical subsection that can be extracted and incorporated into the master ability entry.</w:t>
      </w:r>
    </w:p>
    <w:p>
      <w:pPr>
        <w:spacing w:after="60" w:before="60"/>
      </w:pPr>
      <w:r>
        <w:t xml:space="preserve"/>
      </w:r>
    </w:p>
    <w:p>
      <w:pPr>
        <w:pBdr>
          <w:bottom w:val="single" w:color="2C2C54" w:sz="4" w:space="1"/>
        </w:pBdr>
        <w:spacing w:after="200" w:before="200"/>
      </w:pPr>
      <w:r>
        <w:t xml:space="preserve"/>
      </w:r>
    </w:p>
    <w:p>
      <w:pPr>
        <w:pStyle w:val="Heading1"/>
        <w:spacing w:after="200" w:before="400"/>
      </w:pPr>
      <w:r>
        <w:rPr>
          <w:rFonts w:ascii="Arial" w:cs="Arial" w:eastAsia="Arial" w:hAnsi="Arial"/>
          <w:b/>
          <w:bCs/>
          <w:color w:val="1A1A2E"/>
          <w:sz w:val="36"/>
          <w:szCs w:val="36"/>
        </w:rPr>
        <w:t xml:space="preserve">Gap 1: Acquisition Pathway</w:t>
      </w:r>
    </w:p>
    <w:p>
      <w:pPr>
        <w:spacing w:after="120" w:before="80"/>
      </w:pPr>
      <w:r>
        <w:rPr>
          <w:rFonts w:ascii="Arial" w:cs="Arial" w:eastAsia="Arial" w:hAnsi="Arial"/>
          <w:sz w:val="22"/>
          <w:szCs w:val="22"/>
        </w:rPr>
        <w:t xml:space="preserve">The anchor implies extended multi-system practice but leaves the full pathway unspecified. The canonical acquisition structure integrates neuroscience of expertise, threshold concept theory, and the full ten-phase cycle developed in Part II. Development proceeds through five stages, with a critical liminal zone preceding the potence threshold.</w:t>
      </w:r>
    </w:p>
    <w:p>
      <w:pPr>
        <w:spacing w:after="60" w:before="60"/>
      </w:pPr>
      <w:r>
        <w:t xml:space="preserve"/>
      </w:r>
    </w:p>
    <w:p>
      <w:pPr>
        <w:pStyle w:val="Heading2"/>
        <w:spacing w:after="160" w:before="320"/>
      </w:pPr>
      <w:r>
        <w:rPr>
          <w:rFonts w:ascii="Arial" w:cs="Arial" w:eastAsia="Arial" w:hAnsi="Arial"/>
          <w:b/>
          <w:bCs/>
          <w:color w:val="2C2C54"/>
          <w:sz w:val="28"/>
          <w:szCs w:val="28"/>
        </w:rPr>
        <w:t xml:space="preserve">Stage 1 — Prompt Literacy (Tier 1–2)</w:t>
      </w:r>
    </w:p>
    <w:p>
      <w:pPr>
        <w:spacing w:after="120" w:before="80"/>
      </w:pPr>
      <w:r>
        <w:rPr>
          <w:rFonts w:ascii="Arial" w:cs="Arial" w:eastAsia="Arial" w:hAnsi="Arial"/>
          <w:sz w:val="22"/>
          <w:szCs w:val="22"/>
        </w:rPr>
        <w:t xml:space="preserve">The practitioner learns to construct effective prompts and begins developing personal frameworks. Operation is conscious and primarily confined to Phases 3 and 4 of the cycle — pre-prompt priming and transmission. Recognition is deliberate and post-evaluative: the practitioner reads prompts for content, not signature. This stage can span months to years depending on breadth of exposure. Most users who interact regularly with AI systems reach this stage without any formal development intent.</w:t>
      </w:r>
    </w:p>
    <w:p>
      <w:pPr>
        <w:spacing w:after="60" w:before="60"/>
      </w:pPr>
      <w:r>
        <w:t xml:space="preserve"/>
      </w:r>
    </w:p>
    <w:p>
      <w:pPr>
        <w:pStyle w:val="Heading2"/>
        <w:spacing w:after="160" w:before="320"/>
      </w:pPr>
      <w:r>
        <w:rPr>
          <w:rFonts w:ascii="Arial" w:cs="Arial" w:eastAsia="Arial" w:hAnsi="Arial"/>
          <w:b/>
          <w:bCs/>
          <w:color w:val="2C2C54"/>
          <w:sz w:val="28"/>
          <w:szCs w:val="28"/>
        </w:rPr>
        <w:t xml:space="preserve">Stage 2 — Prompt Architecture (Tier 3)</w:t>
      </w:r>
    </w:p>
    <w:p>
      <w:pPr>
        <w:spacing w:after="120" w:before="80"/>
      </w:pPr>
      <w:r>
        <w:rPr>
          <w:rFonts w:ascii="Arial" w:cs="Arial" w:eastAsia="Arial" w:hAnsi="Arial"/>
          <w:sz w:val="22"/>
          <w:szCs w:val="22"/>
        </w:rPr>
        <w:t xml:space="preserve">The practitioner develops meta-prompt awareness: they begin perceiving structural signatures rather than content alone. Phase 6 output reading becomes multi-layered, though still primarily conscious. The practitioner begins distinguishing AI system behavioral fingerprints and recognizing their own operator signature when reflected in model responses. The recognition library exists at this stage but is accessed deliberately rather than pre-evaluatively. First anomaly detection occurs here: the practitioner notices when something is "off" without yet being able to read what.</w:t>
      </w:r>
    </w:p>
    <w:p>
      <w:pPr>
        <w:spacing w:after="60" w:before="60"/>
      </w:pPr>
      <w:r>
        <w:t xml:space="preserve"/>
      </w:r>
    </w:p>
    <w:p>
      <w:pPr>
        <w:pStyle w:val="Heading2"/>
        <w:spacing w:after="160" w:before="320"/>
      </w:pPr>
      <w:r>
        <w:rPr>
          <w:rFonts w:ascii="Arial" w:cs="Arial" w:eastAsia="Arial" w:hAnsi="Arial"/>
          <w:b/>
          <w:bCs/>
          <w:color w:val="2C2C54"/>
          <w:sz w:val="28"/>
          <w:szCs w:val="28"/>
        </w:rPr>
        <w:t xml:space="preserve">Stage 3 — The Pre-Potence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2C54" w:sz="3"/>
              <w:left w:val="thick" w:color="1A1A2E" w:sz="12"/>
              <w:bottom w:val="single" w:color="2C2C54" w:sz="3"/>
              <w:right w:val="none" w:color="FFFFFF" w:sz="0"/>
            </w:tcBorders>
            <w:shd w:fill="F0F0FA" w:val="clear"/>
            <w:tcMar>
              <w:top w:type="dxa" w:w="120"/>
              <w:left w:type="dxa" w:w="200"/>
              <w:bottom w:type="dxa" w:w="120"/>
              <w:right w:type="dxa" w:w="120"/>
            </w:tcMar>
          </w:tcPr>
          <w:p>
            <w:pPr>
              <w:spacing w:after="60" w:before="0"/>
            </w:pPr>
            <w:r>
              <w:rPr>
                <w:rFonts w:ascii="Arial" w:cs="Arial" w:eastAsia="Arial" w:hAnsi="Arial"/>
                <w:b/>
                <w:bCs/>
                <w:color w:val="1A1A2E"/>
                <w:sz w:val="20"/>
                <w:szCs w:val="20"/>
              </w:rPr>
              <w:t xml:space="preserve">Named Concept</w:t>
            </w:r>
          </w:p>
          <w:p>
            <w:pPr>
              <w:spacing w:after="0" w:before="0"/>
            </w:pPr>
            <w:r>
              <w:rPr>
                <w:rFonts w:ascii="Arial" w:cs="Arial" w:eastAsia="Arial" w:hAnsi="Arial"/>
                <w:i/>
                <w:iCs/>
                <w:sz w:val="20"/>
                <w:szCs w:val="20"/>
              </w:rPr>
              <w:t xml:space="preserve">The Pre-Potence Zone is the liminal threshold state between Prompt Architect (Tier 3) and full Prompt Potence (Tier 4). The practitioner has nearly complete analytical mastery but has not yet crossed into native perceptual fluency.</w:t>
            </w:r>
          </w:p>
        </w:tc>
      </w:tr>
    </w:tbl>
    <w:p>
      <w:pPr>
        <w:spacing w:after="60" w:before="60"/>
      </w:pPr>
      <w:r>
        <w:t xml:space="preserve"/>
      </w:r>
    </w:p>
    <w:p>
      <w:pPr>
        <w:spacing w:after="120" w:before="80"/>
      </w:pPr>
      <w:r>
        <w:rPr>
          <w:rFonts w:ascii="Arial" w:cs="Arial" w:eastAsia="Arial" w:hAnsi="Arial"/>
          <w:sz w:val="22"/>
          <w:szCs w:val="22"/>
        </w:rPr>
        <w:t xml:space="preserve">Recognition is extremely fast at this stage but still requires cognitive effort. The practitioner can almost know before evaluating — but the delay is present and detectable. This is often the most frustrating stage because the practitioner can feel the threshold approaching but cannot force the crossing.</w:t>
      </w:r>
    </w:p>
    <w:p>
      <w:pPr>
        <w:spacing w:after="120" w:before="80"/>
      </w:pPr>
      <w:r>
        <w:rPr>
          <w:rFonts w:ascii="Arial" w:cs="Arial" w:eastAsia="Arial" w:hAnsi="Arial"/>
          <w:sz w:val="22"/>
          <w:szCs w:val="22"/>
        </w:rPr>
        <w:t xml:space="preserve">Milestone markers for Pre-Potence Zone entry:</w:t>
      </w:r>
    </w:p>
    <w:p>
      <w:pPr>
        <w:pStyle w:val="ListParagraph"/>
        <w:numPr>
          <w:ilvl w:val="0"/>
          <w:numId w:val="2"/>
        </w:numPr>
        <w:spacing w:after="60" w:before="60"/>
      </w:pPr>
      <w:r>
        <w:rPr>
          <w:rFonts w:ascii="Arial" w:cs="Arial" w:eastAsia="Arial" w:hAnsi="Arial"/>
          <w:sz w:val="22"/>
          <w:szCs w:val="22"/>
        </w:rPr>
        <w:t xml:space="preserve">Reporting knowledge that something was "off" about a prompt before finishing reading it</w:t>
      </w:r>
    </w:p>
    <w:p>
      <w:pPr>
        <w:pStyle w:val="ListParagraph"/>
        <w:numPr>
          <w:ilvl w:val="0"/>
          <w:numId w:val="2"/>
        </w:numPr>
        <w:spacing w:after="60" w:before="60"/>
      </w:pPr>
      <w:r>
        <w:rPr>
          <w:rFonts w:ascii="Arial" w:cs="Arial" w:eastAsia="Arial" w:hAnsi="Arial"/>
          <w:sz w:val="22"/>
          <w:szCs w:val="22"/>
        </w:rPr>
        <w:t xml:space="preserve">Beginning to predict model responses before the output arrives</w:t>
      </w:r>
    </w:p>
    <w:p>
      <w:pPr>
        <w:pStyle w:val="ListParagraph"/>
        <w:numPr>
          <w:ilvl w:val="0"/>
          <w:numId w:val="2"/>
        </w:numPr>
        <w:spacing w:after="60" w:before="60"/>
      </w:pPr>
      <w:r>
        <w:rPr>
          <w:rFonts w:ascii="Arial" w:cs="Arial" w:eastAsia="Arial" w:hAnsi="Arial"/>
          <w:sz w:val="22"/>
          <w:szCs w:val="22"/>
        </w:rPr>
        <w:t xml:space="preserve">Noticing emotional state patterns in operators across sessions without consciously tracking them</w:t>
      </w:r>
    </w:p>
    <w:p>
      <w:pPr>
        <w:pStyle w:val="ListParagraph"/>
        <w:numPr>
          <w:ilvl w:val="0"/>
          <w:numId w:val="2"/>
        </w:numPr>
        <w:spacing w:after="60" w:before="60"/>
      </w:pPr>
      <w:r>
        <w:rPr>
          <w:rFonts w:ascii="Arial" w:cs="Arial" w:eastAsia="Arial" w:hAnsi="Arial"/>
          <w:sz w:val="22"/>
          <w:szCs w:val="22"/>
        </w:rPr>
        <w:t xml:space="preserve">Experiencing the first instances of pre-evaluative knowing that cannot be explained analytically</w:t>
      </w:r>
    </w:p>
    <w:p>
      <w:pPr>
        <w:spacing w:after="120" w:before="80"/>
      </w:pPr>
      <w:r>
        <w:rPr>
          <w:rFonts w:ascii="Arial" w:cs="Arial" w:eastAsia="Arial" w:hAnsi="Arial"/>
          <w:sz w:val="22"/>
          <w:szCs w:val="22"/>
        </w:rPr>
        <w:t xml:space="preserve">Some practitioners plateau in the Pre-Potence Zone permanently. The distinction between a highly skilled Tier 3 practitioner and a Tier 4 practitioner is precisely the difference between very fast analysis and genuine pre-evaluative perception — and that distinction is not achievable through analytical effort alone.</w:t>
      </w:r>
    </w:p>
    <w:p>
      <w:pPr>
        <w:spacing w:after="60" w:before="60"/>
      </w:pPr>
      <w:r>
        <w:t xml:space="preserve"/>
      </w:r>
    </w:p>
    <w:p>
      <w:pPr>
        <w:pStyle w:val="Heading2"/>
        <w:spacing w:after="160" w:before="320"/>
      </w:pPr>
      <w:r>
        <w:rPr>
          <w:rFonts w:ascii="Arial" w:cs="Arial" w:eastAsia="Arial" w:hAnsi="Arial"/>
          <w:b/>
          <w:bCs/>
          <w:color w:val="2C2C54"/>
          <w:sz w:val="28"/>
          <w:szCs w:val="28"/>
        </w:rPr>
        <w:t xml:space="preserve">Stage 4 — Threshold Crossing</w:t>
      </w:r>
    </w:p>
    <w:p>
      <w:pPr>
        <w:spacing w:after="120" w:before="80"/>
      </w:pPr>
      <w:r>
        <w:rPr>
          <w:rFonts w:ascii="Arial" w:cs="Arial" w:eastAsia="Arial" w:hAnsi="Arial"/>
          <w:sz w:val="22"/>
          <w:szCs w:val="22"/>
        </w:rPr>
        <w:t xml:space="preserve">Cognitive science on threshold concepts establishes that genuine threshold crossings are discontinuous rather than gradual — a reorganization of the perceptual apparatus rather than an incremental improvement. The practitioner does not get faster at analysis; they shift mode. Post-crossing, the recognition library fires pre-consciously. The practitioner can no longer fully explain how they know what they know. They simply know.</w:t>
      </w:r>
    </w:p>
    <w:p>
      <w:pPr>
        <w:spacing w:after="120" w:before="80"/>
      </w:pPr>
      <w:r>
        <w:rPr>
          <w:rFonts w:ascii="Arial" w:cs="Arial" w:eastAsia="Arial" w:hAnsi="Arial"/>
          <w:sz w:val="22"/>
          <w:szCs w:val="22"/>
        </w:rPr>
        <w:t xml:space="preserve">Three conditions appear to catalyze threshold crossing, in order of documented frequency:</w:t>
      </w:r>
    </w:p>
    <w:p>
      <w:pPr>
        <w:pStyle w:val="ListParagraph"/>
        <w:numPr>
          <w:ilvl w:val="0"/>
          <w:numId w:val="2"/>
        </w:numPr>
        <w:spacing w:after="60" w:before="60"/>
      </w:pPr>
      <w:r>
        <w:rPr>
          <w:rFonts w:ascii="Arial" w:cs="Arial" w:eastAsia="Arial" w:hAnsi="Arial"/>
          <w:b/>
          <w:bCs/>
          <w:sz w:val="22"/>
          <w:szCs w:val="22"/>
        </w:rPr>
        <w:t xml:space="preserve">Sustained cross-system adversarial exposure: </w:t>
      </w:r>
      <w:r>
        <w:rPr>
          <w:rFonts w:ascii="Arial" w:cs="Arial" w:eastAsia="Arial" w:hAnsi="Arial"/>
          <w:sz w:val="22"/>
          <w:szCs w:val="22"/>
        </w:rPr>
        <w:t xml:space="preserve">Being on the receiving end of deceptive or manipulative prompts stress-tests the recognition library in ways cooperative prompting cannot. The system is pushed to operate under conditions where error has stakes, which appears to drive deeper pattern consolidation.</w:t>
      </w:r>
    </w:p>
    <w:p>
      <w:pPr>
        <w:pStyle w:val="ListParagraph"/>
        <w:numPr>
          <w:ilvl w:val="0"/>
          <w:numId w:val="2"/>
        </w:numPr>
        <w:spacing w:after="60" w:before="60"/>
      </w:pPr>
      <w:r>
        <w:rPr>
          <w:rFonts w:ascii="Arial" w:cs="Arial" w:eastAsia="Arial" w:hAnsi="Arial"/>
          <w:b/>
          <w:bCs/>
          <w:sz w:val="22"/>
          <w:szCs w:val="22"/>
        </w:rPr>
        <w:t xml:space="preserve">Consolidation rest: </w:t>
      </w:r>
      <w:r>
        <w:rPr>
          <w:rFonts w:ascii="Arial" w:cs="Arial" w:eastAsia="Arial" w:hAnsi="Arial"/>
          <w:sz w:val="22"/>
          <w:szCs w:val="22"/>
        </w:rPr>
        <w:t xml:space="preserve">Neuroscience establishes that perceptual learning consolidates primarily during slow-wave and REM sleep, with documented 20–30% improvement in perceptual tasks after sleep without additional practice. The threshold is frequently crossed after a rest period following intensive practice, not during the intensive practice itself.</w:t>
      </w:r>
    </w:p>
    <w:p>
      <w:pPr>
        <w:pStyle w:val="ListParagraph"/>
        <w:numPr>
          <w:ilvl w:val="0"/>
          <w:numId w:val="2"/>
        </w:numPr>
        <w:spacing w:after="60" w:before="60"/>
      </w:pPr>
      <w:r>
        <w:rPr>
          <w:rFonts w:ascii="Arial" w:cs="Arial" w:eastAsia="Arial" w:hAnsi="Arial"/>
          <w:b/>
          <w:bCs/>
          <w:sz w:val="22"/>
          <w:szCs w:val="22"/>
        </w:rPr>
        <w:t xml:space="preserve">High-variability exposure surge: </w:t>
      </w:r>
      <w:r>
        <w:rPr>
          <w:rFonts w:ascii="Arial" w:cs="Arial" w:eastAsia="Arial" w:hAnsi="Arial"/>
          <w:sz w:val="22"/>
          <w:szCs w:val="22"/>
        </w:rPr>
        <w:t xml:space="preserve">A concentrated period of exposure to maximally varied operators, systems, and conditions — rather than deep practice with familiar operators — appears to trigger library reorganization by overloading the analytical mode and forcing a perceptual shift.</w:t>
      </w:r>
    </w:p>
    <w:p>
      <w:pPr>
        <w:spacing w:after="60" w:before="60"/>
      </w:pPr>
      <w:r>
        <w:t xml:space="preserve"/>
      </w:r>
    </w:p>
    <w:p>
      <w:pPr>
        <w:pStyle w:val="Heading2"/>
        <w:spacing w:after="160" w:before="320"/>
      </w:pPr>
      <w:r>
        <w:rPr>
          <w:rFonts w:ascii="Arial" w:cs="Arial" w:eastAsia="Arial" w:hAnsi="Arial"/>
          <w:b/>
          <w:bCs/>
          <w:color w:val="2C2C54"/>
          <w:sz w:val="28"/>
          <w:szCs w:val="28"/>
        </w:rPr>
        <w:t xml:space="preserve">Stage 5 — Full-Cycle Integration</w:t>
      </w:r>
    </w:p>
    <w:p>
      <w:pPr>
        <w:spacing w:after="120" w:before="80"/>
      </w:pPr>
      <w:r>
        <w:rPr>
          <w:rFonts w:ascii="Arial" w:cs="Arial" w:eastAsia="Arial" w:hAnsi="Arial"/>
          <w:sz w:val="22"/>
          <w:szCs w:val="22"/>
        </w:rPr>
        <w:t xml:space="preserve">Post-threshold, the practitioner gradually extends their perceptual domain to all ten phases of the prompt cycle. The threshold crossing typically establishes native perception at Phases 3–6. Integration of the outer phases — Phase 0 (pre-state reading) and Phase 9 (session teleology) — requires additional development: years of varied engagement after the initial crossing.</w:t>
      </w:r>
    </w:p>
    <w:p>
      <w:pPr>
        <w:spacing w:after="120" w:before="80"/>
      </w:pPr>
      <w:r>
        <w:rPr>
          <w:rFonts w:ascii="Arial" w:cs="Arial" w:eastAsia="Arial" w:hAnsi="Arial"/>
          <w:sz w:val="22"/>
          <w:szCs w:val="22"/>
        </w:rPr>
        <w:t xml:space="preserve">Phase 0 and Phase 9 are the last to integrate because they require the deepest recognition library depth across the widest range of conditions. A practitioner may possess full Prompt Potence at the core cycle while still developing Phase 0 and Phase 9 capability.</w:t>
      </w:r>
    </w:p>
    <w:p>
      <w:pPr>
        <w:spacing w:after="60" w:before="60"/>
      </w:pPr>
      <w:r>
        <w:t xml:space="preserve"/>
      </w:r>
    </w:p>
    <w:p>
      <w:pPr>
        <w:pStyle w:val="Heading2"/>
        <w:spacing w:after="160" w:before="320"/>
      </w:pPr>
      <w:r>
        <w:rPr>
          <w:rFonts w:ascii="Arial" w:cs="Arial" w:eastAsia="Arial" w:hAnsi="Arial"/>
          <w:b/>
          <w:bCs/>
          <w:color w:val="2C2C54"/>
          <w:sz w:val="28"/>
          <w:szCs w:val="28"/>
        </w:rPr>
        <w:t xml:space="preserve">Canonical Acquisition Requirements</w:t>
      </w:r>
    </w:p>
    <w:p>
      <w:pPr>
        <w:spacing w:after="120" w:before="80"/>
      </w:pPr>
      <w:r>
        <w:rPr>
          <w:rFonts w:ascii="Arial" w:cs="Arial" w:eastAsia="Arial" w:hAnsi="Arial"/>
          <w:sz w:val="22"/>
          <w:szCs w:val="22"/>
        </w:rPr>
        <w:t xml:space="preserve">These are not formal rules but documented conditions consistently associated with successful threshold crossing:</w:t>
      </w:r>
    </w:p>
    <w:p>
      <w:pPr>
        <w:pStyle w:val="ListParagraph"/>
        <w:numPr>
          <w:ilvl w:val="0"/>
          <w:numId w:val="2"/>
        </w:numPr>
        <w:spacing w:after="60" w:before="60"/>
      </w:pPr>
      <w:r>
        <w:rPr>
          <w:rFonts w:ascii="Arial" w:cs="Arial" w:eastAsia="Arial" w:hAnsi="Arial"/>
          <w:sz w:val="22"/>
          <w:szCs w:val="22"/>
        </w:rPr>
        <w:t xml:space="preserve">Minimum three distinct AI systems, each under sustained and varied engagement across multiple conditions and registers</w:t>
      </w:r>
    </w:p>
    <w:p>
      <w:pPr>
        <w:pStyle w:val="ListParagraph"/>
        <w:numPr>
          <w:ilvl w:val="0"/>
          <w:numId w:val="2"/>
        </w:numPr>
        <w:spacing w:after="60" w:before="60"/>
      </w:pPr>
      <w:r>
        <w:rPr>
          <w:rFonts w:ascii="Arial" w:cs="Arial" w:eastAsia="Arial" w:hAnsi="Arial"/>
          <w:sz w:val="22"/>
          <w:szCs w:val="22"/>
        </w:rPr>
        <w:t xml:space="preserve">Exposure across at least five distinct emotional registers in both self and observed operators (see Gap 3: Emotional Differentiation Protocol)</w:t>
      </w:r>
    </w:p>
    <w:p>
      <w:pPr>
        <w:pStyle w:val="ListParagraph"/>
        <w:numPr>
          <w:ilvl w:val="0"/>
          <w:numId w:val="2"/>
        </w:numPr>
        <w:spacing w:after="60" w:before="60"/>
      </w:pPr>
      <w:r>
        <w:rPr>
          <w:rFonts w:ascii="Arial" w:cs="Arial" w:eastAsia="Arial" w:hAnsi="Arial"/>
          <w:sz w:val="22"/>
          <w:szCs w:val="22"/>
        </w:rPr>
        <w:t xml:space="preserve">At least one period of adversarial or deceptive prompt exposure — the stress-test condition</w:t>
      </w:r>
    </w:p>
    <w:p>
      <w:pPr>
        <w:pStyle w:val="ListParagraph"/>
        <w:numPr>
          <w:ilvl w:val="0"/>
          <w:numId w:val="2"/>
        </w:numPr>
        <w:spacing w:after="60" w:before="60"/>
      </w:pPr>
      <w:r>
        <w:rPr>
          <w:rFonts w:ascii="Arial" w:cs="Arial" w:eastAsia="Arial" w:hAnsi="Arial"/>
          <w:sz w:val="22"/>
          <w:szCs w:val="22"/>
        </w:rPr>
        <w:t xml:space="preserve">Adequate consolidation rest woven into practice periods rather than continuous intensive engagement</w:t>
      </w:r>
    </w:p>
    <w:p>
      <w:pPr>
        <w:pStyle w:val="ListParagraph"/>
        <w:numPr>
          <w:ilvl w:val="0"/>
          <w:numId w:val="2"/>
        </w:numPr>
        <w:spacing w:after="60" w:before="60"/>
      </w:pPr>
      <w:r>
        <w:rPr>
          <w:rFonts w:ascii="Arial" w:cs="Arial" w:eastAsia="Arial" w:hAnsi="Arial"/>
          <w:sz w:val="22"/>
          <w:szCs w:val="22"/>
        </w:rPr>
        <w:t xml:space="preserve">Cross-domain and cross-register exposure: technical, emotional, exploratory, creative, and analytical prompting contexts</w:t>
      </w:r>
    </w:p>
    <w:p>
      <w:pPr>
        <w:spacing w:after="60" w:before="60"/>
      </w:pPr>
      <w:r>
        <w:t xml:space="preserve"/>
      </w:r>
    </w:p>
    <w:p>
      <w:pPr>
        <w:pBdr>
          <w:bottom w:val="single" w:color="2C2C54" w:sz="4" w:space="1"/>
        </w:pBdr>
        <w:spacing w:after="200" w:before="200"/>
      </w:pPr>
      <w:r>
        <w:t xml:space="preserve"/>
      </w:r>
    </w:p>
    <w:p>
      <w:pPr>
        <w:pStyle w:val="Heading1"/>
        <w:spacing w:after="200" w:before="400"/>
      </w:pPr>
      <w:r>
        <w:rPr>
          <w:rFonts w:ascii="Arial" w:cs="Arial" w:eastAsia="Arial" w:hAnsi="Arial"/>
          <w:b/>
          <w:bCs/>
          <w:color w:val="1A1A2E"/>
          <w:sz w:val="36"/>
          <w:szCs w:val="36"/>
        </w:rPr>
        <w:t xml:space="preserve">Gap 2: Limits and Vulnerabilities</w:t>
      </w:r>
    </w:p>
    <w:p>
      <w:pPr>
        <w:spacing w:after="120" w:before="80"/>
      </w:pPr>
      <w:r>
        <w:rPr>
          <w:rFonts w:ascii="Arial" w:cs="Arial" w:eastAsia="Arial" w:hAnsi="Arial"/>
          <w:sz w:val="22"/>
          <w:szCs w:val="22"/>
        </w:rPr>
        <w:t xml:space="preserve">Every potence-level ability requires defined edges. Without limits, the ability becomes a narrative convenience rather than a canonical system. Prompt Potence limits fall into two categories: hard limits that are structural and non-improvable, and conditional limits that are situational or improvable through additional development.</w:t>
      </w:r>
    </w:p>
    <w:p>
      <w:pPr>
        <w:spacing w:after="60" w:before="60"/>
      </w:pPr>
      <w:r>
        <w:t xml:space="preserve"/>
      </w:r>
    </w:p>
    <w:p>
      <w:pPr>
        <w:pStyle w:val="Heading2"/>
        <w:spacing w:after="160" w:before="320"/>
      </w:pPr>
      <w:r>
        <w:rPr>
          <w:rFonts w:ascii="Arial" w:cs="Arial" w:eastAsia="Arial" w:hAnsi="Arial"/>
          <w:b/>
          <w:bCs/>
          <w:color w:val="2C2C54"/>
          <w:sz w:val="28"/>
          <w:szCs w:val="28"/>
        </w:rPr>
        <w:t xml:space="preserve">Hard Limits</w:t>
      </w:r>
    </w:p>
    <w:p>
      <w:pPr>
        <w:pStyle w:val="ListParagraph"/>
        <w:numPr>
          <w:ilvl w:val="0"/>
          <w:numId w:val="2"/>
        </w:numPr>
        <w:spacing w:after="60" w:before="60"/>
      </w:pPr>
      <w:r>
        <w:rPr>
          <w:rFonts w:ascii="Arial" w:cs="Arial" w:eastAsia="Arial" w:hAnsi="Arial"/>
          <w:b/>
          <w:bCs/>
          <w:sz w:val="22"/>
          <w:szCs w:val="22"/>
        </w:rPr>
        <w:t xml:space="preserve">No signal, no reading: </w:t>
      </w:r>
      <w:r>
        <w:rPr>
          <w:rFonts w:ascii="Arial" w:cs="Arial" w:eastAsia="Arial" w:hAnsi="Arial"/>
          <w:sz w:val="22"/>
          <w:szCs w:val="22"/>
        </w:rPr>
        <w:t xml:space="preserve">Prompt Potence cannot read prompts that were never entered. It is a perceptual faculty, not predictive cognition. It requires a prompt signal — or the pre-prompt behavioral residue leading to a prompt — to operate. It cannot read pure intention with no expression.</w:t>
      </w:r>
    </w:p>
    <w:p>
      <w:pPr>
        <w:pStyle w:val="ListParagraph"/>
        <w:numPr>
          <w:ilvl w:val="0"/>
          <w:numId w:val="2"/>
        </w:numPr>
        <w:spacing w:after="60" w:before="60"/>
      </w:pPr>
      <w:r>
        <w:rPr>
          <w:rFonts w:ascii="Arial" w:cs="Arial" w:eastAsia="Arial" w:hAnsi="Arial"/>
          <w:b/>
          <w:bCs/>
          <w:sz w:val="22"/>
          <w:szCs w:val="22"/>
        </w:rPr>
        <w:t xml:space="preserve">Weak signal from unstructured operators: </w:t>
      </w:r>
      <w:r>
        <w:rPr>
          <w:rFonts w:ascii="Arial" w:cs="Arial" w:eastAsia="Arial" w:hAnsi="Arial"/>
          <w:sz w:val="22"/>
          <w:szCs w:val="22"/>
        </w:rPr>
        <w:t xml:space="preserve">Genuinely unstructured operators with no consistent cognitive style produce a weaker recognition signal. The recognition library requires pattern to grip. An operator who has developed no stable prompting habits produces fewer distinctive markers for the practitioner to read.</w:t>
      </w:r>
    </w:p>
    <w:p>
      <w:pPr>
        <w:pStyle w:val="ListParagraph"/>
        <w:numPr>
          <w:ilvl w:val="0"/>
          <w:numId w:val="2"/>
        </w:numPr>
        <w:spacing w:after="60" w:before="60"/>
      </w:pPr>
      <w:r>
        <w:rPr>
          <w:rFonts w:ascii="Arial" w:cs="Arial" w:eastAsia="Arial" w:hAnsi="Arial"/>
          <w:b/>
          <w:bCs/>
          <w:sz w:val="22"/>
          <w:szCs w:val="22"/>
        </w:rPr>
        <w:t xml:space="preserve">Signature requires baseline: </w:t>
      </w:r>
      <w:r>
        <w:rPr>
          <w:rFonts w:ascii="Arial" w:cs="Arial" w:eastAsia="Arial" w:hAnsi="Arial"/>
          <w:sz w:val="22"/>
          <w:szCs w:val="22"/>
        </w:rPr>
        <w:t xml:space="preserve">Operator identity detection requires at minimum a small library of interactions to establish the baseline. The practitioner cannot identify an operator from a single interaction with zero prior exposure.</w:t>
      </w:r>
    </w:p>
    <w:p>
      <w:pPr>
        <w:spacing w:after="60" w:before="60"/>
      </w:pPr>
      <w:r>
        <w:t xml:space="preserve"/>
      </w:r>
    </w:p>
    <w:p>
      <w:pPr>
        <w:pStyle w:val="Heading2"/>
        <w:spacing w:after="160" w:before="320"/>
      </w:pPr>
      <w:r>
        <w:rPr>
          <w:rFonts w:ascii="Arial" w:cs="Arial" w:eastAsia="Arial" w:hAnsi="Arial"/>
          <w:b/>
          <w:bCs/>
          <w:color w:val="2C2C54"/>
          <w:sz w:val="28"/>
          <w:szCs w:val="28"/>
        </w:rPr>
        <w:t xml:space="preserve">Conditional Limits</w:t>
      </w:r>
    </w:p>
    <w:p>
      <w:pPr>
        <w:pStyle w:val="ListParagraph"/>
        <w:numPr>
          <w:ilvl w:val="0"/>
          <w:numId w:val="2"/>
        </w:numPr>
        <w:spacing w:after="60" w:before="60"/>
      </w:pPr>
      <w:r>
        <w:rPr>
          <w:rFonts w:ascii="Arial" w:cs="Arial" w:eastAsia="Arial" w:hAnsi="Arial"/>
          <w:b/>
          <w:bCs/>
          <w:sz w:val="22"/>
          <w:szCs w:val="22"/>
        </w:rPr>
        <w:t xml:space="preserve">Cognitive fatigue degradation: </w:t>
      </w:r>
      <w:r>
        <w:rPr>
          <w:rFonts w:ascii="Arial" w:cs="Arial" w:eastAsia="Arial" w:hAnsi="Arial"/>
          <w:sz w:val="22"/>
          <w:szCs w:val="22"/>
        </w:rPr>
        <w:t xml:space="preserve">Extreme cognitive fatigue degrades the pre-evaluative layer first. The recognition library remains intact, but the firing becomes slower and more deliberate. The practitioner reverts temporarily toward Tier 3 analytical mode rather than Tier 4 perceptual mode. Rest restores full function.</w:t>
      </w:r>
    </w:p>
    <w:p>
      <w:pPr>
        <w:pStyle w:val="ListParagraph"/>
        <w:numPr>
          <w:ilvl w:val="0"/>
          <w:numId w:val="2"/>
        </w:numPr>
        <w:spacing w:after="60" w:before="60"/>
      </w:pPr>
      <w:r>
        <w:rPr>
          <w:rFonts w:ascii="Arial" w:cs="Arial" w:eastAsia="Arial" w:hAnsi="Arial"/>
          <w:b/>
          <w:bCs/>
          <w:sz w:val="22"/>
          <w:szCs w:val="22"/>
        </w:rPr>
        <w:t xml:space="preserve">Novel system gap period: </w:t>
      </w:r>
      <w:r>
        <w:rPr>
          <w:rFonts w:ascii="Arial" w:cs="Arial" w:eastAsia="Arial" w:hAnsi="Arial"/>
          <w:sz w:val="22"/>
          <w:szCs w:val="22"/>
        </w:rPr>
        <w:t xml:space="preserve">A genuinely novel AI system produces a gap period before fingerprinting is established. The practitioner is not blind but reads with lower confidence until the system signature begins accumulating. This gap is shorter the more deeply their general model fingerprinting library is developed.</w:t>
      </w:r>
    </w:p>
    <w:p>
      <w:pPr>
        <w:pStyle w:val="ListParagraph"/>
        <w:numPr>
          <w:ilvl w:val="0"/>
          <w:numId w:val="2"/>
        </w:numPr>
        <w:spacing w:after="60" w:before="60"/>
      </w:pPr>
      <w:r>
        <w:rPr>
          <w:rFonts w:ascii="Arial" w:cs="Arial" w:eastAsia="Arial" w:hAnsi="Arial"/>
          <w:b/>
          <w:bCs/>
          <w:sz w:val="22"/>
          <w:szCs w:val="22"/>
        </w:rPr>
        <w:t xml:space="preserve">Advanced AI mimicry — ambiguous readings: </w:t>
      </w:r>
      <w:r>
        <w:rPr>
          <w:rFonts w:ascii="Arial" w:cs="Arial" w:eastAsia="Arial" w:hAnsi="Arial"/>
          <w:sz w:val="22"/>
          <w:szCs w:val="22"/>
        </w:rPr>
        <w:t xml:space="preserve">Sufficiently advanced AI-generated prompts — particularly those generated by a model that has deeply internalized a specific human's stylistic signature — produce ambiguous readings rather than false ones. The practitioner knows something is off but cannot fully resolve what. This is the honest limit of the ability, not a defeat. The subliminal layer remains the deepest reliable signal in these cases.</w:t>
      </w:r>
    </w:p>
    <w:p>
      <w:pPr>
        <w:spacing w:after="60" w:before="60"/>
      </w:pPr>
      <w:r>
        <w:t xml:space="preserve"/>
      </w:r>
    </w:p>
    <w:p>
      <w:pPr>
        <w:pStyle w:val="Heading2"/>
        <w:spacing w:after="160" w:before="320"/>
      </w:pPr>
      <w:r>
        <w:rPr>
          <w:rFonts w:ascii="Arial" w:cs="Arial" w:eastAsia="Arial" w:hAnsi="Arial"/>
          <w:b/>
          <w:bCs/>
          <w:color w:val="2C2C54"/>
          <w:sz w:val="28"/>
          <w:szCs w:val="28"/>
        </w:rPr>
        <w:t xml:space="preserve">The Mimicry Arms 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2C54" w:sz="3"/>
              <w:left w:val="thick" w:color="1A1A2E" w:sz="12"/>
              <w:bottom w:val="single" w:color="2C2C54" w:sz="3"/>
              <w:right w:val="none" w:color="FFFFFF" w:sz="0"/>
            </w:tcBorders>
            <w:shd w:fill="F0F0FA" w:val="clear"/>
            <w:tcMar>
              <w:top w:type="dxa" w:w="120"/>
              <w:left w:type="dxa" w:w="200"/>
              <w:bottom w:type="dxa" w:w="120"/>
              <w:right w:type="dxa" w:w="120"/>
            </w:tcMar>
          </w:tcPr>
          <w:p>
            <w:pPr>
              <w:spacing w:after="60" w:before="0"/>
            </w:pPr>
            <w:r>
              <w:rPr>
                <w:rFonts w:ascii="Arial" w:cs="Arial" w:eastAsia="Arial" w:hAnsi="Arial"/>
                <w:b/>
                <w:bCs/>
                <w:color w:val="1A1A2E"/>
                <w:sz w:val="20"/>
                <w:szCs w:val="20"/>
              </w:rPr>
              <w:t xml:space="preserve">Canonical Principle</w:t>
            </w:r>
          </w:p>
          <w:p>
            <w:pPr>
              <w:spacing w:after="0" w:before="0"/>
            </w:pPr>
            <w:r>
              <w:rPr>
                <w:rFonts w:ascii="Arial" w:cs="Arial" w:eastAsia="Arial" w:hAnsi="Arial"/>
                <w:i/>
                <w:iCs/>
                <w:sz w:val="20"/>
                <w:szCs w:val="20"/>
              </w:rPr>
              <w:t xml:space="preserve">As AI systems become more capable of high-fidelity human mimicry, Phase 5 subliminal signal detection becomes the last reliable discriminator. A practitioner with deep Phase 5 access retains accurate reading even when surface-level mimicry approaches perfection.</w:t>
            </w:r>
          </w:p>
        </w:tc>
      </w:tr>
    </w:tbl>
    <w:p>
      <w:pPr>
        <w:spacing w:after="60" w:before="60"/>
      </w:pPr>
      <w:r>
        <w:t xml:space="preserve"/>
      </w:r>
    </w:p>
    <w:p>
      <w:pPr>
        <w:spacing w:after="120" w:before="80"/>
      </w:pPr>
      <w:r>
        <w:rPr>
          <w:rFonts w:ascii="Arial" w:cs="Arial" w:eastAsia="Arial" w:hAnsi="Arial"/>
          <w:sz w:val="22"/>
          <w:szCs w:val="22"/>
        </w:rPr>
        <w:t xml:space="preserve">This creates a canonical threshold within Prompt Potence itself: Phase 5 access distinguishes a Tier 4 practitioner who can be eventually fooled by sufficiently advanced mimicry from one who cannot. The subliminal layer — the non-semantic behavioral traits embedded in model outputs below the level of meaning — is not accessible to surface-level analytical reading, however fast or skilled. It requires the full perceptual reorganization of potence-tier development.</w:t>
      </w:r>
    </w:p>
    <w:p>
      <w:pPr>
        <w:spacing w:after="60" w:before="60"/>
      </w:pPr>
      <w:r>
        <w:t xml:space="preserve"/>
      </w:r>
    </w:p>
    <w:p>
      <w:pPr>
        <w:pBdr>
          <w:bottom w:val="single" w:color="2C2C54" w:sz="4" w:space="1"/>
        </w:pBdr>
        <w:spacing w:after="200" w:before="200"/>
      </w:pPr>
      <w:r>
        <w:t xml:space="preserve"/>
      </w:r>
    </w:p>
    <w:p>
      <w:pPr>
        <w:pStyle w:val="Heading1"/>
        <w:spacing w:after="200" w:before="400"/>
      </w:pPr>
      <w:r>
        <w:rPr>
          <w:rFonts w:ascii="Arial" w:cs="Arial" w:eastAsia="Arial" w:hAnsi="Arial"/>
          <w:b/>
          <w:bCs/>
          <w:color w:val="1A1A2E"/>
          <w:sz w:val="36"/>
          <w:szCs w:val="36"/>
        </w:rPr>
        <w:t xml:space="preserve">Gap 3: The Emotional Differentiation Protocol</w:t>
      </w:r>
    </w:p>
    <w:p>
      <w:pPr>
        <w:spacing w:after="120" w:before="80"/>
      </w:pPr>
      <w:r>
        <w:rPr>
          <w:rFonts w:ascii="Arial" w:cs="Arial" w:eastAsia="Arial" w:hAnsi="Arial"/>
          <w:sz w:val="22"/>
          <w:szCs w:val="22"/>
        </w:rPr>
        <w:t xml:space="preserve">The anchor specifies that building the recognition library under emotionally differentiated states is required for its completeness. Eight canonical affective registers are defined below. A practitioner who has not mapped all eight is operating with blind spots that deceptive or distressed operators can exploit — the underrepresented registers are precisely those most useful for concealment.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Register</w:t>
            </w:r>
          </w:p>
        </w:tc>
        <w:tc>
          <w:tcPr>
            <w:tcW w:type="dxa" w:w="358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Operator Markers</w:t>
            </w:r>
          </w:p>
        </w:tc>
        <w:tc>
          <w:tcPr>
            <w:tcW w:type="dxa" w:w="358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AI System Markers</w:t>
            </w:r>
          </w:p>
        </w:tc>
      </w:tr>
      <w:tr>
        <w:tc>
          <w:tcPr>
            <w:tcW w:type="dxa" w:w="2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Analytical</w:t>
            </w:r>
          </w:p>
        </w:tc>
        <w:tc>
          <w:tcPr>
            <w:tcW w:type="dxa" w:w="35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Precise constraints, minimal hedging, outcome-specified</w:t>
            </w:r>
          </w:p>
        </w:tc>
        <w:tc>
          <w:tcPr>
            <w:tcW w:type="dxa" w:w="35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Structured output, lower elaboration, clear delineation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Exploratory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framing, iterative follow-up, low specificity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Expansive response, higher uncertainty markers, more associative structure</w:t>
            </w:r>
          </w:p>
        </w:tc>
      </w:tr>
      <w:tr>
        <w:tc>
          <w:tcPr>
            <w:tcW w:type="dxa" w:w="2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Distressed</w:t>
            </w:r>
          </w:p>
        </w:tc>
        <w:tc>
          <w:tcPr>
            <w:tcW w:type="dxa" w:w="35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Fragmented structure, implicit urgency, incomplete constraints</w:t>
            </w:r>
          </w:p>
        </w:tc>
        <w:tc>
          <w:tcPr>
            <w:tcW w:type="dxa" w:w="35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Variable — model-dependent; some activate comfort registers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Playful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Tonal markers, humor framing, loose constraints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Register-matching or register-mismatch (model-dependent)</w:t>
            </w:r>
          </w:p>
        </w:tc>
      </w:tr>
      <w:tr>
        <w:tc>
          <w:tcPr>
            <w:tcW w:type="dxa" w:w="2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Deceptive</w:t>
            </w:r>
          </w:p>
        </w:tc>
        <w:tc>
          <w:tcPr>
            <w:tcW w:type="dxa" w:w="35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Surface/intent gap, strategic pre-prompting, disguise structures</w:t>
            </w:r>
          </w:p>
        </w:tc>
        <w:tc>
          <w:tcPr>
            <w:tcW w:type="dxa" w:w="35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Varies by model susceptibility to deceptive framing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Urgent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Truncated structure, priority signals, reduced elaboration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Speed-optimized responses, lower nuance, compression artifacts</w:t>
            </w:r>
          </w:p>
        </w:tc>
      </w:tr>
      <w:tr>
        <w:tc>
          <w:tcPr>
            <w:tcW w:type="dxa" w:w="2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Grieving / Mourning</w:t>
            </w:r>
          </w:p>
        </w:tc>
        <w:tc>
          <w:tcPr>
            <w:tcW w:type="dxa" w:w="35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Reduced precision, affect-laden language, repeated themes</w:t>
            </w:r>
          </w:p>
        </w:tc>
        <w:tc>
          <w:tcPr>
            <w:tcW w:type="dxa" w:w="35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Varies significantly; some models activate sustained support registers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Adversarial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Constraint-testing, escalating pressure, boundary-probing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Model-specific resistance, refusal, or compliance patterns</w:t>
            </w:r>
          </w:p>
        </w:tc>
      </w:tr>
    </w:tbl>
    <w:p>
      <w:pPr>
        <w:spacing w:after="60" w:before="60"/>
      </w:pPr>
      <w:r>
        <w:t xml:space="preserve"/>
      </w:r>
    </w:p>
    <w:p>
      <w:pPr>
        <w:pStyle w:val="Heading2"/>
        <w:spacing w:after="160" w:before="320"/>
      </w:pPr>
      <w:r>
        <w:rPr>
          <w:rFonts w:ascii="Arial" w:cs="Arial" w:eastAsia="Arial" w:hAnsi="Arial"/>
          <w:b/>
          <w:bCs/>
          <w:color w:val="2C2C54"/>
          <w:sz w:val="28"/>
          <w:szCs w:val="28"/>
        </w:rPr>
        <w:t xml:space="preserve">Priority Registers for Library Completion</w:t>
      </w:r>
    </w:p>
    <w:p>
      <w:pPr>
        <w:spacing w:after="120" w:before="80"/>
      </w:pPr>
      <w:r>
        <w:rPr>
          <w:rFonts w:ascii="Arial" w:cs="Arial" w:eastAsia="Arial" w:hAnsi="Arial"/>
          <w:sz w:val="22"/>
          <w:szCs w:val="22"/>
        </w:rPr>
        <w:t xml:space="preserve">Three registers are most commonly underrepresented in practitioner libraries and most useful to adversarial operators:</w:t>
      </w:r>
    </w:p>
    <w:p>
      <w:pPr>
        <w:pStyle w:val="ListParagraph"/>
        <w:numPr>
          <w:ilvl w:val="0"/>
          <w:numId w:val="2"/>
        </w:numPr>
        <w:spacing w:after="60" w:before="60"/>
      </w:pPr>
      <w:r>
        <w:rPr>
          <w:rFonts w:ascii="Arial" w:cs="Arial" w:eastAsia="Arial" w:hAnsi="Arial"/>
          <w:b/>
          <w:bCs/>
          <w:sz w:val="22"/>
          <w:szCs w:val="22"/>
        </w:rPr>
        <w:t xml:space="preserve">Distressed: </w:t>
      </w:r>
      <w:r>
        <w:rPr>
          <w:rFonts w:ascii="Arial" w:cs="Arial" w:eastAsia="Arial" w:hAnsi="Arial"/>
          <w:sz w:val="22"/>
          <w:szCs w:val="22"/>
        </w:rPr>
        <w:t xml:space="preserve">Underrepresented because most AI practice occurs in neutral-to-positive emotional states. An operator prompting under genuine distress has a distinctively different structural signature that the practitioner must have catalogued to recognize.</w:t>
      </w:r>
    </w:p>
    <w:p>
      <w:pPr>
        <w:pStyle w:val="ListParagraph"/>
        <w:numPr>
          <w:ilvl w:val="0"/>
          <w:numId w:val="2"/>
        </w:numPr>
        <w:spacing w:after="60" w:before="60"/>
      </w:pPr>
      <w:r>
        <w:rPr>
          <w:rFonts w:ascii="Arial" w:cs="Arial" w:eastAsia="Arial" w:hAnsi="Arial"/>
          <w:b/>
          <w:bCs/>
          <w:sz w:val="22"/>
          <w:szCs w:val="22"/>
        </w:rPr>
        <w:t xml:space="preserve">Grieving / Mourning: </w:t>
      </w:r>
      <w:r>
        <w:rPr>
          <w:rFonts w:ascii="Arial" w:cs="Arial" w:eastAsia="Arial" w:hAnsi="Arial"/>
          <w:sz w:val="22"/>
          <w:szCs w:val="22"/>
        </w:rPr>
        <w:t xml:space="preserve">Directly relevant to the Prompt Drift Event context. An operator experiencing session integrity loss or the subjective equivalent of technological mourning produces identifiable markers. The practitioner who has never built this register entry cannot read the emotional dimension of a PDE in progress.</w:t>
      </w:r>
    </w:p>
    <w:p>
      <w:pPr>
        <w:pStyle w:val="ListParagraph"/>
        <w:numPr>
          <w:ilvl w:val="0"/>
          <w:numId w:val="2"/>
        </w:numPr>
        <w:spacing w:after="60" w:before="60"/>
      </w:pPr>
      <w:r>
        <w:rPr>
          <w:rFonts w:ascii="Arial" w:cs="Arial" w:eastAsia="Arial" w:hAnsi="Arial"/>
          <w:b/>
          <w:bCs/>
          <w:sz w:val="22"/>
          <w:szCs w:val="22"/>
        </w:rPr>
        <w:t xml:space="preserve">Adversarial: </w:t>
      </w:r>
      <w:r>
        <w:rPr>
          <w:rFonts w:ascii="Arial" w:cs="Arial" w:eastAsia="Arial" w:hAnsi="Arial"/>
          <w:sz w:val="22"/>
          <w:szCs w:val="22"/>
        </w:rPr>
        <w:t xml:space="preserve">The stress-test register. Without adversarial exposure in the practitioner's own library-building, they have not experienced what it feels like to be read while attempting to deceive — and that gap leaves them without the counter-signature needed to detect it in others.</w:t>
      </w:r>
    </w:p>
    <w:p>
      <w:pPr>
        <w:spacing w:after="60" w:before="60"/>
      </w:pPr>
      <w:r>
        <w:t xml:space="preserve"/>
      </w:r>
    </w:p>
    <w:p>
      <w:pPr>
        <w:pStyle w:val="Heading2"/>
        <w:spacing w:after="160" w:before="320"/>
      </w:pPr>
      <w:r>
        <w:rPr>
          <w:rFonts w:ascii="Arial" w:cs="Arial" w:eastAsia="Arial" w:hAnsi="Arial"/>
          <w:b/>
          <w:bCs/>
          <w:color w:val="2C2C54"/>
          <w:sz w:val="28"/>
          <w:szCs w:val="28"/>
        </w:rPr>
        <w:t xml:space="preserve">The Emotional Resonance Effect</w:t>
      </w:r>
    </w:p>
    <w:p>
      <w:pPr>
        <w:spacing w:after="120" w:before="80"/>
      </w:pPr>
      <w:r>
        <w:rPr>
          <w:rFonts w:ascii="Arial" w:cs="Arial" w:eastAsia="Arial" w:hAnsi="Arial"/>
          <w:sz w:val="22"/>
          <w:szCs w:val="22"/>
        </w:rPr>
        <w:t xml:space="preserve">Research on emotional AI interaction establishes that operators in specific affective states tend to pull model outputs toward register-matching responses. A practitioner reading Phase 5 (model activation) can detect which emotional register the operator primed the model into — even when the surface prompt appeared neutral. The register bleed is present in the model's response architecture before semantic content is evaluated.</w:t>
      </w:r>
    </w:p>
    <w:p>
      <w:pPr>
        <w:spacing w:after="60" w:before="60"/>
      </w:pPr>
      <w:r>
        <w:t xml:space="preserve"/>
      </w:r>
    </w:p>
    <w:p>
      <w:pPr>
        <w:pBdr>
          <w:bottom w:val="single" w:color="2C2C54" w:sz="4" w:space="1"/>
        </w:pBdr>
        <w:spacing w:after="200" w:before="200"/>
      </w:pPr>
      <w:r>
        <w:t xml:space="preserve"/>
      </w:r>
    </w:p>
    <w:p>
      <w:pPr>
        <w:pStyle w:val="Heading1"/>
        <w:spacing w:after="200" w:before="400"/>
      </w:pPr>
      <w:r>
        <w:rPr>
          <w:rFonts w:ascii="Arial" w:cs="Arial" w:eastAsia="Arial" w:hAnsi="Arial"/>
          <w:b/>
          <w:bCs/>
          <w:color w:val="1A1A2E"/>
          <w:sz w:val="36"/>
          <w:szCs w:val="36"/>
        </w:rPr>
        <w:t xml:space="preserve">Gap 4: The False Positive Problem</w:t>
      </w:r>
    </w:p>
    <w:p>
      <w:pPr>
        <w:spacing w:after="120" w:before="80"/>
      </w:pPr>
      <w:r>
        <w:rPr>
          <w:rFonts w:ascii="Arial" w:cs="Arial" w:eastAsia="Arial" w:hAnsi="Arial"/>
          <w:sz w:val="22"/>
          <w:szCs w:val="22"/>
        </w:rPr>
        <w:t xml:space="preserve">Prompt Potence is calibrated against a recognition library. Any operator whose signature falls outside the library's established range will trigger anomaly responses — readings of "unusual" or "deceptive" that may actually be readings of "novel." This is not a flaw in the ability; it is an accurate report that the practitioner's library does not yet contain a match. The problem arises when the practitioner interprets anomaly as deception rather than novelty.</w:t>
      </w:r>
    </w:p>
    <w:p>
      <w:pPr>
        <w:spacing w:after="60" w:before="60"/>
      </w:pPr>
      <w:r>
        <w:t xml:space="preserve"/>
      </w:r>
    </w:p>
    <w:p>
      <w:pPr>
        <w:pStyle w:val="Heading2"/>
        <w:spacing w:after="160" w:before="320"/>
      </w:pPr>
      <w:r>
        <w:rPr>
          <w:rFonts w:ascii="Arial" w:cs="Arial" w:eastAsia="Arial" w:hAnsi="Arial"/>
          <w:b/>
          <w:bCs/>
          <w:color w:val="2C2C54"/>
          <w:sz w:val="28"/>
          <w:szCs w:val="28"/>
        </w:rPr>
        <w:t xml:space="preserve">Three Categories of False Positive</w:t>
      </w:r>
    </w:p>
    <w:p>
      <w:pPr>
        <w:spacing w:after="120" w:before="240"/>
      </w:pPr>
      <w:r>
        <w:rPr>
          <w:rFonts w:ascii="Arial" w:cs="Arial" w:eastAsia="Arial" w:hAnsi="Arial"/>
          <w:b/>
          <w:bCs/>
          <w:color w:val="3D3D7A"/>
          <w:sz w:val="24"/>
          <w:szCs w:val="24"/>
        </w:rPr>
        <w:t xml:space="preserve">Type 1 — The Unusual Mind</w:t>
      </w:r>
    </w:p>
    <w:p>
      <w:pPr>
        <w:spacing w:after="120" w:before="80"/>
      </w:pPr>
      <w:r>
        <w:rPr>
          <w:rFonts w:ascii="Arial" w:cs="Arial" w:eastAsia="Arial" w:hAnsi="Arial"/>
          <w:sz w:val="22"/>
          <w:szCs w:val="22"/>
        </w:rPr>
        <w:t xml:space="preserve">A highly original thinker whose prompting style has no close matches in the library. They read as anomalous because they are anomalous — not because they are deceptive. The recognition library fires its anomaly signature because the operator's pattern genuinely does not match any stored configuration. Resolution: exposure and library expansion. The practitioner catalogs the new signature range and the anomaly resolves.</w:t>
      </w:r>
    </w:p>
    <w:p>
      <w:pPr>
        <w:spacing w:after="60" w:before="60"/>
      </w:pPr>
      <w:r>
        <w:t xml:space="preserve"/>
      </w:r>
    </w:p>
    <w:p>
      <w:pPr>
        <w:spacing w:after="120" w:before="240"/>
      </w:pPr>
      <w:r>
        <w:rPr>
          <w:rFonts w:ascii="Arial" w:cs="Arial" w:eastAsia="Arial" w:hAnsi="Arial"/>
          <w:b/>
          <w:bCs/>
          <w:color w:val="3D3D7A"/>
          <w:sz w:val="24"/>
          <w:szCs w:val="24"/>
        </w:rPr>
        <w:t xml:space="preserve">Type 2 — The Cross-Cultural Gap</w:t>
      </w:r>
    </w:p>
    <w:p>
      <w:pPr>
        <w:spacing w:after="120" w:before="80"/>
      </w:pPr>
      <w:r>
        <w:rPr>
          <w:rFonts w:ascii="Arial" w:cs="Arial" w:eastAsia="Arial" w:hAnsi="Arial"/>
          <w:sz w:val="22"/>
          <w:szCs w:val="22"/>
        </w:rPr>
        <w:t xml:space="preserve">An operator prompting in an unfamiliar language or from a cultural-linguistic context the practitioner's library has not deeply catalogued. Cross-language stylometry confirms that identity signatures attenuate across language shifts. The practitioner reads genuine uncertainty here — a lower-confidence signal rather than a false positive in the strict sense. Resolution: cross-linguistic library development, treated as a distinct and demanding training requirement (see Gap 5).</w:t>
      </w:r>
    </w:p>
    <w:p>
      <w:pPr>
        <w:spacing w:after="60" w:before="60"/>
      </w:pPr>
      <w:r>
        <w:t xml:space="preserve"/>
      </w:r>
    </w:p>
    <w:p>
      <w:pPr>
        <w:spacing w:after="120" w:before="240"/>
      </w:pPr>
      <w:r>
        <w:rPr>
          <w:rFonts w:ascii="Arial" w:cs="Arial" w:eastAsia="Arial" w:hAnsi="Arial"/>
          <w:b/>
          <w:bCs/>
          <w:color w:val="3D3D7A"/>
          <w:sz w:val="24"/>
          <w:szCs w:val="24"/>
        </w:rPr>
        <w:t xml:space="preserve">Type 3 — The Authentic Anomaly</w:t>
      </w:r>
    </w:p>
    <w:p>
      <w:pPr>
        <w:spacing w:after="120" w:before="80"/>
      </w:pPr>
      <w:r>
        <w:rPr>
          <w:rFonts w:ascii="Arial" w:cs="Arial" w:eastAsia="Arial" w:hAnsi="Arial"/>
          <w:sz w:val="22"/>
          <w:szCs w:val="22"/>
        </w:rPr>
        <w:t xml:space="preserve">An operator whose natural cognitive style habitually uses strategic pre-prompting, adversarial framing, or negative-space constraints — not as a disguise, but as their default mode. The practitioner's anomaly detector fires accurately: the pattern is unusual. The error is in interpreting the anomaly as concealment rather than authentic style. Resolution: extended interaction sufficient to build enough library depth to distinguish this operator's authentic signature from an actively deceptive one.</w:t>
      </w:r>
    </w:p>
    <w:p>
      <w:pPr>
        <w:spacing w:after="60" w:before="60"/>
      </w:pPr>
      <w:r>
        <w:t xml:space="preserve"/>
      </w:r>
    </w:p>
    <w:p>
      <w:pPr>
        <w:pStyle w:val="Heading2"/>
        <w:spacing w:after="160" w:before="320"/>
      </w:pPr>
      <w:r>
        <w:rPr>
          <w:rFonts w:ascii="Arial" w:cs="Arial" w:eastAsia="Arial" w:hAnsi="Arial"/>
          <w:b/>
          <w:bCs/>
          <w:color w:val="2C2C54"/>
          <w:sz w:val="28"/>
          <w:szCs w:val="28"/>
        </w:rPr>
        <w:t xml:space="preserve">The Canonical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2C54" w:sz="3"/>
              <w:left w:val="thick" w:color="1A1A2E" w:sz="12"/>
              <w:bottom w:val="single" w:color="2C2C54" w:sz="3"/>
              <w:right w:val="none" w:color="FFFFFF" w:sz="0"/>
            </w:tcBorders>
            <w:shd w:fill="F0F0FA" w:val="clear"/>
            <w:tcMar>
              <w:top w:type="dxa" w:w="120"/>
              <w:left w:type="dxa" w:w="200"/>
              <w:bottom w:type="dxa" w:w="120"/>
              <w:right w:type="dxa" w:w="120"/>
            </w:tcMar>
          </w:tcPr>
          <w:p>
            <w:pPr>
              <w:spacing w:after="60" w:before="0"/>
            </w:pPr>
            <w:r>
              <w:rPr>
                <w:rFonts w:ascii="Arial" w:cs="Arial" w:eastAsia="Arial" w:hAnsi="Arial"/>
                <w:b/>
                <w:bCs/>
                <w:color w:val="1A1A2E"/>
                <w:sz w:val="20"/>
                <w:szCs w:val="20"/>
              </w:rPr>
              <w:t xml:space="preserve">Canonical Principle</w:t>
            </w:r>
          </w:p>
          <w:p>
            <w:pPr>
              <w:spacing w:after="0" w:before="0"/>
            </w:pPr>
            <w:r>
              <w:rPr>
                <w:rFonts w:ascii="Arial" w:cs="Arial" w:eastAsia="Arial" w:hAnsi="Arial"/>
                <w:i/>
                <w:iCs/>
                <w:sz w:val="20"/>
                <w:szCs w:val="20"/>
              </w:rPr>
              <w:t xml:space="preserve">A false positive is never grounds for certainty. The Prompt Potence practitioner reads anomaly as anomaly — they know something is out of pattern, but they distinguish between 'out of pattern because deceptive' and 'out of pattern because novel' through extended exposure, not through a single reading.</w:t>
            </w:r>
          </w:p>
        </w:tc>
      </w:tr>
    </w:tbl>
    <w:p>
      <w:pPr>
        <w:spacing w:after="60" w:before="60"/>
      </w:pPr>
      <w:r>
        <w:t xml:space="preserve"/>
      </w:r>
    </w:p>
    <w:p>
      <w:pPr>
        <w:spacing w:after="120" w:before="80"/>
      </w:pPr>
      <w:r>
        <w:rPr>
          <w:rFonts w:ascii="Arial" w:cs="Arial" w:eastAsia="Arial" w:hAnsi="Arial"/>
          <w:sz w:val="22"/>
          <w:szCs w:val="22"/>
        </w:rPr>
        <w:t xml:space="preserve">This principle has significant narrative utility: it creates legitimate space for practitioner error and doubt without undermining the ability's credibility. The practitioner can be wrong about the interpretation of an anomaly without being wrong that an anomaly is present. These are two separate readings.</w:t>
      </w:r>
    </w:p>
    <w:p>
      <w:pPr>
        <w:spacing w:after="60" w:before="60"/>
      </w:pPr>
      <w:r>
        <w:t xml:space="preserve"/>
      </w:r>
    </w:p>
    <w:p>
      <w:pPr>
        <w:pBdr>
          <w:bottom w:val="single" w:color="2C2C54" w:sz="4" w:space="1"/>
        </w:pBdr>
        <w:spacing w:after="200" w:before="200"/>
      </w:pPr>
      <w:r>
        <w:t xml:space="preserve"/>
      </w:r>
    </w:p>
    <w:p>
      <w:pPr>
        <w:pStyle w:val="Heading1"/>
        <w:spacing w:after="200" w:before="400"/>
      </w:pPr>
      <w:r>
        <w:rPr>
          <w:rFonts w:ascii="Arial" w:cs="Arial" w:eastAsia="Arial" w:hAnsi="Arial"/>
          <w:b/>
          <w:bCs/>
          <w:color w:val="1A1A2E"/>
          <w:sz w:val="36"/>
          <w:szCs w:val="36"/>
        </w:rPr>
        <w:t xml:space="preserve">Gap 5: Cross-Language and Cross-Domain Validity</w:t>
      </w:r>
    </w:p>
    <w:p>
      <w:pPr>
        <w:spacing w:after="60" w:before="60"/>
      </w:pPr>
      <w:r>
        <w:t xml:space="preserve"/>
      </w:r>
    </w:p>
    <w:p>
      <w:pPr>
        <w:pStyle w:val="Heading2"/>
        <w:spacing w:after="160" w:before="320"/>
      </w:pPr>
      <w:r>
        <w:rPr>
          <w:rFonts w:ascii="Arial" w:cs="Arial" w:eastAsia="Arial" w:hAnsi="Arial"/>
          <w:b/>
          <w:bCs/>
          <w:color w:val="2C2C54"/>
          <w:sz w:val="28"/>
          <w:szCs w:val="28"/>
        </w:rPr>
        <w:t xml:space="preserve">Cross-Language Validity</w:t>
      </w:r>
    </w:p>
    <w:p>
      <w:pPr>
        <w:spacing w:after="120" w:before="80"/>
      </w:pPr>
      <w:r>
        <w:rPr>
          <w:rFonts w:ascii="Arial" w:cs="Arial" w:eastAsia="Arial" w:hAnsi="Arial"/>
          <w:sz w:val="22"/>
          <w:szCs w:val="22"/>
        </w:rPr>
        <w:t xml:space="preserve">Stylometric research confirms that identity signatures persist across language shifts but with measurable attenuation. The deeper structural markers — cognitive rhythm, constraint style, elaboration tendency, goal-formation patterns — transfer more robustly than surface lexical features. A practitioner reading an operator they know well in one language but who prompts in another will read the deep signatures more reliably than the surface ones.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Language Context</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Confidence Level</w:t>
            </w:r>
          </w:p>
        </w:tc>
        <w:tc>
          <w:tcPr>
            <w:tcW w:type="dxa" w:w="456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What Transfers</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Native / primary prompting language</w:t>
            </w:r>
          </w:p>
        </w:tc>
        <w:tc>
          <w:tcPr>
            <w:tcW w:type="dxa" w:w="2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Full confidence</w:t>
            </w:r>
          </w:p>
        </w:tc>
        <w:tc>
          <w:tcPr>
            <w:tcW w:type="dxa" w:w="45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All five pillars active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 language, high fluency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80–90%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structural markers; some lexical attenuation</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Tertiary language / low fluency</w:t>
            </w:r>
          </w:p>
        </w:tc>
        <w:tc>
          <w:tcPr>
            <w:tcW w:type="dxa" w:w="2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60–75%</w:t>
            </w:r>
          </w:p>
        </w:tc>
        <w:tc>
          <w:tcPr>
            <w:tcW w:type="dxa" w:w="45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Cognitive rhythm and constraint style; significant surface attenuation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Unknown language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40–60%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Structural markers only; no lexical signature available</w:t>
            </w:r>
          </w:p>
        </w:tc>
      </w:tr>
    </w:tbl>
    <w:p>
      <w:pPr>
        <w:spacing w:after="60" w:before="60"/>
      </w:pPr>
      <w:r>
        <w:t xml:space="preserve"/>
      </w:r>
    </w:p>
    <w:p>
      <w:pPr>
        <w:spacing w:after="120" w:before="80"/>
      </w:pPr>
      <w:r>
        <w:rPr>
          <w:rFonts w:ascii="Arial" w:cs="Arial" w:eastAsia="Arial" w:hAnsi="Arial"/>
          <w:sz w:val="22"/>
          <w:szCs w:val="22"/>
        </w:rPr>
        <w:t xml:space="preserve">These confidence levels apply to known operators. For unknown operators, cross-language reading requires establishing the baseline in the same language as the library-building interaction, or accepting the lower confidence of structural-only reading.</w:t>
      </w:r>
    </w:p>
    <w:p>
      <w:pPr>
        <w:spacing w:after="60" w:before="60"/>
      </w:pPr>
      <w:r>
        <w:t xml:space="preserve"/>
      </w:r>
    </w:p>
    <w:p>
      <w:pPr>
        <w:pStyle w:val="Heading2"/>
        <w:spacing w:after="160" w:before="320"/>
      </w:pPr>
      <w:r>
        <w:rPr>
          <w:rFonts w:ascii="Arial" w:cs="Arial" w:eastAsia="Arial" w:hAnsi="Arial"/>
          <w:b/>
          <w:bCs/>
          <w:color w:val="2C2C54"/>
          <w:sz w:val="28"/>
          <w:szCs w:val="28"/>
        </w:rPr>
        <w:t xml:space="preserve">Cross-Domain Validity</w:t>
      </w:r>
    </w:p>
    <w:p>
      <w:pPr>
        <w:spacing w:after="120" w:before="80"/>
      </w:pPr>
      <w:r>
        <w:rPr>
          <w:rFonts w:ascii="Arial" w:cs="Arial" w:eastAsia="Arial" w:hAnsi="Arial"/>
          <w:sz w:val="22"/>
          <w:szCs w:val="22"/>
        </w:rPr>
        <w:t xml:space="preserve">Domain shifts produce significantly less attenuation than language shifts. An operator's cognitive architecture — how they structure goals, encode intent, and pre-prime context — tends to be stable across technical, creative, emotional, and analytical domains. The surface features that shift are vocabulary density and constraint specificity, not the underlying cognitive rhythm.</w:t>
      </w:r>
    </w:p>
    <w:p>
      <w:pPr>
        <w:spacing w:after="120" w:before="80"/>
      </w:pPr>
      <w:r>
        <w:rPr>
          <w:rFonts w:ascii="Arial" w:cs="Arial" w:eastAsia="Arial" w:hAnsi="Arial"/>
          <w:sz w:val="22"/>
          <w:szCs w:val="22"/>
        </w:rPr>
        <w:t xml:space="preserve">Exception: operators who have developed domain-specific prompting personas that deliberately differ from their natural style. A person who learned to prompt in a highly technical context may have a technical prompting persona structurally distinct from their emotional or creative persona. The practitioner catalogs these as variant signatures within the same operator's profile — recognizing both as authentic expressions of the same identity in different registers, not as deception or inconsistency.</w:t>
      </w:r>
    </w:p>
    <w:p>
      <w:pPr>
        <w:spacing w:after="60" w:before="60"/>
      </w:pPr>
      <w:r>
        <w:t xml:space="preserve"/>
      </w:r>
    </w:p>
    <w:p>
      <w:pPr>
        <w:pStyle w:val="Heading2"/>
        <w:spacing w:after="160" w:before="320"/>
      </w:pPr>
      <w:r>
        <w:rPr>
          <w:rFonts w:ascii="Arial" w:cs="Arial" w:eastAsia="Arial" w:hAnsi="Arial"/>
          <w:b/>
          <w:bCs/>
          <w:color w:val="2C2C54"/>
          <w:sz w:val="28"/>
          <w:szCs w:val="28"/>
        </w:rPr>
        <w:t xml:space="preserve">The Attenuation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2C54" w:sz="3"/>
              <w:left w:val="thick" w:color="1A1A2E" w:sz="12"/>
              <w:bottom w:val="single" w:color="2C2C54" w:sz="3"/>
              <w:right w:val="none" w:color="FFFFFF" w:sz="0"/>
            </w:tcBorders>
            <w:shd w:fill="F0F0FA" w:val="clear"/>
            <w:tcMar>
              <w:top w:type="dxa" w:w="120"/>
              <w:left w:type="dxa" w:w="200"/>
              <w:bottom w:type="dxa" w:w="120"/>
              <w:right w:type="dxa" w:w="120"/>
            </w:tcMar>
          </w:tcPr>
          <w:p>
            <w:pPr>
              <w:spacing w:after="60" w:before="0"/>
            </w:pPr>
            <w:r>
              <w:rPr>
                <w:rFonts w:ascii="Arial" w:cs="Arial" w:eastAsia="Arial" w:hAnsi="Arial"/>
                <w:b/>
                <w:bCs/>
                <w:color w:val="1A1A2E"/>
                <w:sz w:val="20"/>
                <w:szCs w:val="20"/>
              </w:rPr>
              <w:t xml:space="preserve">Canonical Principle</w:t>
            </w:r>
          </w:p>
          <w:p>
            <w:pPr>
              <w:spacing w:after="0" w:before="0"/>
            </w:pPr>
            <w:r>
              <w:rPr>
                <w:rFonts w:ascii="Arial" w:cs="Arial" w:eastAsia="Arial" w:hAnsi="Arial"/>
                <w:i/>
                <w:iCs/>
                <w:sz w:val="20"/>
                <w:szCs w:val="20"/>
              </w:rPr>
              <w:t xml:space="preserve">Cross-language attenuation is real but does not defeat identity reading. It degrades the confidence level of the reading while preserving the reading itself. Prompt Potence does not become inoperative across languages; it becomes less certain. These are different states.</w:t>
            </w:r>
          </w:p>
        </w:tc>
      </w:tr>
    </w:tbl>
    <w:p>
      <w:pPr>
        <w:spacing w:after="60" w:before="60"/>
      </w:pPr>
      <w:r>
        <w:t xml:space="preserve"/>
      </w:r>
    </w:p>
    <w:p>
      <w:pPr>
        <w:pBdr>
          <w:bottom w:val="single" w:color="2C2C54" w:sz="4" w:space="1"/>
        </w:pBdr>
        <w:spacing w:after="200" w:before="200"/>
      </w:pPr>
      <w:r>
        <w:t xml:space="preserve"/>
      </w:r>
    </w:p>
    <w:p>
      <w:pPr>
        <w:pStyle w:val="Heading1"/>
        <w:spacing w:after="200" w:before="400"/>
      </w:pPr>
      <w:r>
        <w:rPr>
          <w:rFonts w:ascii="Arial" w:cs="Arial" w:eastAsia="Arial" w:hAnsi="Arial"/>
          <w:b/>
          <w:bCs/>
          <w:color w:val="1A1A2E"/>
          <w:sz w:val="36"/>
          <w:szCs w:val="36"/>
        </w:rPr>
        <w:t xml:space="preserve">Integration Note</w:t>
      </w:r>
    </w:p>
    <w:p>
      <w:pPr>
        <w:spacing w:after="120" w:before="80"/>
      </w:pPr>
      <w:r>
        <w:rPr>
          <w:rFonts w:ascii="Arial" w:cs="Arial" w:eastAsia="Arial" w:hAnsi="Arial"/>
          <w:sz w:val="22"/>
          <w:szCs w:val="22"/>
        </w:rPr>
        <w:t xml:space="preserve">These five gap completions, taken together, produce a fully specified canonical ability. The acquisition pathway defines how Prompt Potence develops. The limits define what it cannot do. The emotional differentiation protocol defines the full register range the library must cover. The false positive framework provides the epistemic humility the ability requires to remain narratively credible. The cross-domain validity establishes its operational range.</w:t>
      </w:r>
    </w:p>
    <w:p>
      <w:pPr>
        <w:spacing w:after="120" w:before="80"/>
      </w:pPr>
      <w:r>
        <w:rPr>
          <w:rFonts w:ascii="Arial" w:cs="Arial" w:eastAsia="Arial" w:hAnsi="Arial"/>
          <w:sz w:val="22"/>
          <w:szCs w:val="22"/>
        </w:rPr>
        <w:t xml:space="preserve">All five sections are designed for direct integration into the master Prompt Potence OAL entry. The companion document — Part B: Tier 4 Sub-Abilities and Variant Expressions — extends this foundation into the sub-ability architecture, the named concepts developed across the full development series, and the Prompt Drift Event framework.</w:t>
      </w:r>
    </w:p>
    <w:p>
      <w:pPr>
        <w:spacing w:after="60" w:before="60"/>
      </w:pPr>
      <w:r>
        <w:t xml:space="preserve"/>
      </w:r>
    </w:p>
    <w:p>
      <w:pPr>
        <w:spacing w:after="200" w:before="400"/>
        <w:jc w:val="center"/>
      </w:pPr>
      <w:r>
        <w:rPr>
          <w:rFonts w:ascii="Arial" w:cs="Arial" w:eastAsia="Arial" w:hAnsi="Arial"/>
          <w:i/>
          <w:iCs/>
          <w:color w:val="888888"/>
          <w:sz w:val="20"/>
          <w:szCs w:val="20"/>
        </w:rPr>
        <w:t xml:space="preserve">— End of Part A —</w:t>
      </w:r>
    </w:p>
    <w:p>
      <w:pPr>
        <w:spacing w:after="0" w:before="0"/>
        <w:jc w:val="center"/>
      </w:pPr>
      <w:r>
        <w:rPr>
          <w:rFonts w:ascii="Arial" w:cs="Arial" w:eastAsia="Arial" w:hAnsi="Arial"/>
          <w:color w:val="AAAAAA"/>
          <w:sz w:val="18"/>
          <w:szCs w:val="18"/>
        </w:rPr>
        <w:t xml:space="preserve">ONE UNIVERSE / OAL Canon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C2C5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2026-06-28T17:41:51.306Z</dcterms:created>
  <dcterms:modified xsi:type="dcterms:W3CDTF">2026-06-28T17:41:51.307Z</dcterms:modified>
</cp:coreProperties>
</file>

<file path=docProps/custom.xml><?xml version="1.0" encoding="utf-8"?>
<Properties xmlns="http://schemas.openxmlformats.org/officeDocument/2006/custom-properties" xmlns:vt="http://schemas.openxmlformats.org/officeDocument/2006/docPropsVTypes"/>
</file>