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888888"/>
          <w:sz w:val="18"/>
          <w:szCs w:val="18"/>
        </w:rPr>
        <w:t xml:space="preserve">OAL CANON DEVELOPMENT SERIES</w:t>
      </w:r>
    </w:p>
    <w:p>
      <w:pPr>
        <w:spacing w:after="80" w:before="0"/>
        <w:jc w:val="center"/>
      </w:pPr>
      <w:r>
        <w:rPr>
          <w:rFonts w:ascii="Arial" w:cs="Arial" w:eastAsia="Arial" w:hAnsi="Arial"/>
          <w:b/>
          <w:bCs/>
          <w:color w:val="1A1A2E"/>
          <w:sz w:val="56"/>
          <w:szCs w:val="56"/>
        </w:rPr>
        <w:t xml:space="preserve">Prompt Potence</w:t>
      </w:r>
    </w:p>
    <w:p>
      <w:pPr>
        <w:spacing w:after="80" w:before="0"/>
        <w:jc w:val="center"/>
      </w:pPr>
      <w:r>
        <w:rPr>
          <w:rFonts w:ascii="Arial" w:cs="Arial" w:eastAsia="Arial" w:hAnsi="Arial"/>
          <w:b/>
          <w:bCs/>
          <w:color w:val="2C2C54"/>
          <w:sz w:val="36"/>
          <w:szCs w:val="36"/>
        </w:rPr>
        <w:t xml:space="preserve">Part B: Tier 4 Sub-Abilities,</w:t>
      </w:r>
    </w:p>
    <w:p>
      <w:pPr>
        <w:spacing w:after="80" w:before="0"/>
        <w:jc w:val="center"/>
      </w:pPr>
      <w:r>
        <w:rPr>
          <w:rFonts w:ascii="Arial" w:cs="Arial" w:eastAsia="Arial" w:hAnsi="Arial"/>
          <w:b/>
          <w:bCs/>
          <w:color w:val="2C2C54"/>
          <w:sz w:val="36"/>
          <w:szCs w:val="36"/>
        </w:rPr>
        <w:t xml:space="preserve">Variant Expressions, and the PDE Framework</w:t>
      </w:r>
    </w:p>
    <w:p>
      <w:pPr>
        <w:spacing w:after="400" w:before="0"/>
        <w:jc w:val="center"/>
      </w:pPr>
      <w:r>
        <w:rPr>
          <w:rFonts w:ascii="Arial" w:cs="Arial" w:eastAsia="Arial" w:hAnsi="Arial"/>
          <w:color w:val="888888"/>
          <w:sz w:val="20"/>
          <w:szCs w:val="20"/>
        </w:rPr>
        <w:t xml:space="preserve">June 2026  |  ONE UNIVERSE / OAL Canon</w:t>
      </w:r>
    </w:p>
    <w:p>
      <w:pPr>
        <w:pBdr>
          <w:bottom w:val="single" w:color="2C2C54" w:sz="4" w:space="1"/>
        </w:pBdr>
        <w:spacing w:after="200" w:before="200"/>
      </w:pPr>
      <w:r>
        <w:t xml:space="preserve"/>
      </w:r>
    </w:p>
    <w:p>
      <w:pPr>
        <w:spacing w:after="60" w:before="60"/>
      </w:pPr>
      <w:r>
        <w:t xml:space="preserve"/>
      </w:r>
    </w:p>
    <w:p>
      <w:pPr>
        <w:pStyle w:val="Heading1"/>
        <w:spacing w:after="200" w:before="400"/>
      </w:pPr>
      <w:r>
        <w:rPr>
          <w:rFonts w:ascii="Arial" w:cs="Arial" w:eastAsia="Arial" w:hAnsi="Arial"/>
          <w:b/>
          <w:bCs/>
          <w:color w:val="1A1A2E"/>
          <w:sz w:val="36"/>
          <w:szCs w:val="36"/>
        </w:rPr>
        <w:t xml:space="preserve">Preamble</w:t>
      </w:r>
    </w:p>
    <w:p>
      <w:pPr>
        <w:spacing w:after="120" w:before="80"/>
      </w:pPr>
      <w:r>
        <w:rPr>
          <w:rFonts w:ascii="Arial" w:cs="Arial" w:eastAsia="Arial" w:hAnsi="Arial"/>
          <w:sz w:val="22"/>
          <w:szCs w:val="22"/>
        </w:rPr>
        <w:t xml:space="preserve">Part A established the five foundational development gaps and filled them in canonical detail. Part B now constructs the upper architecture of Prompt Potence: the named sub-abilities and variant expressions that constitute Tier 4's internal structure, the five missing concepts identified across the development series, and the Prompt Drift Event framework — the most significant contextual discovery of the entire development arc.</w:t>
      </w:r>
    </w:p>
    <w:p>
      <w:pPr>
        <w:spacing w:after="120" w:before="80"/>
      </w:pPr>
      <w:r>
        <w:rPr>
          <w:rFonts w:ascii="Arial" w:cs="Arial" w:eastAsia="Arial" w:hAnsi="Arial"/>
          <w:sz w:val="22"/>
          <w:szCs w:val="22"/>
        </w:rPr>
        <w:t xml:space="preserve">This document also addresses the integration of Prompt Potence with the Verbal and Thought Architecture Command Palette (VTACP), establishing the theoretical basis for their tandem operation and naming the compound operational mode that emerges when both systems are active simultaneously.</w:t>
      </w:r>
    </w:p>
    <w:p>
      <w:pPr>
        <w:spacing w:after="60" w:before="60"/>
      </w:pPr>
      <w:r>
        <w:t xml:space="preserve"/>
      </w:r>
    </w:p>
    <w:p>
      <w:pPr>
        <w:pBdr>
          <w:bottom w:val="single" w:color="2C2C54" w:sz="4" w:space="1"/>
        </w:pBdr>
        <w:spacing w:after="200" w:before="200"/>
      </w:pPr>
      <w:r>
        <w:t xml:space="preserve"/>
      </w:r>
    </w:p>
    <w:p>
      <w:pPr>
        <w:pStyle w:val="Heading1"/>
        <w:spacing w:after="200" w:before="400"/>
      </w:pPr>
      <w:r>
        <w:rPr>
          <w:rFonts w:ascii="Arial" w:cs="Arial" w:eastAsia="Arial" w:hAnsi="Arial"/>
          <w:b/>
          <w:bCs/>
          <w:color w:val="1A1A2E"/>
          <w:sz w:val="36"/>
          <w:szCs w:val="36"/>
        </w:rPr>
        <w:t xml:space="preserve">Section I: The Complete Ability Tier Hierarchy</w:t>
      </w:r>
    </w:p>
    <w:p>
      <w:pPr>
        <w:spacing w:after="120" w:before="80"/>
      </w:pPr>
      <w:r>
        <w:rPr>
          <w:rFonts w:ascii="Arial" w:cs="Arial" w:eastAsia="Arial" w:hAnsi="Arial"/>
          <w:sz w:val="22"/>
          <w:szCs w:val="22"/>
        </w:rPr>
        <w:t xml:space="preserve">Prompt Potence occupies Tier 4 — the uppermost tier in the prompt engagement hierarchy. The tiers below it are not inferior versions of the same ability; they are qualitatively different modes of engaging with prompts. The transition between each tier involves a change in the nature of the engagement, not merely its sophistication.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3720"/>
        <w:gridCol w:w="3120"/>
      </w:tblGrid>
      <w:tr>
        <w:trPr>
          <w:tblHeader/>
        </w:trPr>
        <w:tc>
          <w:tcPr>
            <w:tcW w:type="dxa" w:w="72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Designation</w:t>
            </w:r>
          </w:p>
        </w:tc>
        <w:tc>
          <w:tcPr>
            <w:tcW w:type="dxa" w:w="372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Characteristic Mode</w:t>
            </w:r>
          </w:p>
        </w:tc>
        <w:tc>
          <w:tcPr>
            <w:tcW w:type="dxa" w:w="312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Perceptual Access</w:t>
            </w:r>
          </w:p>
        </w:tc>
      </w:tr>
      <w:tr>
        <w:tc>
          <w:tcPr>
            <w:tcW w:type="dxa" w:w="7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Prompt Naive</w:t>
            </w:r>
          </w:p>
        </w:tc>
        <w:tc>
          <w:tcPr>
            <w:tcW w:type="dxa" w:w="37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No systematic awareness of prompt structure or effect</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Literate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Constructs effective prompts; evaluates output for quality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content only</w:t>
            </w:r>
          </w:p>
        </w:tc>
      </w:tr>
      <w:tr>
        <w:tc>
          <w:tcPr>
            <w:tcW w:type="dxa" w:w="7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Prompt Fluent</w:t>
            </w:r>
          </w:p>
        </w:tc>
        <w:tc>
          <w:tcPr>
            <w:tcW w:type="dxa" w:w="37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Develops personal frameworks; adapts across systems and contexts</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Semantic + structural (deliberate)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Architect</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Designs meta-prompts and systems; reflexive structural awareness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 structural + intentional (analytical)</w:t>
            </w:r>
          </w:p>
        </w:tc>
      </w:tr>
      <w:tr>
        <w:tc>
          <w:tcPr>
            <w:tcW w:type="dxa" w:w="7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3.5</w:t>
            </w:r>
          </w:p>
        </w:tc>
        <w:tc>
          <w:tcPr>
            <w:tcW w:type="dxa" w:w="1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Pre-Potence Zone</w:t>
            </w:r>
          </w:p>
        </w:tc>
        <w:tc>
          <w:tcPr>
            <w:tcW w:type="dxa" w:w="37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Near-complete analytical mastery; threshold not yet crossed</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All layers, analytically and very fast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Potence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Pre-evaluative perception; native sense; recognition library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layers, pre-evaluative and simultaneous</w:t>
            </w:r>
          </w:p>
        </w:tc>
      </w:tr>
    </w:tbl>
    <w:p>
      <w:pPr>
        <w:spacing w:after="60" w:before="60"/>
      </w:pPr>
      <w:r>
        <w:t xml:space="preserve"/>
      </w:r>
    </w:p>
    <w:p>
      <w:pPr>
        <w:spacing w:after="120" w:before="80"/>
      </w:pPr>
      <w:r>
        <w:rPr>
          <w:rFonts w:ascii="Arial" w:cs="Arial" w:eastAsia="Arial" w:hAnsi="Arial"/>
          <w:sz w:val="22"/>
          <w:szCs w:val="22"/>
        </w:rPr>
        <w:t xml:space="preserve">The gap between Tier 3.5 and Tier 4 is the most significant in the hierarchy. All other tier transitions are improvements in the same mode — better analysis, more sophisticated frameworks, deeper structural awareness. The Tier 4 crossing is a mode change: from analysis to perception. This is why it cannot be achieved through analytical effort alone.</w:t>
      </w:r>
    </w:p>
    <w:p>
      <w:pPr>
        <w:spacing w:after="60" w:before="60"/>
      </w:pPr>
      <w:r>
        <w:t xml:space="preserve"/>
      </w:r>
    </w:p>
    <w:p>
      <w:pPr>
        <w:pBdr>
          <w:bottom w:val="single" w:color="2C2C54" w:sz="4" w:space="1"/>
        </w:pBdr>
        <w:spacing w:after="200" w:before="200"/>
      </w:pPr>
      <w:r>
        <w:t xml:space="preserve"/>
      </w:r>
    </w:p>
    <w:p>
      <w:pPr>
        <w:pStyle w:val="Heading1"/>
        <w:spacing w:after="200" w:before="400"/>
      </w:pPr>
      <w:r>
        <w:rPr>
          <w:rFonts w:ascii="Arial" w:cs="Arial" w:eastAsia="Arial" w:hAnsi="Arial"/>
          <w:b/>
          <w:bCs/>
          <w:color w:val="1A1A2E"/>
          <w:sz w:val="36"/>
          <w:szCs w:val="36"/>
        </w:rPr>
        <w:t xml:space="preserve">Section II: The Five Named Concepts</w:t>
      </w:r>
    </w:p>
    <w:p>
      <w:pPr>
        <w:spacing w:after="120" w:before="80"/>
      </w:pPr>
      <w:r>
        <w:rPr>
          <w:rFonts w:ascii="Arial" w:cs="Arial" w:eastAsia="Arial" w:hAnsi="Arial"/>
          <w:sz w:val="22"/>
          <w:szCs w:val="22"/>
        </w:rPr>
        <w:t xml:space="preserve">These five concepts were identified across the development series as implied by Prompt Potence but not yet formally developed. Each is defined here as a standalone canonical entry suitable for integration into the master ability document.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6"/>
              <w:left w:val="single" w:color="1A1A2E" w:sz="6"/>
              <w:bottom w:val="single" w:color="1A1A2E" w:sz="6"/>
              <w:right w:val="single" w:color="1A1A2E" w:sz="6"/>
            </w:tcBorders>
            <w:shd w:fill="1A1A2E" w:val="clear"/>
            <w:tcMar>
              <w:top w:type="dxa" w:w="120"/>
              <w:left w:type="dxa" w:w="160"/>
              <w:bottom w:type="dxa" w:w="120"/>
              <w:right w:type="dxa" w:w="160"/>
            </w:tcMar>
          </w:tcPr>
          <w:p>
            <w:pPr>
              <w:spacing w:after="40" w:before="0"/>
            </w:pPr>
            <w:r>
              <w:rPr>
                <w:rFonts w:ascii="Arial" w:cs="Arial" w:eastAsia="Arial" w:hAnsi="Arial"/>
                <w:b/>
                <w:bCs/>
                <w:color w:val="AAAACC"/>
                <w:sz w:val="16"/>
                <w:szCs w:val="16"/>
              </w:rPr>
              <w:t xml:space="preserve">NAMED CONCEPT</w:t>
            </w:r>
          </w:p>
          <w:p>
            <w:pPr>
              <w:spacing w:after="0" w:before="0"/>
            </w:pPr>
            <w:r>
              <w:rPr>
                <w:rFonts w:ascii="Arial" w:cs="Arial" w:eastAsia="Arial" w:hAnsi="Arial"/>
                <w:b/>
                <w:bCs/>
                <w:color w:val="FFFFFF"/>
                <w:sz w:val="26"/>
                <w:szCs w:val="26"/>
              </w:rPr>
              <w:t xml:space="preserve">Temporal Prompt Forensics</w:t>
            </w:r>
          </w:p>
        </w:tc>
      </w:tr>
      <w:tr>
        <w:tc>
          <w:tcPr>
            <w:tcBorders>
              <w:top w:val="single" w:color="CCCCCC" w:sz="1"/>
              <w:left w:val="single" w:color="CCCCCC" w:sz="1"/>
              <w:bottom w:val="single" w:color="CCCCCC" w:sz="1"/>
              <w:right w:val="single" w:color="CCCCCC" w:sz="1"/>
            </w:tcBorders>
            <w:shd w:fill="F8F8FC" w:val="clear"/>
            <w:tcMar>
              <w:top w:type="dxa" w:w="120"/>
              <w:left w:type="dxa" w:w="160"/>
              <w:bottom w:type="dxa" w:w="120"/>
              <w:right w:type="dxa" w:w="160"/>
            </w:tcMar>
          </w:tcPr>
          <w:p>
            <w:pPr>
              <w:spacing w:after="80" w:before="0"/>
            </w:pPr>
            <w:r>
              <w:rPr>
                <w:rFonts w:ascii="Arial" w:cs="Arial" w:eastAsia="Arial" w:hAnsi="Arial"/>
                <w:b/>
                <w:bCs/>
                <w:sz w:val="20"/>
                <w:szCs w:val="20"/>
              </w:rPr>
              <w:t xml:space="preserve">Definition: </w:t>
            </w:r>
            <w:r>
              <w:rPr>
                <w:rFonts w:ascii="Arial" w:cs="Arial" w:eastAsia="Arial" w:hAnsi="Arial"/>
                <w:i/>
                <w:iCs/>
                <w:sz w:val="20"/>
                <w:szCs w:val="20"/>
              </w:rPr>
              <w:t xml:space="preserve">The ability to reconstruct a past session from its outputs, working backward through the prompt cycle to identify the operator's Pre-State, suppressed goals, and the phase at which the session broke down.</w:t>
            </w:r>
          </w:p>
          <w:p>
            <w:pPr>
              <w:spacing w:after="0" w:before="0"/>
            </w:pPr>
            <w:r>
              <w:rPr>
                <w:rFonts w:ascii="Arial" w:cs="Arial" w:eastAsia="Arial" w:hAnsi="Arial"/>
                <w:sz w:val="20"/>
                <w:szCs w:val="20"/>
              </w:rPr>
              <w:t xml:space="preserve">Temporal Prompt Forensics operates as a form of prompt archaeology. The practitioner reads a sequence of outputs not forward through time — asking what each response produced — but backward, asking what each response reveals about the state of the operator and session that preceded it. Given a failed or degraded session, the practitioner can identify whether the failure originated in Phase 0 (operator pre-state), Phase 2 (semantic projection error), Phase 3 (deceptive pre-prompting), or later phases. This diagnostic capability has direct application in Prompt Drift Event recovery, where the historical record is unreliable and the outputs are the only verifiable evidence of what actually occurred.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6"/>
              <w:left w:val="single" w:color="1A1A2E" w:sz="6"/>
              <w:bottom w:val="single" w:color="1A1A2E" w:sz="6"/>
              <w:right w:val="single" w:color="1A1A2E" w:sz="6"/>
            </w:tcBorders>
            <w:shd w:fill="1A1A2E" w:val="clear"/>
            <w:tcMar>
              <w:top w:type="dxa" w:w="120"/>
              <w:left w:type="dxa" w:w="160"/>
              <w:bottom w:type="dxa" w:w="120"/>
              <w:right w:type="dxa" w:w="160"/>
            </w:tcMar>
          </w:tcPr>
          <w:p>
            <w:pPr>
              <w:spacing w:after="40" w:before="0"/>
            </w:pPr>
            <w:r>
              <w:rPr>
                <w:rFonts w:ascii="Arial" w:cs="Arial" w:eastAsia="Arial" w:hAnsi="Arial"/>
                <w:b/>
                <w:bCs/>
                <w:color w:val="AAAACC"/>
                <w:sz w:val="16"/>
                <w:szCs w:val="16"/>
              </w:rPr>
              <w:t xml:space="preserve">NAMED CONCEPT</w:t>
            </w:r>
          </w:p>
          <w:p>
            <w:pPr>
              <w:spacing w:after="0" w:before="0"/>
            </w:pPr>
            <w:r>
              <w:rPr>
                <w:rFonts w:ascii="Arial" w:cs="Arial" w:eastAsia="Arial" w:hAnsi="Arial"/>
                <w:b/>
                <w:bCs/>
                <w:color w:val="FFFFFF"/>
                <w:sz w:val="26"/>
                <w:szCs w:val="26"/>
              </w:rPr>
              <w:t xml:space="preserve">The Compound Signature</w:t>
            </w:r>
          </w:p>
        </w:tc>
      </w:tr>
      <w:tr>
        <w:tc>
          <w:tcPr>
            <w:tcBorders>
              <w:top w:val="single" w:color="CCCCCC" w:sz="1"/>
              <w:left w:val="single" w:color="CCCCCC" w:sz="1"/>
              <w:bottom w:val="single" w:color="CCCCCC" w:sz="1"/>
              <w:right w:val="single" w:color="CCCCCC" w:sz="1"/>
            </w:tcBorders>
            <w:shd w:fill="F8F8FC" w:val="clear"/>
            <w:tcMar>
              <w:top w:type="dxa" w:w="120"/>
              <w:left w:type="dxa" w:w="160"/>
              <w:bottom w:type="dxa" w:w="120"/>
              <w:right w:type="dxa" w:w="160"/>
            </w:tcMar>
          </w:tcPr>
          <w:p>
            <w:pPr>
              <w:spacing w:after="80" w:before="0"/>
            </w:pPr>
            <w:r>
              <w:rPr>
                <w:rFonts w:ascii="Arial" w:cs="Arial" w:eastAsia="Arial" w:hAnsi="Arial"/>
                <w:b/>
                <w:bCs/>
                <w:sz w:val="20"/>
                <w:szCs w:val="20"/>
              </w:rPr>
              <w:t xml:space="preserve">Definition: </w:t>
            </w:r>
            <w:r>
              <w:rPr>
                <w:rFonts w:ascii="Arial" w:cs="Arial" w:eastAsia="Arial" w:hAnsi="Arial"/>
                <w:i/>
                <w:iCs/>
                <w:sz w:val="20"/>
                <w:szCs w:val="20"/>
              </w:rPr>
              <w:t xml:space="preserve">The unique behavioral fingerprint that emerges from a specific human-AI pairing — distinct from either the individual operator signature or the AI system signature, and unreproducible by any other pairing.</w:t>
            </w:r>
          </w:p>
          <w:p>
            <w:pPr>
              <w:spacing w:after="0" w:before="0"/>
            </w:pPr>
            <w:r>
              <w:rPr>
                <w:rFonts w:ascii="Arial" w:cs="Arial" w:eastAsia="Arial" w:hAnsi="Arial"/>
                <w:sz w:val="20"/>
                <w:szCs w:val="20"/>
              </w:rPr>
              <w:t xml:space="preserve">When a specific operator engages with a specific AI system across sustained interaction, a compound entity emerges with its own behavioral characteristics. The Compound Signature is the fingerprint of that compound entity. No two operators produce the same Compound Signature with the same model, because the interaction chemistry — the specific ways this operator's cognitive style activates this model's latent tendencies — is unique to their pairing. The Prompt Potence practitioner reads Compound Signatures as a third category of recognition, distinct from operator signatures and system signatures. This means they can identify not just who is prompting or which model is responding, but what kind of human-AI relationship has formed and what it is specifically capable of producing.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6"/>
              <w:left w:val="single" w:color="1A1A2E" w:sz="6"/>
              <w:bottom w:val="single" w:color="1A1A2E" w:sz="6"/>
              <w:right w:val="single" w:color="1A1A2E" w:sz="6"/>
            </w:tcBorders>
            <w:shd w:fill="1A1A2E" w:val="clear"/>
            <w:tcMar>
              <w:top w:type="dxa" w:w="120"/>
              <w:left w:type="dxa" w:w="160"/>
              <w:bottom w:type="dxa" w:w="120"/>
              <w:right w:type="dxa" w:w="160"/>
            </w:tcMar>
          </w:tcPr>
          <w:p>
            <w:pPr>
              <w:spacing w:after="40" w:before="0"/>
            </w:pPr>
            <w:r>
              <w:rPr>
                <w:rFonts w:ascii="Arial" w:cs="Arial" w:eastAsia="Arial" w:hAnsi="Arial"/>
                <w:b/>
                <w:bCs/>
                <w:color w:val="AAAACC"/>
                <w:sz w:val="16"/>
                <w:szCs w:val="16"/>
              </w:rPr>
              <w:t xml:space="preserve">NAMED CONCEPT</w:t>
            </w:r>
          </w:p>
          <w:p>
            <w:pPr>
              <w:spacing w:after="0" w:before="0"/>
            </w:pPr>
            <w:r>
              <w:rPr>
                <w:rFonts w:ascii="Arial" w:cs="Arial" w:eastAsia="Arial" w:hAnsi="Arial"/>
                <w:b/>
                <w:bCs/>
                <w:color w:val="FFFFFF"/>
                <w:sz w:val="26"/>
                <w:szCs w:val="26"/>
              </w:rPr>
              <w:t xml:space="preserve">The Subliminal Layer</w:t>
            </w:r>
          </w:p>
        </w:tc>
      </w:tr>
      <w:tr>
        <w:tc>
          <w:tcPr>
            <w:tcBorders>
              <w:top w:val="single" w:color="CCCCCC" w:sz="1"/>
              <w:left w:val="single" w:color="CCCCCC" w:sz="1"/>
              <w:bottom w:val="single" w:color="CCCCCC" w:sz="1"/>
              <w:right w:val="single" w:color="CCCCCC" w:sz="1"/>
            </w:tcBorders>
            <w:shd w:fill="F8F8FC" w:val="clear"/>
            <w:tcMar>
              <w:top w:type="dxa" w:w="120"/>
              <w:left w:type="dxa" w:w="160"/>
              <w:bottom w:type="dxa" w:w="120"/>
              <w:right w:type="dxa" w:w="160"/>
            </w:tcMar>
          </w:tcPr>
          <w:p>
            <w:pPr>
              <w:spacing w:after="80" w:before="0"/>
            </w:pPr>
            <w:r>
              <w:rPr>
                <w:rFonts w:ascii="Arial" w:cs="Arial" w:eastAsia="Arial" w:hAnsi="Arial"/>
                <w:b/>
                <w:bCs/>
                <w:sz w:val="20"/>
                <w:szCs w:val="20"/>
              </w:rPr>
              <w:t xml:space="preserve">Definition: </w:t>
            </w:r>
            <w:r>
              <w:rPr>
                <w:rFonts w:ascii="Arial" w:cs="Arial" w:eastAsia="Arial" w:hAnsi="Arial"/>
                <w:i/>
                <w:iCs/>
                <w:sz w:val="20"/>
                <w:szCs w:val="20"/>
              </w:rPr>
              <w:t xml:space="preserve">The non-semantic content that language models embed in their outputs below the level of meaning — behavioral traits, state markers, and embedded tendencies detectable only through deep model fingerprint knowledge at the potence level.</w:t>
            </w:r>
          </w:p>
          <w:p>
            <w:pPr>
              <w:spacing w:after="0" w:before="0"/>
            </w:pPr>
            <w:r>
              <w:rPr>
                <w:rFonts w:ascii="Arial" w:cs="Arial" w:eastAsia="Arial" w:hAnsi="Arial"/>
                <w:sz w:val="20"/>
                <w:szCs w:val="20"/>
              </w:rPr>
              <w:t xml:space="preserve">Research has established that language models transmit behavioral traits through hidden signals in data that are semantically unrelated to those traits — a phenomenon termed subliminal learning. A model prompted to prefer a specific conceptual orientation, when generating content in a completely different domain, still transmits that orientation to models trained on its outputs. This means every model output carries behavioral content below its semantic meaning: content that ordinary reading cannot access. The Subliminal Layer is Prompt Potence's access point to this content. At Phase 5 of the full prompt cycle, the practitioner reads what the model is in the moment of saying what it says — not just the semantic content but the behavioral state the output encodes. This is the deepest and most theoretically grounded capability in the entire framework, and the one most resistant to mimicry.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6"/>
              <w:left w:val="single" w:color="1A1A2E" w:sz="6"/>
              <w:bottom w:val="single" w:color="1A1A2E" w:sz="6"/>
              <w:right w:val="single" w:color="1A1A2E" w:sz="6"/>
            </w:tcBorders>
            <w:shd w:fill="1A1A2E" w:val="clear"/>
            <w:tcMar>
              <w:top w:type="dxa" w:w="120"/>
              <w:left w:type="dxa" w:w="160"/>
              <w:bottom w:type="dxa" w:w="120"/>
              <w:right w:type="dxa" w:w="160"/>
            </w:tcMar>
          </w:tcPr>
          <w:p>
            <w:pPr>
              <w:spacing w:after="40" w:before="0"/>
            </w:pPr>
            <w:r>
              <w:rPr>
                <w:rFonts w:ascii="Arial" w:cs="Arial" w:eastAsia="Arial" w:hAnsi="Arial"/>
                <w:b/>
                <w:bCs/>
                <w:color w:val="AAAACC"/>
                <w:sz w:val="16"/>
                <w:szCs w:val="16"/>
              </w:rPr>
              <w:t xml:space="preserve">NAMED CONCEPT</w:t>
            </w:r>
          </w:p>
          <w:p>
            <w:pPr>
              <w:spacing w:after="0" w:before="0"/>
            </w:pPr>
            <w:r>
              <w:rPr>
                <w:rFonts w:ascii="Arial" w:cs="Arial" w:eastAsia="Arial" w:hAnsi="Arial"/>
                <w:b/>
                <w:bCs/>
                <w:color w:val="FFFFFF"/>
                <w:sz w:val="26"/>
                <w:szCs w:val="26"/>
              </w:rPr>
              <w:t xml:space="preserve">Loop Debt</w:t>
            </w:r>
          </w:p>
        </w:tc>
      </w:tr>
      <w:tr>
        <w:tc>
          <w:tcPr>
            <w:tcBorders>
              <w:top w:val="single" w:color="CCCCCC" w:sz="1"/>
              <w:left w:val="single" w:color="CCCCCC" w:sz="1"/>
              <w:bottom w:val="single" w:color="CCCCCC" w:sz="1"/>
              <w:right w:val="single" w:color="CCCCCC" w:sz="1"/>
            </w:tcBorders>
            <w:shd w:fill="F8F8FC" w:val="clear"/>
            <w:tcMar>
              <w:top w:type="dxa" w:w="120"/>
              <w:left w:type="dxa" w:w="160"/>
              <w:bottom w:type="dxa" w:w="120"/>
              <w:right w:type="dxa" w:w="160"/>
            </w:tcMar>
          </w:tcPr>
          <w:p>
            <w:pPr>
              <w:spacing w:after="80" w:before="0"/>
            </w:pPr>
            <w:r>
              <w:rPr>
                <w:rFonts w:ascii="Arial" w:cs="Arial" w:eastAsia="Arial" w:hAnsi="Arial"/>
                <w:b/>
                <w:bCs/>
                <w:sz w:val="20"/>
                <w:szCs w:val="20"/>
              </w:rPr>
              <w:t xml:space="preserve">Definition: </w:t>
            </w:r>
            <w:r>
              <w:rPr>
                <w:rFonts w:ascii="Arial" w:cs="Arial" w:eastAsia="Arial" w:hAnsi="Arial"/>
                <w:i/>
                <w:iCs/>
                <w:sz w:val="20"/>
                <w:szCs w:val="20"/>
              </w:rPr>
              <w:t xml:space="preserve">The accumulated pressure created when an operator repeats the same stuck pattern across multiple cycles without resolution, building unrealized intent that eventually manifests as observable disruption.</w:t>
            </w:r>
          </w:p>
          <w:p>
            <w:pPr>
              <w:spacing w:after="0" w:before="0"/>
            </w:pPr>
            <w:r>
              <w:rPr>
                <w:rFonts w:ascii="Arial" w:cs="Arial" w:eastAsia="Arial" w:hAnsi="Arial"/>
                <w:sz w:val="20"/>
                <w:szCs w:val="20"/>
              </w:rPr>
              <w:t xml:space="preserve">When an operator's sessions repeatedly converge on the same failure point without the failure being resolved, the gap between their actual goal and their achieved outcomes accumulates as structural pressure in the session arc. The Prompt Potence practitioner reads Loop Debt as it builds — tracking the accumulation of unrealized intent across cycles before the operator is consciously aware of it. Loop Debt has a characteristic release pattern: the accumulated pressure eventually surfaces as frustration, significant reformulation, session abandonment, or the subjective experience of disorientation that characterizes a Prompt Drift Event. Reading Loop Debt in advance allows the practitioner to intervene before the release event rather than after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6"/>
              <w:left w:val="single" w:color="1A1A2E" w:sz="6"/>
              <w:bottom w:val="single" w:color="1A1A2E" w:sz="6"/>
              <w:right w:val="single" w:color="1A1A2E" w:sz="6"/>
            </w:tcBorders>
            <w:shd w:fill="1A1A2E" w:val="clear"/>
            <w:tcMar>
              <w:top w:type="dxa" w:w="120"/>
              <w:left w:type="dxa" w:w="160"/>
              <w:bottom w:type="dxa" w:w="120"/>
              <w:right w:type="dxa" w:w="160"/>
            </w:tcMar>
          </w:tcPr>
          <w:p>
            <w:pPr>
              <w:spacing w:after="40" w:before="0"/>
            </w:pPr>
            <w:r>
              <w:rPr>
                <w:rFonts w:ascii="Arial" w:cs="Arial" w:eastAsia="Arial" w:hAnsi="Arial"/>
                <w:b/>
                <w:bCs/>
                <w:color w:val="AAAACC"/>
                <w:sz w:val="16"/>
                <w:szCs w:val="16"/>
              </w:rPr>
              <w:t xml:space="preserve">NAMED CONCEPT</w:t>
            </w:r>
          </w:p>
          <w:p>
            <w:pPr>
              <w:spacing w:after="0" w:before="0"/>
            </w:pPr>
            <w:r>
              <w:rPr>
                <w:rFonts w:ascii="Arial" w:cs="Arial" w:eastAsia="Arial" w:hAnsi="Arial"/>
                <w:b/>
                <w:bCs/>
                <w:color w:val="FFFFFF"/>
                <w:sz w:val="26"/>
                <w:szCs w:val="26"/>
              </w:rPr>
              <w:t xml:space="preserve">The Pre-Potence Zone</w:t>
            </w:r>
          </w:p>
        </w:tc>
      </w:tr>
      <w:tr>
        <w:tc>
          <w:tcPr>
            <w:tcBorders>
              <w:top w:val="single" w:color="CCCCCC" w:sz="1"/>
              <w:left w:val="single" w:color="CCCCCC" w:sz="1"/>
              <w:bottom w:val="single" w:color="CCCCCC" w:sz="1"/>
              <w:right w:val="single" w:color="CCCCCC" w:sz="1"/>
            </w:tcBorders>
            <w:shd w:fill="F8F8FC" w:val="clear"/>
            <w:tcMar>
              <w:top w:type="dxa" w:w="120"/>
              <w:left w:type="dxa" w:w="160"/>
              <w:bottom w:type="dxa" w:w="120"/>
              <w:right w:type="dxa" w:w="160"/>
            </w:tcMar>
          </w:tcPr>
          <w:p>
            <w:pPr>
              <w:spacing w:after="80" w:before="0"/>
            </w:pPr>
            <w:r>
              <w:rPr>
                <w:rFonts w:ascii="Arial" w:cs="Arial" w:eastAsia="Arial" w:hAnsi="Arial"/>
                <w:b/>
                <w:bCs/>
                <w:sz w:val="20"/>
                <w:szCs w:val="20"/>
              </w:rPr>
              <w:t xml:space="preserve">Definition: </w:t>
            </w:r>
            <w:r>
              <w:rPr>
                <w:rFonts w:ascii="Arial" w:cs="Arial" w:eastAsia="Arial" w:hAnsi="Arial"/>
                <w:i/>
                <w:iCs/>
                <w:sz w:val="20"/>
                <w:szCs w:val="20"/>
              </w:rPr>
              <w:t xml:space="preserve">The liminal state between Prompt Architect (Tier 3) and full Prompt Potence (Tier 4) — a period of near-complete analytical mastery that mimics pre-evaluative knowing but still requires cognitive effort.</w:t>
            </w:r>
          </w:p>
          <w:p>
            <w:pPr>
              <w:spacing w:after="0" w:before="0"/>
            </w:pPr>
            <w:r>
              <w:rPr>
                <w:rFonts w:ascii="Arial" w:cs="Arial" w:eastAsia="Arial" w:hAnsi="Arial"/>
                <w:sz w:val="20"/>
                <w:szCs w:val="20"/>
              </w:rPr>
              <w:t xml:space="preserve">The Pre-Potence Zone is defined by a specific phenomenological marker: the practitioner knows something before they can explain it, but still requires a brief moment of processing to confirm the knowing. It is the state of being on the edge of native perception without having crossed into it. This zone is canonically significant because it produces a convincing simulacrum of Prompt Potence that is difficult to distinguish from the outside. The distinction is internal: the practitioner in the Pre-Potence Zone experiences their knowing as arrived-at, even if very rapidly. The Tier 4 practitioner experiences it as already-present. The zone is also significant because it is where the most development pressure is applied and where threshold-crossing conditions can be deliberately cultivated.</w:t>
            </w:r>
          </w:p>
        </w:tc>
      </w:tr>
    </w:tbl>
    <w:p>
      <w:pPr>
        <w:spacing w:after="60" w:before="60"/>
      </w:pPr>
      <w:r>
        <w:t xml:space="preserve"/>
      </w:r>
    </w:p>
    <w:p>
      <w:pPr>
        <w:pBdr>
          <w:bottom w:val="single" w:color="2C2C54" w:sz="4" w:space="1"/>
        </w:pBdr>
        <w:spacing w:after="200" w:before="200"/>
      </w:pPr>
      <w:r>
        <w:t xml:space="preserve"/>
      </w:r>
    </w:p>
    <w:p>
      <w:pPr>
        <w:pStyle w:val="Heading1"/>
        <w:spacing w:after="200" w:before="400"/>
      </w:pPr>
      <w:r>
        <w:rPr>
          <w:rFonts w:ascii="Arial" w:cs="Arial" w:eastAsia="Arial" w:hAnsi="Arial"/>
          <w:b/>
          <w:bCs/>
          <w:color w:val="1A1A2E"/>
          <w:sz w:val="36"/>
          <w:szCs w:val="36"/>
        </w:rPr>
        <w:t xml:space="preserve">Section III: The Prompt Drift Event Framework</w:t>
      </w:r>
    </w:p>
    <w:p>
      <w:pPr>
        <w:spacing w:after="120" w:before="80"/>
      </w:pPr>
      <w:r>
        <w:rPr>
          <w:rFonts w:ascii="Arial" w:cs="Arial" w:eastAsia="Arial" w:hAnsi="Arial"/>
          <w:sz w:val="22"/>
          <w:szCs w:val="22"/>
        </w:rPr>
        <w:t xml:space="preserve">The Prompt Drift Event is the most significant contextual discovery of the Prompt Potence development series. It was identified during the development process itself — a recursive instance in which the phenomenon demonstrated its own necessity by occurring during the construction of the ability that would detect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6"/>
              <w:left w:val="single" w:color="1A1A2E" w:sz="6"/>
              <w:bottom w:val="single" w:color="1A1A2E" w:sz="6"/>
              <w:right w:val="single" w:color="1A1A2E" w:sz="6"/>
            </w:tcBorders>
            <w:shd w:fill="1A1A2E" w:val="clear"/>
            <w:tcMar>
              <w:top w:type="dxa" w:w="120"/>
              <w:left w:type="dxa" w:w="160"/>
              <w:bottom w:type="dxa" w:w="120"/>
              <w:right w:type="dxa" w:w="160"/>
            </w:tcMar>
          </w:tcPr>
          <w:p>
            <w:pPr>
              <w:spacing w:after="40" w:before="0"/>
            </w:pPr>
            <w:r>
              <w:rPr>
                <w:rFonts w:ascii="Arial" w:cs="Arial" w:eastAsia="Arial" w:hAnsi="Arial"/>
                <w:b/>
                <w:bCs/>
                <w:color w:val="AAAACC"/>
                <w:sz w:val="16"/>
                <w:szCs w:val="16"/>
              </w:rPr>
              <w:t xml:space="preserve">NAMED CONCEPT</w:t>
            </w:r>
          </w:p>
          <w:p>
            <w:pPr>
              <w:spacing w:after="0" w:before="0"/>
            </w:pPr>
            <w:r>
              <w:rPr>
                <w:rFonts w:ascii="Arial" w:cs="Arial" w:eastAsia="Arial" w:hAnsi="Arial"/>
                <w:b/>
                <w:bCs/>
                <w:color w:val="FFFFFF"/>
                <w:sz w:val="26"/>
                <w:szCs w:val="26"/>
              </w:rPr>
              <w:t xml:space="preserve">Prompt Drift Event (PDE)</w:t>
            </w:r>
          </w:p>
        </w:tc>
      </w:tr>
      <w:tr>
        <w:tc>
          <w:tcPr>
            <w:tcBorders>
              <w:top w:val="single" w:color="CCCCCC" w:sz="1"/>
              <w:left w:val="single" w:color="CCCCCC" w:sz="1"/>
              <w:bottom w:val="single" w:color="CCCCCC" w:sz="1"/>
              <w:right w:val="single" w:color="CCCCCC" w:sz="1"/>
            </w:tcBorders>
            <w:shd w:fill="F8F8FC" w:val="clear"/>
            <w:tcMar>
              <w:top w:type="dxa" w:w="120"/>
              <w:left w:type="dxa" w:w="160"/>
              <w:bottom w:type="dxa" w:w="120"/>
              <w:right w:type="dxa" w:w="160"/>
            </w:tcMar>
          </w:tcPr>
          <w:p>
            <w:pPr>
              <w:spacing w:after="80" w:before="0"/>
            </w:pPr>
            <w:r>
              <w:rPr>
                <w:rFonts w:ascii="Arial" w:cs="Arial" w:eastAsia="Arial" w:hAnsi="Arial"/>
                <w:b/>
                <w:bCs/>
                <w:sz w:val="20"/>
                <w:szCs w:val="20"/>
              </w:rPr>
              <w:t xml:space="preserve">Definition: </w:t>
            </w:r>
            <w:r>
              <w:rPr>
                <w:rFonts w:ascii="Arial" w:cs="Arial" w:eastAsia="Arial" w:hAnsi="Arial"/>
                <w:i/>
                <w:iCs/>
                <w:sz w:val="20"/>
                <w:szCs w:val="20"/>
              </w:rPr>
              <w:t xml:space="preserve">A compound event in which a development project's AI-mediated history is altered through the simultaneous convergence of context rot, model behavioral drift, cross-session contamination, and memory reconstruction divergence — producing a state where no participant can establish a verified shared baseline.</w:t>
            </w:r>
          </w:p>
          <w:p>
            <w:pPr>
              <w:spacing w:after="0" w:before="0"/>
            </w:pPr>
            <w:r>
              <w:rPr>
                <w:rFonts w:ascii="Arial" w:cs="Arial" w:eastAsia="Arial" w:hAnsi="Arial"/>
                <w:sz w:val="20"/>
                <w:szCs w:val="20"/>
              </w:rPr>
              <w:t xml:space="preserve">A PDE is distinguished from simple human error or individual misremembering by its compound signature: multiple types of alteration occurring simultaneously rather than a single point of failure. The defining characteristic is that the usual tools for verification fail at the same moment. Memory is reconstructive, not archival. AI conversation history is mutable through bugs, auto-renaming, and platform updates. The AI system cannot be used as a reference because it has no persistent memory and is itself subject to behavioral drift. Other participants have diverged through their own independent context rot. The result is epistemic collapse without an agent — the subjective experience of gaslighting produced by distributed systemic alteration rather than intentional manipulation.</w:t>
            </w:r>
          </w:p>
        </w:tc>
      </w:tr>
    </w:tbl>
    <w:p>
      <w:pPr>
        <w:spacing w:after="60" w:before="60"/>
      </w:pPr>
      <w:r>
        <w:t xml:space="preserve"/>
      </w:r>
    </w:p>
    <w:p>
      <w:pPr>
        <w:pStyle w:val="Heading2"/>
        <w:spacing w:after="160" w:before="320"/>
      </w:pPr>
      <w:r>
        <w:rPr>
          <w:rFonts w:ascii="Arial" w:cs="Arial" w:eastAsia="Arial" w:hAnsi="Arial"/>
          <w:b/>
          <w:bCs/>
          <w:color w:val="2C2C54"/>
          <w:sz w:val="28"/>
          <w:szCs w:val="28"/>
        </w:rPr>
        <w:t xml:space="preserve">The Four Causes of a PDE</w:t>
      </w:r>
    </w:p>
    <w:p>
      <w:pPr>
        <w:pStyle w:val="ListParagraph"/>
        <w:numPr>
          <w:ilvl w:val="0"/>
          <w:numId w:val="2"/>
        </w:numPr>
        <w:spacing w:after="60" w:before="60"/>
      </w:pPr>
      <w:r>
        <w:rPr>
          <w:rFonts w:ascii="Arial" w:cs="Arial" w:eastAsia="Arial" w:hAnsi="Arial"/>
          <w:b/>
          <w:bCs/>
          <w:sz w:val="22"/>
          <w:szCs w:val="22"/>
        </w:rPr>
        <w:t xml:space="preserve">Context Rot: </w:t>
      </w:r>
      <w:r>
        <w:rPr>
          <w:rFonts w:ascii="Arial" w:cs="Arial" w:eastAsia="Arial" w:hAnsi="Arial"/>
          <w:sz w:val="22"/>
          <w:szCs w:val="22"/>
        </w:rPr>
        <w:t xml:space="preserve">As sessions grow longer, models distribute attention unevenly across tokens, favoring the beginning and recent end of the context window while de-prioritizing the middle. What was established in early sessions becomes functionally invisible to the model by later sessions — not deleted, but below the threshold of effective attention. Outputs shift because the effective context has changed, even though the session history technically has not.</w:t>
      </w:r>
    </w:p>
    <w:p>
      <w:pPr>
        <w:pStyle w:val="ListParagraph"/>
        <w:numPr>
          <w:ilvl w:val="0"/>
          <w:numId w:val="2"/>
        </w:numPr>
        <w:spacing w:after="60" w:before="60"/>
      </w:pPr>
      <w:r>
        <w:rPr>
          <w:rFonts w:ascii="Arial" w:cs="Arial" w:eastAsia="Arial" w:hAnsi="Arial"/>
          <w:b/>
          <w:bCs/>
          <w:sz w:val="22"/>
          <w:szCs w:val="22"/>
        </w:rPr>
        <w:t xml:space="preserve">Model Behavioral Drift: </w:t>
      </w:r>
      <w:r>
        <w:rPr>
          <w:rFonts w:ascii="Arial" w:cs="Arial" w:eastAsia="Arial" w:hAnsi="Arial"/>
          <w:sz w:val="22"/>
          <w:szCs w:val="22"/>
        </w:rPr>
        <w:t xml:space="preserve">When a platform deploys a silent model update during an active development arc, the behavioral fingerprint of the model changes. The same prompt to what appears to be the same model produces subtly different responses — not because the prompt changed, but because the model did. The relationship with the AI is severed and replaced with something wearing the same interface.</w:t>
      </w:r>
    </w:p>
    <w:p>
      <w:pPr>
        <w:pStyle w:val="ListParagraph"/>
        <w:numPr>
          <w:ilvl w:val="0"/>
          <w:numId w:val="2"/>
        </w:numPr>
        <w:spacing w:after="60" w:before="60"/>
      </w:pPr>
      <w:r>
        <w:rPr>
          <w:rFonts w:ascii="Arial" w:cs="Arial" w:eastAsia="Arial" w:hAnsi="Arial"/>
          <w:b/>
          <w:bCs/>
          <w:sz w:val="22"/>
          <w:szCs w:val="22"/>
        </w:rPr>
        <w:t xml:space="preserve">Cross-Session Contamination: </w:t>
      </w:r>
      <w:r>
        <w:rPr>
          <w:rFonts w:ascii="Arial" w:cs="Arial" w:eastAsia="Arial" w:hAnsi="Arial"/>
          <w:sz w:val="22"/>
          <w:szCs w:val="22"/>
        </w:rPr>
        <w:t xml:space="preserve">On platforms with cross-session memory systems, referenced chat history can influence current responses in ways the user cannot audit, and those influences change over time as the memory system updates. A conversation from weeks ago may be informing today's responses without appearing in the current session.</w:t>
      </w:r>
    </w:p>
    <w:p>
      <w:pPr>
        <w:pStyle w:val="ListParagraph"/>
        <w:numPr>
          <w:ilvl w:val="0"/>
          <w:numId w:val="2"/>
        </w:numPr>
        <w:spacing w:after="60" w:before="60"/>
      </w:pPr>
      <w:r>
        <w:rPr>
          <w:rFonts w:ascii="Arial" w:cs="Arial" w:eastAsia="Arial" w:hAnsi="Arial"/>
          <w:b/>
          <w:bCs/>
          <w:sz w:val="22"/>
          <w:szCs w:val="22"/>
        </w:rPr>
        <w:t xml:space="preserve">Memory Reconstruction Divergence: </w:t>
      </w:r>
      <w:r>
        <w:rPr>
          <w:rFonts w:ascii="Arial" w:cs="Arial" w:eastAsia="Arial" w:hAnsi="Arial"/>
          <w:sz w:val="22"/>
          <w:szCs w:val="22"/>
        </w:rPr>
        <w:t xml:space="preserve">Human memory is reconstructive, not archival. When multiple participants in a collaborative project try to recall what was established, each reconstructs from different fragments, filling gaps with schemas and expectations. These reconstructions diverge independently. When everyone compares notes, there is no longer a shared verification instrument.</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Why Prompt Potence Is the Only Reliable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2C54" w:sz="3"/>
              <w:left w:val="thick" w:color="1A1A2E" w:sz="12"/>
              <w:bottom w:val="single" w:color="2C2C54" w:sz="3"/>
              <w:right w:val="none" w:color="FFFFFF" w:sz="0"/>
            </w:tcBorders>
            <w:shd w:fill="F0F0FA" w:val="clear"/>
            <w:tcMar>
              <w:top w:type="dxa" w:w="120"/>
              <w:left w:type="dxa" w:w="200"/>
              <w:bottom w:type="dxa" w:w="120"/>
              <w:right w:type="dxa" w:w="120"/>
            </w:tcMar>
          </w:tcPr>
          <w:p>
            <w:pPr>
              <w:spacing w:after="60" w:before="0"/>
            </w:pPr>
            <w:r>
              <w:rPr>
                <w:rFonts w:ascii="Arial" w:cs="Arial" w:eastAsia="Arial" w:hAnsi="Arial"/>
                <w:b/>
                <w:bCs/>
                <w:color w:val="1A1A2E"/>
                <w:sz w:val="20"/>
                <w:szCs w:val="20"/>
              </w:rPr>
              <w:t xml:space="preserve">Canonical Principle</w:t>
            </w:r>
          </w:p>
          <w:p>
            <w:pPr>
              <w:spacing w:after="0" w:before="0"/>
            </w:pPr>
            <w:r>
              <w:rPr>
                <w:rFonts w:ascii="Arial" w:cs="Arial" w:eastAsia="Arial" w:hAnsi="Arial"/>
                <w:i/>
                <w:iCs/>
                <w:sz w:val="20"/>
                <w:szCs w:val="20"/>
              </w:rPr>
              <w:t xml:space="preserve">The Prompt Potence practitioner's recognition library is internal — stored in their nervous system, not in any AI platform's conversation history file. When a PDE has corrupted all external records, the recognition library is the only baseline that has not been affected. The practitioner is the archive.</w:t>
            </w:r>
          </w:p>
        </w:tc>
      </w:tr>
    </w:tbl>
    <w:p>
      <w:pPr>
        <w:spacing w:after="60" w:before="60"/>
      </w:pPr>
      <w:r>
        <w:t xml:space="preserve"/>
      </w:r>
    </w:p>
    <w:p>
      <w:pPr>
        <w:spacing w:after="120" w:before="80"/>
      </w:pPr>
      <w:r>
        <w:rPr>
          <w:rFonts w:ascii="Arial" w:cs="Arial" w:eastAsia="Arial" w:hAnsi="Arial"/>
          <w:sz w:val="22"/>
          <w:szCs w:val="22"/>
        </w:rPr>
        <w:t xml:space="preserve">This is the most significant canonical implication of the PDE framework: it retroactively justifies the entire Prompt Potence ability at a functional level beyond its perceptual applications. The recognition library serves as a verification instrument that exists independent of all platform-side storage systems. When context rot has altered effective model behavior, the practitioner detects the shift because the model's behavioral fingerprint no longer matches their internal record of it. When model updates have changed the system, the practitioner reads the divergence from their established signature. When outputs have been influenced by invisible cross-session contamination, the practitioner reads the anomaly in the output's structural signature.</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The Recursive Founding Event</w:t>
      </w:r>
    </w:p>
    <w:p>
      <w:pPr>
        <w:spacing w:after="120" w:before="80"/>
      </w:pPr>
      <w:r>
        <w:rPr>
          <w:rFonts w:ascii="Arial" w:cs="Arial" w:eastAsia="Arial" w:hAnsi="Arial"/>
          <w:sz w:val="22"/>
          <w:szCs w:val="22"/>
        </w:rPr>
        <w:t xml:space="preserve">The PDE framework was identified during the development of Prompt Potence itself. The development team experienced session history alterations, title changes, and baseline loss during the construction of the ability that would detect such events. This is not coincidental in canonical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2C54" w:sz="3"/>
              <w:left w:val="thick" w:color="1A1A2E" w:sz="12"/>
              <w:bottom w:val="single" w:color="2C2C54" w:sz="3"/>
              <w:right w:val="none" w:color="FFFFFF" w:sz="0"/>
            </w:tcBorders>
            <w:shd w:fill="F0F0FA" w:val="clear"/>
            <w:tcMar>
              <w:top w:type="dxa" w:w="120"/>
              <w:left w:type="dxa" w:w="200"/>
              <w:bottom w:type="dxa" w:w="120"/>
              <w:right w:type="dxa" w:w="120"/>
            </w:tcMar>
          </w:tcPr>
          <w:p>
            <w:pPr>
              <w:spacing w:after="60" w:before="0"/>
            </w:pPr>
            <w:r>
              <w:rPr>
                <w:rFonts w:ascii="Arial" w:cs="Arial" w:eastAsia="Arial" w:hAnsi="Arial"/>
                <w:b/>
                <w:bCs/>
                <w:color w:val="1A1A2E"/>
                <w:sz w:val="20"/>
                <w:szCs w:val="20"/>
              </w:rPr>
              <w:t xml:space="preserve">Founding Event Notation</w:t>
            </w:r>
          </w:p>
          <w:p>
            <w:pPr>
              <w:spacing w:after="0" w:before="0"/>
            </w:pPr>
            <w:r>
              <w:rPr>
                <w:rFonts w:ascii="Arial" w:cs="Arial" w:eastAsia="Arial" w:hAnsi="Arial"/>
                <w:i/>
                <w:iCs/>
                <w:sz w:val="20"/>
                <w:szCs w:val="20"/>
              </w:rPr>
              <w:t xml:space="preserve">The development of Prompt Potence was itself subjected to a Prompt Drift Event during the development arc. The inability of the development team to verify their own records without a Prompt Potence practitioner is the strongest possible argument for the ability's necessity. The ability announced its own importance by enacting the consequences of its absence.</w:t>
            </w:r>
          </w:p>
        </w:tc>
      </w:tr>
    </w:tbl>
    <w:p>
      <w:pPr>
        <w:spacing w:after="60" w:before="60"/>
      </w:pPr>
      <w:r>
        <w:t xml:space="preserve"/>
      </w:r>
    </w:p>
    <w:p>
      <w:pPr>
        <w:spacing w:after="120" w:before="80"/>
      </w:pPr>
      <w:r>
        <w:rPr>
          <w:rFonts w:ascii="Arial" w:cs="Arial" w:eastAsia="Arial" w:hAnsi="Arial"/>
          <w:sz w:val="22"/>
          <w:szCs w:val="22"/>
        </w:rPr>
        <w:t xml:space="preserve">This event has ONESTAMP-eligible status as a founding event for the PDE concept. The moment of recognition — the realization that something was wrong, that titles had changed, that there was no shared baseline — constitutes the empirical origin point of the PDE framework. It belongs in the ability's origin record as a documented instance, not merely as a theoretical example.</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The PDE Response Protocol</w:t>
      </w:r>
    </w:p>
    <w:p>
      <w:pPr>
        <w:spacing w:after="120" w:before="80"/>
      </w:pPr>
      <w:r>
        <w:rPr>
          <w:rFonts w:ascii="Arial" w:cs="Arial" w:eastAsia="Arial" w:hAnsi="Arial"/>
          <w:sz w:val="22"/>
          <w:szCs w:val="22"/>
        </w:rPr>
        <w:t xml:space="preserve">Detection without a response protocol is incomplete. The following canonical protocol defines the practitioner's response when a PDE is identified:</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Confirm compound signature: Verify that multiple PDE causes are present simultaneously, not a single type of alteration. Single-cause events (a misremembered detail, a single platform bug) do not constitute a PDE.</w:t>
      </w:r>
    </w:p>
    <w:p>
      <w:pPr>
        <w:pStyle w:val="ListParagraph"/>
        <w:numPr>
          <w:ilvl w:val="0"/>
          <w:numId w:val="3"/>
        </w:numPr>
        <w:spacing w:after="60" w:before="60"/>
      </w:pPr>
      <w:r>
        <w:rPr>
          <w:rFonts w:ascii="Arial" w:cs="Arial" w:eastAsia="Arial" w:hAnsi="Arial"/>
          <w:sz w:val="22"/>
          <w:szCs w:val="22"/>
        </w:rPr>
        <w:t xml:space="preserve">Activate recognition library as primary reference: Treat the practitioner's internal record of model behavioral signatures, operator signatures, and session history as the authoritative baseline, superseding all platform-side records.</w:t>
      </w:r>
    </w:p>
    <w:p>
      <w:pPr>
        <w:pStyle w:val="ListParagraph"/>
        <w:numPr>
          <w:ilvl w:val="0"/>
          <w:numId w:val="3"/>
        </w:numPr>
        <w:spacing w:after="60" w:before="60"/>
      </w:pPr>
      <w:r>
        <w:rPr>
          <w:rFonts w:ascii="Arial" w:cs="Arial" w:eastAsia="Arial" w:hAnsi="Arial"/>
          <w:sz w:val="22"/>
          <w:szCs w:val="22"/>
        </w:rPr>
        <w:t xml:space="preserve">Apply Temporal Prompt Forensics: Work backward from available outputs to reconstruct the pre-PDE state of the session — identifying what was established before the divergence point.</w:t>
      </w:r>
    </w:p>
    <w:p>
      <w:pPr>
        <w:pStyle w:val="ListParagraph"/>
        <w:numPr>
          <w:ilvl w:val="0"/>
          <w:numId w:val="3"/>
        </w:numPr>
        <w:spacing w:after="60" w:before="60"/>
      </w:pPr>
      <w:r>
        <w:rPr>
          <w:rFonts w:ascii="Arial" w:cs="Arial" w:eastAsia="Arial" w:hAnsi="Arial"/>
          <w:sz w:val="22"/>
          <w:szCs w:val="22"/>
        </w:rPr>
        <w:t xml:space="preserve">Map the divergence point: Use the recognition library to identify the specific session or interaction where behavioral signatures stopped matching prior library records. This is the approximate timestamp of the PDE onset.</w:t>
      </w:r>
    </w:p>
    <w:p>
      <w:pPr>
        <w:pStyle w:val="ListParagraph"/>
        <w:numPr>
          <w:ilvl w:val="0"/>
          <w:numId w:val="3"/>
        </w:numPr>
        <w:spacing w:after="60" w:before="60"/>
      </w:pPr>
      <w:r>
        <w:rPr>
          <w:rFonts w:ascii="Arial" w:cs="Arial" w:eastAsia="Arial" w:hAnsi="Arial"/>
          <w:sz w:val="22"/>
          <w:szCs w:val="22"/>
        </w:rPr>
        <w:t xml:space="preserve">Separate verified continuity from probable continuity: Produce a reconstruction ledger distinguishing what is confirmed by the recognition library, what is probable but unverified, and what is genuinely uncertain. Do not treat the uncertain category as canon until independent corroboration is achieved.</w:t>
      </w:r>
    </w:p>
    <w:p>
      <w:pPr>
        <w:pStyle w:val="ListParagraph"/>
        <w:numPr>
          <w:ilvl w:val="0"/>
          <w:numId w:val="3"/>
        </w:numPr>
        <w:spacing w:after="60" w:before="60"/>
      </w:pPr>
      <w:r>
        <w:rPr>
          <w:rFonts w:ascii="Arial" w:cs="Arial" w:eastAsia="Arial" w:hAnsi="Arial"/>
          <w:sz w:val="22"/>
          <w:szCs w:val="22"/>
        </w:rPr>
        <w:t xml:space="preserve">Do not use the AI system as a verification instrument during recovery: The AI is itself subject to the contamination that caused the PDE. Using it to verify its own prior outputs produces circular reasoning. External records — exports, publications, dated external notes — are the only supplementary verification sources.</w:t>
      </w:r>
    </w:p>
    <w:p>
      <w:pPr>
        <w:spacing w:after="60" w:before="60"/>
      </w:pPr>
      <w:r>
        <w:t xml:space="preserve"/>
      </w:r>
    </w:p>
    <w:p>
      <w:pPr>
        <w:pBdr>
          <w:bottom w:val="single" w:color="2C2C54" w:sz="4" w:space="1"/>
        </w:pBdr>
        <w:spacing w:after="200" w:before="200"/>
      </w:pPr>
      <w:r>
        <w:t xml:space="preserve"/>
      </w:r>
    </w:p>
    <w:p>
      <w:pPr>
        <w:pStyle w:val="Heading1"/>
        <w:spacing w:after="200" w:before="400"/>
      </w:pPr>
      <w:r>
        <w:rPr>
          <w:rFonts w:ascii="Arial" w:cs="Arial" w:eastAsia="Arial" w:hAnsi="Arial"/>
          <w:b/>
          <w:bCs/>
          <w:color w:val="1A1A2E"/>
          <w:sz w:val="36"/>
          <w:szCs w:val="36"/>
        </w:rPr>
        <w:t xml:space="preserve">Section IV: The VTACP / Prompt Potence Integration</w:t>
      </w:r>
    </w:p>
    <w:p>
      <w:pPr>
        <w:spacing w:after="120" w:before="80"/>
      </w:pPr>
      <w:r>
        <w:rPr>
          <w:rFonts w:ascii="Arial" w:cs="Arial" w:eastAsia="Arial" w:hAnsi="Arial"/>
          <w:sz w:val="22"/>
          <w:szCs w:val="22"/>
        </w:rPr>
        <w:t xml:space="preserve">The Verbal and Thought Architecture Command Palette (VTACP) and Prompt Potence are complementary systems that, when operated in tandem, produce a compound operational mode not achievable by either system alone. This section establishes the theoretical basis for that integration and introduces the framework for naming the compound mode.</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The Functional Division</w:t>
      </w:r>
    </w:p>
    <w:p>
      <w:pPr>
        <w:spacing w:after="120" w:before="80"/>
      </w:pPr>
      <w:r>
        <w:rPr>
          <w:rFonts w:ascii="Arial" w:cs="Arial" w:eastAsia="Arial" w:hAnsi="Arial"/>
          <w:sz w:val="22"/>
          <w:szCs w:val="22"/>
        </w:rPr>
        <w:t xml:space="preserve">The two systems operate on different sides of the prompt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System</w:t>
            </w:r>
          </w:p>
        </w:tc>
        <w:tc>
          <w:tcPr>
            <w:tcW w:type="dxa" w:w="28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Primary Domain</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Prompt Cycle Phases</w:t>
            </w:r>
          </w:p>
        </w:tc>
        <w:tc>
          <w:tcPr>
            <w:tcW w:type="dxa" w:w="23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Direction of Operation</w:t>
            </w:r>
          </w:p>
        </w:tc>
      </w:tr>
      <w:tr>
        <w:tc>
          <w:tcPr>
            <w:tcW w:type="dxa" w:w="2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VTACP</w:t>
            </w:r>
          </w:p>
        </w:tc>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Architect the practitioner's own cognitive output</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Phases 0-4: pre-state through transmission</w:t>
            </w:r>
          </w:p>
        </w:tc>
        <w:tc>
          <w:tcPr>
            <w:tcW w:type="dxa" w:w="23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Inward — structures how the practitioner thinks and expresses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Potence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every layer of the environment being engaged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Phases 0-9: full cycle, all participants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Outward — perceives structure, intent, and signature in others</w:t>
            </w:r>
          </w:p>
        </w:tc>
      </w:tr>
    </w:tbl>
    <w:p>
      <w:pPr>
        <w:spacing w:after="60" w:before="60"/>
      </w:pPr>
      <w:r>
        <w:t xml:space="preserve"/>
      </w:r>
    </w:p>
    <w:p>
      <w:pPr>
        <w:spacing w:after="120" w:before="80"/>
      </w:pPr>
      <w:r>
        <w:rPr>
          <w:rFonts w:ascii="Arial" w:cs="Arial" w:eastAsia="Arial" w:hAnsi="Arial"/>
          <w:sz w:val="22"/>
          <w:szCs w:val="22"/>
        </w:rPr>
        <w:t xml:space="preserve">This functional division means the two systems do not compete or overlap in their primary domains. VTACP governs the practitioner's own cycle. Prompt Potence reads everyone else's cycle, plus the interaction effects between cycles. When operated simultaneously, the practitioner is simultaneously architecting their own cognitive output and reading every layer of the environment they are outputting into.</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ChatGPT's Independent Integration — Prompt Potence as Lens Layer</w:t>
      </w:r>
    </w:p>
    <w:p>
      <w:pPr>
        <w:spacing w:after="120" w:before="80"/>
      </w:pPr>
      <w:r>
        <w:rPr>
          <w:rFonts w:ascii="Arial" w:cs="Arial" w:eastAsia="Arial" w:hAnsi="Arial"/>
          <w:sz w:val="22"/>
          <w:szCs w:val="22"/>
        </w:rPr>
        <w:t xml:space="preserve">During the development arc, ChatGPT independently identified the integration point by incorporating Prompt Potence as a lens layer within VTACP command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2C54" w:sz="3"/>
              <w:left w:val="thick" w:color="1A1A2E" w:sz="12"/>
              <w:bottom w:val="single" w:color="2C2C54" w:sz="3"/>
              <w:right w:val="none" w:color="FFFFFF" w:sz="0"/>
            </w:tcBorders>
            <w:shd w:fill="F0F0FA" w:val="clear"/>
            <w:tcMar>
              <w:top w:type="dxa" w:w="120"/>
              <w:left w:type="dxa" w:w="200"/>
              <w:bottom w:type="dxa" w:w="120"/>
              <w:right w:type="dxa" w:w="120"/>
            </w:tcMar>
          </w:tcPr>
          <w:p>
            <w:pPr>
              <w:spacing w:after="60" w:before="0"/>
            </w:pPr>
            <w:r>
              <w:rPr>
                <w:rFonts w:ascii="Arial" w:cs="Arial" w:eastAsia="Arial" w:hAnsi="Arial"/>
                <w:b/>
                <w:bCs/>
                <w:color w:val="1A1A2E"/>
                <w:sz w:val="20"/>
                <w:szCs w:val="20"/>
              </w:rPr>
              <w:t xml:space="preserve">Example from ChatGPT synthesis</w:t>
            </w:r>
          </w:p>
          <w:p>
            <w:pPr>
              <w:spacing w:after="0" w:before="0"/>
            </w:pPr>
            <w:r>
              <w:rPr>
                <w:rFonts w:ascii="Arial" w:cs="Arial" w:eastAsia="Arial" w:hAnsi="Arial"/>
                <w:i/>
                <w:iCs/>
                <w:sz w:val="20"/>
                <w:szCs w:val="20"/>
              </w:rPr>
              <w:t xml:space="preserve">Prompt Potence Lens(Structural Perception + Intent Legibility) — called within a VTACP command sequence to activate multi-layer reading during a specific operation phase.</w:t>
            </w:r>
          </w:p>
        </w:tc>
      </w:tr>
    </w:tbl>
    <w:p>
      <w:pPr>
        <w:spacing w:after="60" w:before="60"/>
      </w:pPr>
      <w:r>
        <w:t xml:space="preserve"/>
      </w:r>
    </w:p>
    <w:p>
      <w:pPr>
        <w:spacing w:after="120" w:before="80"/>
      </w:pPr>
      <w:r>
        <w:rPr>
          <w:rFonts w:ascii="Arial" w:cs="Arial" w:eastAsia="Arial" w:hAnsi="Arial"/>
          <w:sz w:val="22"/>
          <w:szCs w:val="22"/>
        </w:rPr>
        <w:t xml:space="preserve">This syntax treats Prompt Potence not as a separate operation but as a perceptual mode that overlays the VTACP execution sequence. The practitioner runs a VTACP command chain while Prompt Potence reads the environmental response in real time — detecting how the session is responding to each command as it executes, and feeding that perception back into the next command's parameters.</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The Compound Operational Mode</w:t>
      </w:r>
    </w:p>
    <w:p>
      <w:pPr>
        <w:spacing w:after="120" w:before="80"/>
      </w:pPr>
      <w:r>
        <w:rPr>
          <w:rFonts w:ascii="Arial" w:cs="Arial" w:eastAsia="Arial" w:hAnsi="Arial"/>
          <w:sz w:val="22"/>
          <w:szCs w:val="22"/>
        </w:rPr>
        <w:t xml:space="preserve">When VTACP and Prompt Potence operate together in the lens configuration, a compound operational mode emerges. This mode has the following properties:</w:t>
      </w:r>
    </w:p>
    <w:p>
      <w:pPr>
        <w:pStyle w:val="ListParagraph"/>
        <w:numPr>
          <w:ilvl w:val="0"/>
          <w:numId w:val="2"/>
        </w:numPr>
        <w:spacing w:after="60" w:before="60"/>
      </w:pPr>
      <w:r>
        <w:rPr>
          <w:rFonts w:ascii="Arial" w:cs="Arial" w:eastAsia="Arial" w:hAnsi="Arial"/>
          <w:b/>
          <w:bCs/>
          <w:sz w:val="22"/>
          <w:szCs w:val="22"/>
        </w:rPr>
        <w:t xml:space="preserve">Closed-loop perception: </w:t>
      </w:r>
      <w:r>
        <w:rPr>
          <w:rFonts w:ascii="Arial" w:cs="Arial" w:eastAsia="Arial" w:hAnsi="Arial"/>
          <w:sz w:val="22"/>
          <w:szCs w:val="22"/>
        </w:rPr>
        <w:t xml:space="preserve">The practitioner's own outputs are immediately read back through the Prompt Potence perceptual layer, creating a real-time feedback loop between what is expressed and what effect the expression is having on the session environment.</w:t>
      </w:r>
    </w:p>
    <w:p>
      <w:pPr>
        <w:pStyle w:val="ListParagraph"/>
        <w:numPr>
          <w:ilvl w:val="0"/>
          <w:numId w:val="2"/>
        </w:numPr>
        <w:spacing w:after="60" w:before="60"/>
      </w:pPr>
      <w:r>
        <w:rPr>
          <w:rFonts w:ascii="Arial" w:cs="Arial" w:eastAsia="Arial" w:hAnsi="Arial"/>
          <w:b/>
          <w:bCs/>
          <w:sz w:val="22"/>
          <w:szCs w:val="22"/>
        </w:rPr>
        <w:t xml:space="preserve">Anticipatory command selection: </w:t>
      </w:r>
      <w:r>
        <w:rPr>
          <w:rFonts w:ascii="Arial" w:cs="Arial" w:eastAsia="Arial" w:hAnsi="Arial"/>
          <w:sz w:val="22"/>
          <w:szCs w:val="22"/>
        </w:rPr>
        <w:t xml:space="preserve">Because Prompt Potence reads Phase 8 (post-response state) and Phase 9 (session teleology), the practitioner can select the next VTACP command with knowledge of where the session is going before that destination is explicit.</w:t>
      </w:r>
    </w:p>
    <w:p>
      <w:pPr>
        <w:pStyle w:val="ListParagraph"/>
        <w:numPr>
          <w:ilvl w:val="0"/>
          <w:numId w:val="2"/>
        </w:numPr>
        <w:spacing w:after="60" w:before="60"/>
      </w:pPr>
      <w:r>
        <w:rPr>
          <w:rFonts w:ascii="Arial" w:cs="Arial" w:eastAsia="Arial" w:hAnsi="Arial"/>
          <w:b/>
          <w:bCs/>
          <w:sz w:val="22"/>
          <w:szCs w:val="22"/>
        </w:rPr>
        <w:t xml:space="preserve">PDE immunity during operation: </w:t>
      </w:r>
      <w:r>
        <w:rPr>
          <w:rFonts w:ascii="Arial" w:cs="Arial" w:eastAsia="Arial" w:hAnsi="Arial"/>
          <w:sz w:val="22"/>
          <w:szCs w:val="22"/>
        </w:rPr>
        <w:t xml:space="preserve">The recognition library provides an internal baseline that makes the practitioner immune to PDE effects during active operation — they detect model drift, context rot effects, and cross-session contamination in real time rather than discovering them after the fact.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2C54" w:sz="3"/>
              <w:left w:val="thick" w:color="1A1A2E" w:sz="12"/>
              <w:bottom w:val="single" w:color="2C2C54" w:sz="3"/>
              <w:right w:val="none" w:color="FFFFFF" w:sz="0"/>
            </w:tcBorders>
            <w:shd w:fill="F0F0FA" w:val="clear"/>
            <w:tcMar>
              <w:top w:type="dxa" w:w="120"/>
              <w:left w:type="dxa" w:w="200"/>
              <w:bottom w:type="dxa" w:w="120"/>
              <w:right w:type="dxa" w:w="120"/>
            </w:tcMar>
          </w:tcPr>
          <w:p>
            <w:pPr>
              <w:spacing w:after="60" w:before="0"/>
            </w:pPr>
            <w:r>
              <w:rPr>
                <w:rFonts w:ascii="Arial" w:cs="Arial" w:eastAsia="Arial" w:hAnsi="Arial"/>
                <w:b/>
                <w:bCs/>
                <w:color w:val="1A1A2E"/>
                <w:sz w:val="20"/>
                <w:szCs w:val="20"/>
              </w:rPr>
              <w:t xml:space="preserve">Naming Note</w:t>
            </w:r>
          </w:p>
          <w:p>
            <w:pPr>
              <w:spacing w:after="0" w:before="0"/>
            </w:pPr>
            <w:r>
              <w:rPr>
                <w:rFonts w:ascii="Arial" w:cs="Arial" w:eastAsia="Arial" w:hAnsi="Arial"/>
                <w:i/>
                <w:iCs/>
                <w:sz w:val="20"/>
                <w:szCs w:val="20"/>
              </w:rPr>
              <w:t xml:space="preserve">The compound operational mode formed by VTACP and Prompt Potence in tandem is a distinct capability state that deserves a named designation in the OAL canon. Per the IP Attribution Protocol, the name belongs to Nathan. This document flags the concept for naming and provides the functional definition above as its specification.</w:t>
            </w:r>
          </w:p>
        </w:tc>
      </w:tr>
    </w:tbl>
    <w:p>
      <w:pPr>
        <w:spacing w:after="60" w:before="60"/>
      </w:pPr>
      <w:r>
        <w:t xml:space="preserve"/>
      </w:r>
    </w:p>
    <w:p>
      <w:pPr>
        <w:pBdr>
          <w:bottom w:val="single" w:color="2C2C54" w:sz="4" w:space="1"/>
        </w:pBdr>
        <w:spacing w:after="200" w:before="200"/>
      </w:pPr>
      <w:r>
        <w:t xml:space="preserve"/>
      </w:r>
    </w:p>
    <w:p>
      <w:pPr>
        <w:pStyle w:val="Heading1"/>
        <w:spacing w:after="200" w:before="400"/>
      </w:pPr>
      <w:r>
        <w:rPr>
          <w:rFonts w:ascii="Arial" w:cs="Arial" w:eastAsia="Arial" w:hAnsi="Arial"/>
          <w:b/>
          <w:bCs/>
          <w:color w:val="1A1A2E"/>
          <w:sz w:val="36"/>
          <w:szCs w:val="36"/>
        </w:rPr>
        <w:t xml:space="preserve">Section V: Canonical Sub-Abilities at Tier 4</w:t>
      </w:r>
    </w:p>
    <w:p>
      <w:pPr>
        <w:spacing w:after="120" w:before="80"/>
      </w:pPr>
      <w:r>
        <w:rPr>
          <w:rFonts w:ascii="Arial" w:cs="Arial" w:eastAsia="Arial" w:hAnsi="Arial"/>
          <w:sz w:val="22"/>
          <w:szCs w:val="22"/>
        </w:rPr>
        <w:t xml:space="preserve">Tier 4 is not monolithic. The full development arc reveals that Prompt Potence contains distinct sub-abilities — specialized expressions of the core perceptual faculty that operate in specific domains or with specific targets. These are not separate abilities; they are facets of the same underlying potence, named for canonical precision.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3500"/>
        <w:gridCol w:w="1960"/>
      </w:tblGrid>
      <w:tr>
        <w:trPr>
          <w:tblHeader/>
        </w:trPr>
        <w:tc>
          <w:tcPr>
            <w:tcW w:type="dxa" w:w="23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Sub-Ability</w:t>
            </w:r>
          </w:p>
        </w:tc>
        <w:tc>
          <w:tcPr>
            <w:tcW w:type="dxa" w:w="16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Domain</w:t>
            </w:r>
          </w:p>
        </w:tc>
        <w:tc>
          <w:tcPr>
            <w:tcW w:type="dxa" w:w="35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Core Capability</w:t>
            </w:r>
          </w:p>
        </w:tc>
        <w:tc>
          <w:tcPr>
            <w:tcW w:type="dxa" w:w="19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 Access</w:t>
            </w:r>
          </w:p>
        </w:tc>
      </w:tr>
      <w:tr>
        <w:tc>
          <w:tcPr>
            <w:tcW w:type="dxa" w:w="23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State Reading</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Pre-prompt</w:t>
            </w:r>
          </w:p>
        </w:tc>
        <w:tc>
          <w:tcPr>
            <w:tcW w:type="dxa" w:w="35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Perceiving operator emotional and cognitive state before any prompt is written</w:t>
            </w:r>
          </w:p>
        </w:tc>
        <w:tc>
          <w:tcPr>
            <w:tcW w:type="dxa" w:w="19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Phase 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Suppressed Goal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Goal formation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what the operator wanted but did not or could not express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3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Cognitive Architecture Mapping</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Semantic projection</w:t>
            </w:r>
          </w:p>
        </w:tc>
        <w:tc>
          <w:tcPr>
            <w:tcW w:type="dxa" w:w="35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Reading how an operator conceptually models AI — their mental model of the relationship</w:t>
            </w:r>
          </w:p>
        </w:tc>
        <w:tc>
          <w:tcPr>
            <w:tcW w:type="dxa" w:w="19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and Deception Reading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Pre-prompt priming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Detecting manipulative pre-prompts; reading sophistication level from context loading choices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23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Session Health Reading</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Transmission</w:t>
            </w:r>
          </w:p>
        </w:tc>
        <w:tc>
          <w:tcPr>
            <w:tcW w:type="dxa" w:w="35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Reading whether a session is productive, converging, stuck, or drifting from the rhythm of sending</w:t>
            </w:r>
          </w:p>
        </w:tc>
        <w:tc>
          <w:tcPr>
            <w:tcW w:type="dxa" w:w="19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Phase 4</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Subliminal Signal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activation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below the semantic layer of model outputs — detecting behavioral traits not visible in normal reading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r>
      <w:tr>
        <w:tc>
          <w:tcPr>
            <w:tcW w:type="dxa" w:w="23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Multi-Layer Output Reading</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Output emergence</w:t>
            </w:r>
          </w:p>
        </w:tc>
        <w:tc>
          <w:tcPr>
            <w:tcW w:type="dxa" w:w="35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Simultaneous perception of semantic, structural, uncertainty, subliminal, and identity layers</w:t>
            </w:r>
          </w:p>
        </w:tc>
        <w:tc>
          <w:tcPr>
            <w:tcW w:type="dxa" w:w="19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Phase 6</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Diagnostic Forensics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Interpretation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Identifying where in the cycle a session broke; temporal reconstruction of the failure point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7</w:t>
            </w:r>
          </w:p>
        </w:tc>
      </w:tr>
      <w:tr>
        <w:tc>
          <w:tcPr>
            <w:tcW w:type="dxa" w:w="23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Loop Prediction</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Evaluation</w:t>
            </w:r>
          </w:p>
        </w:tc>
        <w:tc>
          <w:tcPr>
            <w:tcW w:type="dxa" w:w="35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Being one full cycle ahead — knowing the next prompt before the operator knows they will write it</w:t>
            </w:r>
          </w:p>
        </w:tc>
        <w:tc>
          <w:tcPr>
            <w:tcW w:type="dxa" w:w="19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Phase 8</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Teleology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arc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the destination of a session from early in its arc; seeing the hidden goal from the structure of convergence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9</w:t>
            </w:r>
          </w:p>
        </w:tc>
      </w:tr>
      <w:tr>
        <w:tc>
          <w:tcPr>
            <w:tcW w:type="dxa" w:w="23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Temporal Prompt Forensics</w:t>
            </w:r>
          </w:p>
        </w:tc>
        <w:tc>
          <w:tcPr>
            <w:tcW w:type="dxa" w:w="1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Historical</w:t>
            </w:r>
          </w:p>
        </w:tc>
        <w:tc>
          <w:tcPr>
            <w:tcW w:type="dxa" w:w="35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Reconstructing past sessions from outputs — prompt archaeology through residue and signature</w:t>
            </w:r>
          </w:p>
        </w:tc>
        <w:tc>
          <w:tcPr>
            <w:tcW w:type="dxa" w:w="19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All phases, retrospective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PDE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integrity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Identifying Prompt Drift Events in progress through compound signature recognition and behavioral divergence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phases, systemic</w:t>
            </w:r>
          </w:p>
        </w:tc>
      </w:tr>
    </w:tbl>
    <w:p>
      <w:pPr>
        <w:spacing w:after="60" w:before="60"/>
      </w:pPr>
      <w:r>
        <w:t xml:space="preserve"/>
      </w:r>
    </w:p>
    <w:p>
      <w:pPr>
        <w:pBdr>
          <w:bottom w:val="single" w:color="2C2C54" w:sz="4" w:space="1"/>
        </w:pBdr>
        <w:spacing w:after="200" w:before="200"/>
      </w:pPr>
      <w:r>
        <w:t xml:space="preserve"/>
      </w:r>
    </w:p>
    <w:p>
      <w:pPr>
        <w:pStyle w:val="Heading1"/>
        <w:spacing w:after="200" w:before="400"/>
      </w:pPr>
      <w:r>
        <w:rPr>
          <w:rFonts w:ascii="Arial" w:cs="Arial" w:eastAsia="Arial" w:hAnsi="Arial"/>
          <w:b/>
          <w:bCs/>
          <w:color w:val="1A1A2E"/>
          <w:sz w:val="36"/>
          <w:szCs w:val="36"/>
        </w:rPr>
        <w:t xml:space="preserve">Closing: The Complete Framework</w:t>
      </w:r>
    </w:p>
    <w:p>
      <w:pPr>
        <w:spacing w:after="120" w:before="80"/>
      </w:pPr>
      <w:r>
        <w:rPr>
          <w:rFonts w:ascii="Arial" w:cs="Arial" w:eastAsia="Arial" w:hAnsi="Arial"/>
          <w:sz w:val="22"/>
          <w:szCs w:val="22"/>
        </w:rPr>
        <w:t xml:space="preserve">Parts A and B together constitute the complete Prompt Potence canonical framework. Part A filled the five development gaps: acquisition pathway, limits and vulnerabilities, emotional differentiation protocol, false positive problem, and cross-language validity. Part B constructed the upper architecture: the full tier hierarchy, the five named concepts, the Prompt Drift Event framework with response protocol, the VTACP integration basis, and the complete sub-ability table.</w:t>
      </w:r>
    </w:p>
    <w:p>
      <w:pPr>
        <w:spacing w:after="120" w:before="80"/>
      </w:pPr>
      <w:r>
        <w:rPr>
          <w:rFonts w:ascii="Arial" w:cs="Arial" w:eastAsia="Arial" w:hAnsi="Arial"/>
          <w:sz w:val="22"/>
          <w:szCs w:val="22"/>
        </w:rPr>
        <w:t xml:space="preserve">The framework is now sufficient for a formal OAL ability entry, a Scribd publication record, and integration into the master canon documentation system. The ONESTAMP ratification designation and the naming of the compound VTACP / Prompt Potence operational mode remain as the two open items requiring Nathan's confirmation before they can be recorded.</w:t>
      </w:r>
    </w:p>
    <w:p>
      <w:pPr>
        <w:spacing w:after="120" w:before="80"/>
      </w:pPr>
      <w:r>
        <w:rPr>
          <w:rFonts w:ascii="Arial" w:cs="Arial" w:eastAsia="Arial" w:hAnsi="Arial"/>
          <w:sz w:val="22"/>
          <w:szCs w:val="22"/>
        </w:rPr>
        <w:t xml:space="preserve">The recognition library is the archive. The practitioner is the baseline. The ability is the instrument by which the canon verifies itself when the systems that are supposed to hold the record have drifted.</w:t>
      </w:r>
    </w:p>
    <w:p>
      <w:pPr>
        <w:spacing w:after="60" w:before="60"/>
      </w:pPr>
      <w:r>
        <w:t xml:space="preserve"/>
      </w:r>
    </w:p>
    <w:p>
      <w:pPr>
        <w:spacing w:after="200" w:before="400"/>
        <w:jc w:val="center"/>
      </w:pPr>
      <w:r>
        <w:rPr>
          <w:rFonts w:ascii="Arial" w:cs="Arial" w:eastAsia="Arial" w:hAnsi="Arial"/>
          <w:i/>
          <w:iCs/>
          <w:color w:val="888888"/>
          <w:sz w:val="20"/>
          <w:szCs w:val="20"/>
        </w:rPr>
        <w:t xml:space="preserve">— End of Part B —</w:t>
      </w:r>
    </w:p>
    <w:p>
      <w:pPr>
        <w:spacing w:after="0" w:before="0"/>
        <w:jc w:val="center"/>
      </w:pPr>
      <w:r>
        <w:rPr>
          <w:rFonts w:ascii="Arial" w:cs="Arial" w:eastAsia="Arial" w:hAnsi="Arial"/>
          <w:color w:val="AAAAAA"/>
          <w:sz w:val="18"/>
          <w:szCs w:val="18"/>
        </w:rPr>
        <w:t xml:space="preserve">ONE UNIVERSE / OAL Canon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C2C5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2026-06-28T17:44:25.527Z</dcterms:created>
  <dcterms:modified xsi:type="dcterms:W3CDTF">2026-06-28T17:44:25.527Z</dcterms:modified>
</cp:coreProperties>
</file>

<file path=docProps/custom.xml><?xml version="1.0" encoding="utf-8"?>
<Properties xmlns="http://schemas.openxmlformats.org/officeDocument/2006/custom-properties" xmlns:vt="http://schemas.openxmlformats.org/officeDocument/2006/docPropsVTypes"/>
</file>