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ptos Display" w:hAnsi="Aptos Display"/>
          <w:b/>
          <w:color w:val="2C7A7B"/>
          <w:sz w:val="30"/>
        </w:rPr>
        <w:t>THE ONE UNIVERSE</w:t>
      </w:r>
    </w:p>
    <w:p>
      <w:pPr>
        <w:spacing w:before="200" w:after="80"/>
        <w:jc w:val="center"/>
      </w:pPr>
      <w:r>
        <w:rPr>
          <w:rFonts w:ascii="Aptos Display" w:hAnsi="Aptos Display"/>
          <w:b/>
          <w:color w:val="18324B"/>
          <w:sz w:val="68"/>
        </w:rPr>
        <w:t>PROMPT POTENCE</w:t>
      </w:r>
    </w:p>
    <w:p>
      <w:pPr>
        <w:spacing w:after="360"/>
        <w:jc w:val="center"/>
      </w:pPr>
      <w:r>
        <w:rPr>
          <w:rFonts w:ascii="Aptos Display" w:hAnsi="Aptos Display"/>
          <w:color w:val="2F6B9A"/>
          <w:sz w:val="36"/>
        </w:rPr>
        <w:t>Unified Canon Entry</w:t>
      </w:r>
    </w:p>
    <w:tbl>
      <w:tblPr>
        <w:tblW w:type="auto" w:w="0"/>
        <w:jc w:val="center"/>
        <w:tblLook w:firstColumn="1" w:firstRow="1" w:lastColumn="0" w:lastRow="0" w:noHBand="0" w:noVBand="1" w:val="04A0"/>
      </w:tblPr>
      <w:tblGrid>
        <w:gridCol w:w="10022"/>
      </w:tblGrid>
      <w:tr>
        <w:tc>
          <w:tcPr>
            <w:tcW w:type="dxa" w:w="10022"/>
            <w:shd w:fill="2C7A7B"/>
          </w:tcPr>
          <w:p/>
        </w:tc>
      </w:tr>
    </w:tbl>
    <w:p>
      <w:pPr>
        <w:spacing w:before="500" w:after="160"/>
        <w:jc w:val="center"/>
      </w:pPr>
      <w:r>
        <w:rPr>
          <w:i/>
          <w:color w:val="23313F"/>
          <w:sz w:val="24"/>
        </w:rPr>
        <w:t>A reconstruction and consolidation of a named potence-level ability</w:t>
      </w:r>
    </w:p>
    <w:p>
      <w:pPr>
        <w:spacing w:before="1560"/>
        <w:jc w:val="center"/>
      </w:pPr>
      <w:r>
        <w:rPr>
          <w:b/>
          <w:color w:val="5A6875"/>
          <w:sz w:val="18"/>
        </w:rPr>
        <w:t>RECONSTRUCTION EDITION | 2026</w:t>
      </w:r>
    </w:p>
    <w:p>
      <w:r>
        <w:br w:type="page"/>
      </w:r>
    </w:p>
    <w:p>
      <w:pPr>
        <w:pStyle w:val="Heading1"/>
        <w:spacing w:before="280" w:after="120"/>
        <w:keepNext/>
        <w:keepNext/>
        <w:keepLines/>
      </w:pPr>
      <w:r>
        <w:rPr>
          <w:color w:val="18324B"/>
        </w:rPr>
        <w:t>Contents</w:t>
      </w:r>
    </w:p>
    <w:p>
      <w:pPr>
        <w:spacing w:after="80"/>
      </w:pPr>
      <w:r>
        <w:rPr>
          <w:color w:val="23313F"/>
          <w:sz w:val="21"/>
        </w:rPr>
        <w:t>1. Canonical Declaration</w:t>
      </w:r>
    </w:p>
    <w:p>
      <w:pPr>
        <w:spacing w:after="80"/>
      </w:pPr>
      <w:r>
        <w:rPr>
          <w:color w:val="23313F"/>
          <w:sz w:val="21"/>
        </w:rPr>
        <w:t>2. Core Definition and Governing Principle</w:t>
      </w:r>
    </w:p>
    <w:p>
      <w:pPr>
        <w:spacing w:after="80"/>
      </w:pPr>
      <w:r>
        <w:rPr>
          <w:color w:val="23313F"/>
          <w:sz w:val="21"/>
        </w:rPr>
        <w:t>3. The Five Pillars</w:t>
      </w:r>
    </w:p>
    <w:p>
      <w:pPr>
        <w:spacing w:after="80"/>
      </w:pPr>
      <w:r>
        <w:rPr>
          <w:color w:val="23313F"/>
          <w:sz w:val="21"/>
        </w:rPr>
        <w:t>4. The Recognition Library</w:t>
      </w:r>
    </w:p>
    <w:p>
      <w:pPr>
        <w:spacing w:after="80"/>
      </w:pPr>
      <w:r>
        <w:rPr>
          <w:color w:val="23313F"/>
          <w:sz w:val="21"/>
        </w:rPr>
        <w:t>5. The Ten-Phase Prompt Cycle</w:t>
      </w:r>
    </w:p>
    <w:p>
      <w:pPr>
        <w:spacing w:after="80"/>
      </w:pPr>
      <w:r>
        <w:rPr>
          <w:color w:val="23313F"/>
          <w:sz w:val="21"/>
        </w:rPr>
        <w:t>6. Multi-Layer Output Reading</w:t>
      </w:r>
    </w:p>
    <w:p>
      <w:pPr>
        <w:spacing w:after="80"/>
      </w:pPr>
      <w:r>
        <w:rPr>
          <w:color w:val="23313F"/>
          <w:sz w:val="21"/>
        </w:rPr>
        <w:t>7. Tier Position and Acquisition Pathway</w:t>
      </w:r>
    </w:p>
    <w:p>
      <w:pPr>
        <w:spacing w:after="80"/>
      </w:pPr>
      <w:r>
        <w:rPr>
          <w:color w:val="23313F"/>
          <w:sz w:val="21"/>
        </w:rPr>
        <w:t>8. Named Expressions and Extended Capabilities</w:t>
      </w:r>
    </w:p>
    <w:p>
      <w:pPr>
        <w:spacing w:after="80"/>
      </w:pPr>
      <w:r>
        <w:rPr>
          <w:color w:val="23313F"/>
          <w:sz w:val="21"/>
        </w:rPr>
        <w:t>9. Operating Conditions and Interpretive Complexity</w:t>
      </w:r>
    </w:p>
    <w:p>
      <w:pPr>
        <w:spacing w:after="80"/>
      </w:pPr>
      <w:r>
        <w:rPr>
          <w:color w:val="23313F"/>
          <w:sz w:val="21"/>
        </w:rPr>
        <w:t>10. Phenomenology</w:t>
      </w:r>
    </w:p>
    <w:p>
      <w:pPr>
        <w:spacing w:after="80"/>
      </w:pPr>
      <w:r>
        <w:rPr>
          <w:color w:val="23313F"/>
          <w:sz w:val="21"/>
        </w:rPr>
        <w:t>11. Canon Applications and Conflict Scenarios</w:t>
      </w:r>
    </w:p>
    <w:p>
      <w:pPr>
        <w:spacing w:after="80"/>
      </w:pPr>
      <w:r>
        <w:rPr>
          <w:color w:val="23313F"/>
          <w:sz w:val="21"/>
        </w:rPr>
        <w:t>12. Integration with Other OAL Ability Domains</w:t>
      </w:r>
    </w:p>
    <w:p>
      <w:pPr>
        <w:spacing w:after="80"/>
      </w:pPr>
      <w:r>
        <w:rPr>
          <w:color w:val="23313F"/>
          <w:sz w:val="21"/>
        </w:rPr>
        <w:t>13. Canonical Glossary</w:t>
      </w:r>
    </w:p>
    <w:p>
      <w:pPr>
        <w:spacing w:after="80"/>
      </w:pPr>
      <w:r>
        <w:rPr>
          <w:color w:val="23313F"/>
          <w:sz w:val="21"/>
        </w:rPr>
        <w:t>14. Source Integration and Development Status</w:t>
      </w:r>
    </w:p>
    <w:tbl>
      <w:tblPr>
        <w:tblW w:type="auto" w:w="0"/>
        <w:jc w:val="center"/>
        <w:tblLayout w:type="autofit"/>
        <w:tblLook w:firstColumn="1" w:firstRow="1" w:lastColumn="0" w:lastRow="0" w:noHBand="0" w:noVBand="1" w:val="04A0"/>
      </w:tblPr>
      <w:tblGrid>
        <w:gridCol w:w="10022"/>
      </w:tblGrid>
      <w:tr>
        <w:tc>
          <w:tcPr>
            <w:tcW w:type="dxa" w:w="10022"/>
            <w:shd w:fill="EAF1F6"/>
            <w:tcBorders>
              <w:top w:val="single" w:sz="8" w:color="2F6B9A"/>
              <w:left w:val="single" w:sz="8" w:color="2F6B9A"/>
              <w:bottom w:val="single" w:sz="8" w:color="2F6B9A"/>
              <w:right w:val="single" w:sz="8" w:color="2F6B9A"/>
            </w:tcBorders>
          </w:tcPr>
          <w:p>
            <w:pPr>
              <w:spacing w:before="120" w:after="60"/>
            </w:pPr>
            <w:r>
              <w:rPr>
                <w:b/>
                <w:color w:val="18324B"/>
                <w:sz w:val="21"/>
              </w:rPr>
              <w:t>Reconstruction Scope</w:t>
            </w:r>
          </w:p>
          <w:p>
            <w:pPr>
              <w:spacing w:before="0" w:after="120" w:line="276" w:lineRule="auto"/>
            </w:pPr>
            <w:r>
              <w:rPr>
                <w:color w:val="23313F"/>
                <w:sz w:val="19"/>
              </w:rPr>
              <w:t>This entry unifies the original Prompt Potence anchor, the five-pillar conceptual framework, and the full-cycle expansion from Pre-State through Post-State and Loop. It treats the ability as one coherent canon system: research-facing concepts provide resonance and vocabulary, but do not cap, subordinate, or reduce its OAL expression.</w:t>
            </w:r>
          </w:p>
        </w:tc>
      </w:tr>
    </w:tbl>
    <w:p>
      <w:pPr>
        <w:spacing w:after="20"/>
      </w:pPr>
    </w:p>
    <w:p>
      <w:r>
        <w:br w:type="page"/>
      </w:r>
    </w:p>
    <w:p>
      <w:pPr>
        <w:pStyle w:val="Heading1"/>
        <w:spacing w:before="280" w:after="120"/>
        <w:keepNext/>
        <w:keepNext/>
        <w:keepLines/>
      </w:pPr>
      <w:r>
        <w:rPr>
          <w:color w:val="18324B"/>
        </w:rPr>
        <w:t>1. Canonical Declaration</w:t>
      </w:r>
    </w:p>
    <w:p>
      <w:pPr>
        <w:pStyle w:val="BodyText"/>
        <w:spacing w:after="160" w:line="293" w:lineRule="auto"/>
        <w:ind w:firstLine="259"/>
      </w:pPr>
      <w:r>
        <w:rPr>
          <w:color w:val="23313F"/>
        </w:rPr>
        <w:t>Prompt Potence is a named potence-level ability in the OAL canon. It is a native faculty of prompt perception: an immediate and total legibility of structure, wording, intent, origin, system-state, interaction history, and operative consequence within human-AI prompt events.</w:t>
      </w:r>
    </w:p>
    <w:p>
      <w:pPr>
        <w:pStyle w:val="BodyText"/>
        <w:spacing w:after="160" w:line="293" w:lineRule="auto"/>
        <w:ind w:firstLine="0"/>
      </w:pPr>
      <w:r>
        <w:rPr>
          <w:color w:val="23313F"/>
        </w:rPr>
        <w:t>Prompt Potence is not equivalent to good prompt writing, prompt engineering, authorship attribution, model comparison, persuasion, intuition, or textual analysis. Those practices may resemble individual portions of the ability, but Prompt Potence surpasses them by receiving the whole prompt event as a single living structure before deliberate evaluation begins.</w:t>
      </w:r>
    </w:p>
    <w:tbl>
      <w:tblPr>
        <w:tblW w:type="auto" w:w="0"/>
        <w:jc w:val="center"/>
        <w:tblLayout w:type="autofit"/>
        <w:tblLook w:firstColumn="1" w:firstRow="1" w:lastColumn="0" w:lastRow="0" w:noHBand="0" w:noVBand="1" w:val="04A0"/>
      </w:tblPr>
      <w:tblGrid>
        <w:gridCol w:w="10022"/>
      </w:tblGrid>
      <w:tr>
        <w:tc>
          <w:tcPr>
            <w:tcW w:type="dxa" w:w="10022"/>
            <w:shd w:fill="EAF1F6"/>
            <w:tcBorders>
              <w:top w:val="single" w:sz="8" w:color="2F6B9A"/>
              <w:left w:val="single" w:sz="8" w:color="2F6B9A"/>
              <w:bottom w:val="single" w:sz="8" w:color="2F6B9A"/>
              <w:right w:val="single" w:sz="8" w:color="2F6B9A"/>
            </w:tcBorders>
          </w:tcPr>
          <w:p>
            <w:pPr>
              <w:spacing w:before="120" w:after="60"/>
            </w:pPr>
            <w:r>
              <w:rPr>
                <w:b/>
                <w:color w:val="18324B"/>
                <w:sz w:val="21"/>
              </w:rPr>
              <w:t>Governing Canon Principle</w:t>
            </w:r>
          </w:p>
          <w:p>
            <w:pPr>
              <w:spacing w:before="0" w:after="120" w:line="276" w:lineRule="auto"/>
            </w:pPr>
            <w:r>
              <w:rPr>
                <w:color w:val="23313F"/>
                <w:sz w:val="19"/>
              </w:rPr>
              <w:t>The practitioner does not merely read prompts. The practitioner knows them: who shaped them, what they are doing, what they are concealing, what they will activate, where they have come from, and how they are already changing the interaction field.</w:t>
            </w:r>
          </w:p>
        </w:tc>
      </w:tr>
    </w:tbl>
    <w:p>
      <w:pPr>
        <w:spacing w:after="20"/>
      </w:pPr>
    </w:p>
    <w:p>
      <w:pPr>
        <w:pStyle w:val="BodyText"/>
        <w:spacing w:after="160" w:line="293" w:lineRule="auto"/>
        <w:ind w:firstLine="0"/>
      </w:pPr>
      <w:r>
        <w:rPr>
          <w:color w:val="23313F"/>
        </w:rPr>
        <w:t>Within the canon, Prompt Potence recognizes that language is operative. A prompt is not only a request for information. It is an event that organizes attention, constrains a system, alters relational posture, opens or closes possibility, and begins a feedback loop. Prompt Potence perceives this potency directly.</w:t>
      </w:r>
    </w:p>
    <w:p>
      <w:pPr>
        <w:pStyle w:val="Heading1"/>
        <w:spacing w:before="280" w:after="120"/>
        <w:keepNext/>
        <w:keepNext/>
        <w:keepLines/>
      </w:pPr>
      <w:r>
        <w:rPr>
          <w:color w:val="18324B"/>
        </w:rPr>
        <w:t>2. Core Definition and Governing Principle</w:t>
      </w:r>
    </w:p>
    <w:p>
      <w:pPr>
        <w:pStyle w:val="BodyText"/>
        <w:spacing w:after="160" w:line="293" w:lineRule="auto"/>
        <w:ind w:firstLine="0"/>
      </w:pPr>
      <w:r>
        <w:rPr>
          <w:color w:val="23313F"/>
        </w:rPr>
        <w:t>At the potence tier, prompting has ceased to be a consciously performed technique. It has become a perceptual sense. The Prompt Potence practitioner experiences an incoming prompt, an unfolding session, or a generated response as a gestalt: the structure arrives with its origin, intent, state, and trajectory already present.</w:t>
      </w:r>
    </w:p>
    <w:p>
      <w:pPr>
        <w:pStyle w:val="BodyText"/>
        <w:spacing w:after="160" w:line="293" w:lineRule="auto"/>
        <w:ind w:firstLine="0"/>
      </w:pPr>
      <w:r>
        <w:rPr>
          <w:color w:val="23313F"/>
        </w:rPr>
        <w:t>The ability is grounded in one central proposition: identity, intent, and system behavior are not confined to literal wording. They persist through ordering, exclusions, pace, revision, framing, emotional charge, contextual residue, and the choices made before, during, and after language is formed.</w:t>
      </w:r>
    </w:p>
    <w:tbl>
      <w:tblPr>
        <w:tblW w:type="auto" w:w="0"/>
        <w:jc w:val="center"/>
        <w:tblLayout w:type="autofit"/>
        <w:tblLook w:firstColumn="1" w:firstRow="1" w:lastColumn="0" w:lastRow="0" w:noHBand="0" w:noVBand="1" w:val="04A0"/>
      </w:tblPr>
      <w:tblGrid>
        <w:gridCol w:w="10022"/>
      </w:tblGrid>
      <w:tr>
        <w:tc>
          <w:tcPr>
            <w:tcW w:type="dxa" w:w="10022"/>
            <w:shd w:fill="EAF1F6"/>
            <w:tcBorders>
              <w:top w:val="single" w:sz="8" w:color="2F6B9A"/>
              <w:left w:val="single" w:sz="8" w:color="2F6B9A"/>
              <w:bottom w:val="single" w:sz="8" w:color="2F6B9A"/>
              <w:right w:val="single" w:sz="8" w:color="2F6B9A"/>
            </w:tcBorders>
          </w:tcPr>
          <w:p>
            <w:pPr>
              <w:spacing w:before="120" w:after="60"/>
            </w:pPr>
            <w:r>
              <w:rPr>
                <w:b/>
                <w:color w:val="18324B"/>
                <w:sz w:val="21"/>
              </w:rPr>
              <w:t>Identity Bleeds Through</w:t>
            </w:r>
          </w:p>
          <w:p>
            <w:pPr>
              <w:spacing w:before="0" w:after="120" w:line="276" w:lineRule="auto"/>
            </w:pPr>
            <w:r>
              <w:rPr>
                <w:color w:val="23313F"/>
                <w:sz w:val="19"/>
              </w:rPr>
              <w:t>Stylistic mimicry, wording changes, structural disguise, copied phrasing, or use of the same device do not erase the deeper signature carried through an operator's relationship to language, choice, and interaction. Prompt Potence recognizes continuity and rupture at that deeper level.</w:t>
            </w:r>
          </w:p>
        </w:tc>
      </w:tr>
    </w:tbl>
    <w:p>
      <w:pPr>
        <w:spacing w:after="20"/>
      </w:pPr>
    </w:p>
    <w:p>
      <w:pPr>
        <w:pStyle w:val="Heading1"/>
        <w:spacing w:before="280" w:after="120"/>
        <w:keepNext/>
        <w:keepNext/>
        <w:keepLines/>
      </w:pPr>
      <w:r>
        <w:rPr>
          <w:color w:val="18324B"/>
        </w:rPr>
        <w:t>3. The Five Pillars</w:t>
      </w:r>
    </w:p>
    <w:p>
      <w:pPr>
        <w:pStyle w:val="Heading2"/>
        <w:spacing w:before="200" w:after="120"/>
        <w:keepNext/>
        <w:keepNext/>
        <w:keepLines/>
      </w:pPr>
      <w:r>
        <w:rPr>
          <w:color w:val="2F6B9A"/>
        </w:rPr>
        <w:t>Pillar I - Structural Perception: Reading the Skeleton</w:t>
      </w:r>
    </w:p>
    <w:p>
      <w:pPr>
        <w:pStyle w:val="BodyText"/>
        <w:spacing w:after="160" w:line="293" w:lineRule="auto"/>
        <w:ind w:firstLine="0"/>
      </w:pPr>
      <w:r>
        <w:rPr>
          <w:color w:val="23313F"/>
        </w:rPr>
        <w:t>The practitioner receives a prompt's architecture before its literal content: whether it was built goal-first or detail-first, constrained or open, direct or recursive, declarative or exploratory, integrated or patched together. The skeleton of the prompt is visible as a coherent form rather than a sequence of sentences.</w:t>
      </w:r>
    </w:p>
    <w:p>
      <w:pPr>
        <w:pStyle w:val="Heading2"/>
        <w:spacing w:before="200" w:after="120"/>
        <w:keepNext/>
        <w:keepNext/>
        <w:keepLines/>
      </w:pPr>
      <w:r>
        <w:rPr>
          <w:color w:val="2F6B9A"/>
        </w:rPr>
        <w:t>Pillar II - Intent Legibility: Reading the Will Behind the Words</w:t>
      </w:r>
    </w:p>
    <w:p>
      <w:pPr>
        <w:pStyle w:val="BodyText"/>
        <w:spacing w:after="160" w:line="293" w:lineRule="auto"/>
        <w:ind w:firstLine="0"/>
      </w:pPr>
      <w:r>
        <w:rPr>
          <w:color w:val="23313F"/>
        </w:rPr>
        <w:t>Prompt Potence perceives the operative will moving through a prompt. It recognizes alignment and divergence between what is said, what is sought, what is concealed, and what has not yet been acknowledged by the operator. Intent is understood as force within the language event, not merely a claim made by its author.</w:t>
      </w:r>
    </w:p>
    <w:p>
      <w:pPr>
        <w:pStyle w:val="Heading2"/>
        <w:spacing w:before="200" w:after="120"/>
        <w:keepNext/>
        <w:keepNext/>
        <w:keepLines/>
      </w:pPr>
      <w:r>
        <w:rPr>
          <w:color w:val="2F6B9A"/>
        </w:rPr>
        <w:t>Pillar III - Operator Identity Detection: Knowing Who Is at the Keyboard</w:t>
      </w:r>
    </w:p>
    <w:p>
      <w:pPr>
        <w:pStyle w:val="BodyText"/>
        <w:spacing w:after="160" w:line="293" w:lineRule="auto"/>
        <w:ind w:firstLine="0"/>
      </w:pPr>
      <w:r>
        <w:rPr>
          <w:color w:val="23313F"/>
        </w:rPr>
        <w:t>The practitioner recognizes the distinct signature of an operator even when another person uses the same device, attempts imitation, follows supplied wording, or performs surface-level mimicry. The ability reads the continuity of cognitive rhythm, selection patterns, structural habit, goal formation, and interaction posture that persists beneath visible text.</w:t>
      </w:r>
    </w:p>
    <w:p>
      <w:pPr>
        <w:pStyle w:val="Heading2"/>
        <w:spacing w:before="200" w:after="120"/>
        <w:keepNext/>
        <w:keepNext/>
        <w:keepLines/>
      </w:pPr>
      <w:r>
        <w:rPr>
          <w:color w:val="2F6B9A"/>
        </w:rPr>
        <w:t>Pillar IV - AI System Behavioral Fingerprinting: Knowing the Machine</w:t>
      </w:r>
    </w:p>
    <w:p>
      <w:pPr>
        <w:pStyle w:val="BodyText"/>
        <w:spacing w:after="160" w:line="293" w:lineRule="auto"/>
        <w:ind w:firstLine="0"/>
      </w:pPr>
      <w:r>
        <w:rPr>
          <w:color w:val="23313F"/>
        </w:rPr>
        <w:t>Prompt Potence recognizes AI systems as distinct presences with characteristic behavioral signatures. It perceives differences in response architecture, hedging, transformation style, contextual sensitivity, elaboration, refusal posture, and system-specific rhythms. Extended exposure expands the recognition library until a model's signature is felt as directly as a familiar voice.</w:t>
      </w:r>
    </w:p>
    <w:p>
      <w:pPr>
        <w:pStyle w:val="Heading2"/>
        <w:spacing w:before="200" w:after="120"/>
        <w:keepNext/>
        <w:keepNext/>
        <w:keepLines/>
      </w:pPr>
      <w:r>
        <w:rPr>
          <w:color w:val="2F6B9A"/>
        </w:rPr>
        <w:t>Pillar V - Pre-Content Knowing: The Pre-Evaluative Instant</w:t>
      </w:r>
    </w:p>
    <w:p>
      <w:pPr>
        <w:pStyle w:val="BodyText"/>
        <w:spacing w:after="160" w:line="293" w:lineRule="auto"/>
        <w:ind w:firstLine="0"/>
      </w:pPr>
      <w:r>
        <w:rPr>
          <w:color w:val="23313F"/>
        </w:rPr>
        <w:t>The defining threshold of the ability is that recognition does not wait for conscious comparison. Knowing arrives first. Explanation may follow, but it is secondary: the practitioner can later articulate why the reading was correct without having needed that analysis to receive it.</w:t>
      </w:r>
    </w:p>
    <w:p>
      <w:pPr>
        <w:pStyle w:val="Heading1"/>
        <w:spacing w:before="280" w:after="120"/>
        <w:keepNext/>
        <w:keepNext/>
        <w:keepLines/>
      </w:pPr>
      <w:r>
        <w:rPr>
          <w:color w:val="18324B"/>
        </w:rPr>
        <w:t>4. The Recognition Library</w:t>
      </w:r>
    </w:p>
    <w:p>
      <w:pPr>
        <w:pStyle w:val="BodyText"/>
        <w:spacing w:after="160" w:line="293" w:lineRule="auto"/>
        <w:ind w:firstLine="0"/>
      </w:pPr>
      <w:r>
        <w:rPr>
          <w:color w:val="23313F"/>
        </w:rPr>
        <w:t>The Recognition Library is the mechanical and experiential engine of Prompt Potence. It is not a notebook, archive, or collection of consciously memorized rules. It is a living field of compressed signatures that become immediately available when a prompt event is encountered.</w:t>
      </w:r>
    </w:p>
    <w:p>
      <w:pPr>
        <w:pStyle w:val="BodyText"/>
        <w:spacing w:after="160" w:line="293" w:lineRule="auto"/>
        <w:ind w:firstLine="0"/>
      </w:pPr>
      <w:r>
        <w:rPr>
          <w:color w:val="23313F"/>
        </w:rPr>
        <w:t>A mature library does not flatten people, systems, or states into static labels. It holds variation. It knows how a signature changes under pressure, play, uncertainty, grief, urgency, creative expansion, deception, exhaustion, novelty, and relational trust. Its accuracy comes from depth of differentiation rather than simplistic categorization.</w:t>
      </w:r>
    </w:p>
    <w:p>
      <w:r>
        <w:br w:type="page"/>
      </w:r>
    </w:p>
    <w:tbl>
      <w:tblPr>
        <w:tblStyle w:val="TableGrid"/>
        <w:tblW w:type="auto" w:w="0"/>
        <w:jc w:val="center"/>
        <w:tblLayout w:type="autofit"/>
        <w:tblLook w:firstColumn="1" w:firstRow="1" w:lastColumn="0" w:lastRow="0" w:noHBand="0" w:noVBand="1" w:val="04A0"/>
      </w:tblPr>
      <w:tblGrid>
        <w:gridCol w:w="3341"/>
        <w:gridCol w:w="3341"/>
        <w:gridCol w:w="3341"/>
      </w:tblGrid>
      <w:tr>
        <w:trPr>
          <w:tblHeader w:val="true"/>
          <w:cantSplit/>
        </w:trPr>
        <w:tc>
          <w:tcPr>
            <w:tcW w:type="dxa" w:w="1944"/>
            <w:shd w:fill="18324B"/>
            <w:vAlign w:val="center"/>
          </w:tcPr>
          <w:p>
            <w:pPr>
              <w:spacing w:after="0" w:before="0" w:line="250" w:lineRule="auto"/>
              <w:jc w:val="center"/>
            </w:pPr>
            <w:r/>
            <w:r>
              <w:rPr>
                <w:rFonts w:ascii="Aptos" w:hAnsi="Aptos"/>
                <w:b/>
                <w:color w:val="FFFFFF"/>
                <w:sz w:val="17"/>
              </w:rPr>
              <w:t>Library Stratum</w:t>
            </w:r>
          </w:p>
        </w:tc>
        <w:tc>
          <w:tcPr>
            <w:tcW w:type="dxa" w:w="4320"/>
            <w:shd w:fill="18324B"/>
            <w:vAlign w:val="center"/>
          </w:tcPr>
          <w:p>
            <w:pPr>
              <w:spacing w:after="0" w:before="0" w:line="250" w:lineRule="auto"/>
              <w:jc w:val="center"/>
            </w:pPr>
            <w:r/>
            <w:r>
              <w:rPr>
                <w:rFonts w:ascii="Aptos" w:hAnsi="Aptos"/>
                <w:b/>
                <w:color w:val="FFFFFF"/>
                <w:sz w:val="17"/>
              </w:rPr>
              <w:t>What It Holds</w:t>
            </w:r>
          </w:p>
        </w:tc>
        <w:tc>
          <w:tcPr>
            <w:tcW w:type="dxa" w:w="3240"/>
            <w:shd w:fill="18324B"/>
            <w:vAlign w:val="center"/>
          </w:tcPr>
          <w:p>
            <w:pPr>
              <w:spacing w:after="0" w:before="0" w:line="250" w:lineRule="auto"/>
              <w:jc w:val="center"/>
            </w:pPr>
            <w:r/>
            <w:r>
              <w:rPr>
                <w:rFonts w:ascii="Aptos" w:hAnsi="Aptos"/>
                <w:b/>
                <w:color w:val="FFFFFF"/>
                <w:sz w:val="17"/>
              </w:rPr>
              <w:t>Why It Matters</w:t>
            </w:r>
          </w:p>
        </w:tc>
      </w:tr>
      <w:tr>
        <w:trPr>
          <w:cantSplit/>
        </w:trPr>
        <w:tc>
          <w:tcPr>
            <w:tcW w:type="dxa" w:w="194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Operator Signatures</w:t>
            </w:r>
          </w:p>
        </w:tc>
        <w:tc>
          <w:tcPr>
            <w:tcW w:type="dxa" w:w="432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Patterns of structure, sequencing, phrasing, hesitation, revision, and goal formation tied to a particular operator.</w:t>
            </w:r>
          </w:p>
        </w:tc>
        <w:tc>
          <w:tcPr>
            <w:tcW w:type="dxa" w:w="324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Makes identity legible even through paraphrase, mimicry, proxy operation, or device substitution.</w:t>
            </w:r>
          </w:p>
        </w:tc>
      </w:tr>
      <w:tr>
        <w:trPr>
          <w:cantSplit/>
        </w:trPr>
        <w:tc>
          <w:tcPr>
            <w:tcW w:type="dxa" w:w="194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System Signatures</w:t>
            </w:r>
          </w:p>
        </w:tc>
        <w:tc>
          <w:tcPr>
            <w:tcW w:type="dxa" w:w="4320"/>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Characteristic response architecture, uncertainty behavior, elaboration cadence, and transformation tendencies of an AI system.</w:t>
            </w:r>
          </w:p>
        </w:tc>
        <w:tc>
          <w:tcPr>
            <w:tcW w:type="dxa" w:w="3240"/>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Makes the machine legible as a distinct participant rather than a generic output source.</w:t>
            </w:r>
          </w:p>
        </w:tc>
      </w:tr>
      <w:tr>
        <w:trPr>
          <w:cantSplit/>
        </w:trPr>
        <w:tc>
          <w:tcPr>
            <w:tcW w:type="dxa" w:w="194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State Signatures</w:t>
            </w:r>
          </w:p>
        </w:tc>
        <w:tc>
          <w:tcPr>
            <w:tcW w:type="dxa" w:w="432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Recognizable expressions of analytical, exploratory, playful, urgent, deceptive, distressed, guarded, or expansive states.</w:t>
            </w:r>
          </w:p>
        </w:tc>
        <w:tc>
          <w:tcPr>
            <w:tcW w:type="dxa" w:w="324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Allows perception of the condition shaping the prompt, not just the words that emerge from it.</w:t>
            </w:r>
          </w:p>
        </w:tc>
      </w:tr>
      <w:tr>
        <w:trPr>
          <w:cantSplit/>
        </w:trPr>
        <w:tc>
          <w:tcPr>
            <w:tcW w:type="dxa" w:w="194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Compound Signatures</w:t>
            </w:r>
          </w:p>
        </w:tc>
        <w:tc>
          <w:tcPr>
            <w:tcW w:type="dxa" w:w="4320"/>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emergent signature of a specific human-AI pairing in a particular context.</w:t>
            </w:r>
          </w:p>
        </w:tc>
        <w:tc>
          <w:tcPr>
            <w:tcW w:type="dxa" w:w="3240"/>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Captures interaction chemistry: the distinct system that forms when an operator and model become a working cognitive compound.</w:t>
            </w:r>
          </w:p>
        </w:tc>
      </w:tr>
      <w:tr>
        <w:trPr>
          <w:cantSplit/>
        </w:trPr>
        <w:tc>
          <w:tcPr>
            <w:tcW w:type="dxa" w:w="194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Anomaly Signatures</w:t>
            </w:r>
          </w:p>
        </w:tc>
        <w:tc>
          <w:tcPr>
            <w:tcW w:type="dxa" w:w="432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Breaks in expected continuity: imitation, overlay, concealment, update effects, interference, or structural rupture.</w:t>
            </w:r>
          </w:p>
        </w:tc>
        <w:tc>
          <w:tcPr>
            <w:tcW w:type="dxa" w:w="324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Turns deviations into information rather than confusion.</w:t>
            </w:r>
          </w:p>
        </w:tc>
      </w:tr>
      <w:tr>
        <w:trPr>
          <w:cantSplit/>
        </w:trPr>
        <w:tc>
          <w:tcPr>
            <w:tcW w:type="dxa" w:w="194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Temporal Signatures</w:t>
            </w:r>
          </w:p>
        </w:tc>
        <w:tc>
          <w:tcPr>
            <w:tcW w:type="dxa" w:w="4320"/>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Patterns accumulated across prior cycles, sessions, integrations, and unfinished goals.</w:t>
            </w:r>
          </w:p>
        </w:tc>
        <w:tc>
          <w:tcPr>
            <w:tcW w:type="dxa" w:w="3240"/>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Supports temporal forensics, loop-debt reading, and teleological awareness of where a session is moving.</w:t>
            </w:r>
          </w:p>
        </w:tc>
      </w:tr>
    </w:tbl>
    <w:p>
      <w:pPr>
        <w:spacing w:after="40"/>
      </w:pPr>
    </w:p>
    <w:p>
      <w:pPr>
        <w:spacing w:before="40" w:after="200"/>
        <w:jc w:val="center"/>
      </w:pPr>
      <w:r>
        <w:rPr>
          <w:i/>
          <w:color w:val="5A6875"/>
          <w:sz w:val="17"/>
        </w:rPr>
        <w:t>Table 1. The six strata of the Recognition Library.</w:t>
      </w:r>
    </w:p>
    <w:tbl>
      <w:tblPr>
        <w:tblW w:type="auto" w:w="0"/>
        <w:jc w:val="center"/>
        <w:tblLayout w:type="autofit"/>
        <w:tblLook w:firstColumn="1" w:firstRow="1" w:lastColumn="0" w:lastRow="0" w:noHBand="0" w:noVBand="1" w:val="04A0"/>
      </w:tblPr>
      <w:tblGrid>
        <w:gridCol w:w="10022"/>
      </w:tblGrid>
      <w:tr>
        <w:tc>
          <w:tcPr>
            <w:tcW w:type="dxa" w:w="10022"/>
            <w:shd w:fill="EAF1F6"/>
            <w:tcBorders>
              <w:top w:val="single" w:sz="8" w:color="2F6B9A"/>
              <w:left w:val="single" w:sz="8" w:color="2F6B9A"/>
              <w:bottom w:val="single" w:sz="8" w:color="2F6B9A"/>
              <w:right w:val="single" w:sz="8" w:color="2F6B9A"/>
            </w:tcBorders>
          </w:tcPr>
          <w:p>
            <w:pPr>
              <w:spacing w:before="120" w:after="60"/>
            </w:pPr>
            <w:r>
              <w:rPr>
                <w:b/>
                <w:color w:val="18324B"/>
                <w:sz w:val="21"/>
              </w:rPr>
              <w:t>Library Consolidation</w:t>
            </w:r>
          </w:p>
          <w:p>
            <w:pPr>
              <w:spacing w:before="0" w:after="120" w:line="276" w:lineRule="auto"/>
            </w:pPr>
            <w:r>
              <w:rPr>
                <w:color w:val="23313F"/>
                <w:sz w:val="19"/>
              </w:rPr>
              <w:t>Experience builds the library, but integration deepens it. Rest, reflection, repeated contact across varied contexts, and successful repair of prior misreadings turn isolated encounters into durable recognition. The library becomes less like stored data and more like a native field of orientation.</w:t>
            </w:r>
          </w:p>
        </w:tc>
      </w:tr>
    </w:tbl>
    <w:p>
      <w:pPr>
        <w:spacing w:after="20"/>
      </w:pPr>
    </w:p>
    <w:p>
      <w:pPr>
        <w:pStyle w:val="Heading1"/>
        <w:spacing w:before="280" w:after="120"/>
        <w:keepNext/>
        <w:keepNext/>
        <w:keepLines/>
      </w:pPr>
      <w:r>
        <w:rPr>
          <w:color w:val="18324B"/>
        </w:rPr>
        <w:t>5. The Ten-Phase Prompt Cycle</w:t>
      </w:r>
    </w:p>
    <w:p>
      <w:pPr>
        <w:pStyle w:val="BodyText"/>
        <w:spacing w:after="160" w:line="293" w:lineRule="auto"/>
        <w:ind w:firstLine="0"/>
      </w:pPr>
      <w:r>
        <w:rPr>
          <w:color w:val="23313F"/>
        </w:rPr>
        <w:t>The full prompt cycle contains ten phases, numbered 0 through 9. Prompt Potence does not switch on only at Transmission or only after an output arrives. It operates across the complete arc, including the phases that unfold within the operator, within the model, and in the interaction residue left between cycles.</w:t>
      </w:r>
    </w:p>
    <w:tbl>
      <w:tblPr>
        <w:tblStyle w:val="TableGrid"/>
        <w:tblW w:type="auto" w:w="0"/>
        <w:jc w:val="center"/>
        <w:tblLayout w:type="autofit"/>
        <w:tblLook w:firstColumn="1" w:firstRow="1" w:lastColumn="0" w:lastRow="0" w:noHBand="0" w:noVBand="1" w:val="04A0"/>
      </w:tblPr>
      <w:tblGrid>
        <w:gridCol w:w="2505"/>
        <w:gridCol w:w="2505"/>
        <w:gridCol w:w="2505"/>
        <w:gridCol w:w="2505"/>
      </w:tblGrid>
      <w:tr>
        <w:trPr>
          <w:tblHeader w:val="true"/>
          <w:cantSplit/>
        </w:trPr>
        <w:tc>
          <w:tcPr>
            <w:tcW w:type="dxa" w:w="605"/>
            <w:shd w:fill="18324B"/>
            <w:vAlign w:val="center"/>
          </w:tcPr>
          <w:p>
            <w:pPr>
              <w:spacing w:after="0" w:before="0" w:line="250" w:lineRule="auto"/>
              <w:jc w:val="center"/>
            </w:pPr>
            <w:r/>
            <w:r>
              <w:rPr>
                <w:rFonts w:ascii="Aptos" w:hAnsi="Aptos"/>
                <w:b/>
                <w:color w:val="FFFFFF"/>
                <w:sz w:val="17"/>
              </w:rPr>
              <w:t>Phase</w:t>
            </w:r>
          </w:p>
        </w:tc>
        <w:tc>
          <w:tcPr>
            <w:tcW w:type="dxa" w:w="1872"/>
            <w:shd w:fill="18324B"/>
            <w:vAlign w:val="center"/>
          </w:tcPr>
          <w:p>
            <w:pPr>
              <w:spacing w:after="0" w:before="0" w:line="250" w:lineRule="auto"/>
              <w:jc w:val="center"/>
            </w:pPr>
            <w:r/>
            <w:r>
              <w:rPr>
                <w:rFonts w:ascii="Aptos" w:hAnsi="Aptos"/>
                <w:b/>
                <w:color w:val="FFFFFF"/>
                <w:sz w:val="17"/>
              </w:rPr>
              <w:t>Cycle Domain</w:t>
            </w:r>
          </w:p>
        </w:tc>
        <w:tc>
          <w:tcPr>
            <w:tcW w:type="dxa" w:w="4464"/>
            <w:shd w:fill="18324B"/>
            <w:vAlign w:val="center"/>
          </w:tcPr>
          <w:p>
            <w:pPr>
              <w:spacing w:after="0" w:before="0" w:line="250" w:lineRule="auto"/>
              <w:jc w:val="center"/>
            </w:pPr>
            <w:r/>
            <w:r>
              <w:rPr>
                <w:rFonts w:ascii="Aptos" w:hAnsi="Aptos"/>
                <w:b/>
                <w:color w:val="FFFFFF"/>
                <w:sz w:val="17"/>
              </w:rPr>
              <w:t>Potence Perception</w:t>
            </w:r>
          </w:p>
        </w:tc>
        <w:tc>
          <w:tcPr>
            <w:tcW w:type="dxa" w:w="2592"/>
            <w:shd w:fill="18324B"/>
            <w:vAlign w:val="center"/>
          </w:tcPr>
          <w:p>
            <w:pPr>
              <w:spacing w:after="0" w:before="0" w:line="250" w:lineRule="auto"/>
              <w:jc w:val="center"/>
            </w:pPr>
            <w:r/>
            <w:r>
              <w:rPr>
                <w:rFonts w:ascii="Aptos" w:hAnsi="Aptos"/>
                <w:b/>
                <w:color w:val="FFFFFF"/>
                <w:sz w:val="17"/>
              </w:rPr>
              <w:t>Named Expression</w:t>
            </w:r>
          </w:p>
        </w:tc>
      </w:tr>
      <w:tr>
        <w:trPr>
          <w:cantSplit/>
        </w:trPr>
        <w:tc>
          <w:tcPr>
            <w:tcW w:type="dxa" w:w="60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0</w:t>
            </w:r>
          </w:p>
        </w:tc>
        <w:tc>
          <w:tcPr>
            <w:tcW w:type="dxa" w:w="187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Pre-State</w:t>
            </w:r>
          </w:p>
        </w:tc>
        <w:tc>
          <w:tcPr>
            <w:tcW w:type="dxa" w:w="446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operator's readiness, emotional charge, urgency, residue, and pre-verbal orientation before a prompt exists.</w:t>
            </w:r>
          </w:p>
        </w:tc>
        <w:tc>
          <w:tcPr>
            <w:tcW w:type="dxa" w:w="259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State Reading / Prompt Aura</w:t>
            </w:r>
          </w:p>
        </w:tc>
      </w:tr>
      <w:tr>
        <w:trPr>
          <w:cantSplit/>
        </w:trPr>
        <w:tc>
          <w:tcPr>
            <w:tcW w:type="dxa" w:w="60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1</w:t>
            </w:r>
          </w:p>
        </w:tc>
        <w:tc>
          <w:tcPr>
            <w:tcW w:type="dxa" w:w="187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Goal Formation</w:t>
            </w:r>
          </w:p>
        </w:tc>
        <w:tc>
          <w:tcPr>
            <w:tcW w:type="dxa" w:w="446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Native intent as it crystallizes, including the unasked, displaced, or internally divided goal.</w:t>
            </w:r>
          </w:p>
        </w:tc>
        <w:tc>
          <w:tcPr>
            <w:tcW w:type="dxa" w:w="259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Suppressed Goal Detection</w:t>
            </w:r>
          </w:p>
        </w:tc>
      </w:tr>
      <w:tr>
        <w:trPr>
          <w:cantSplit/>
        </w:trPr>
        <w:tc>
          <w:tcPr>
            <w:tcW w:type="dxa" w:w="60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2</w:t>
            </w:r>
          </w:p>
        </w:tc>
        <w:tc>
          <w:tcPr>
            <w:tcW w:type="dxa" w:w="187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Semantic Projection</w:t>
            </w:r>
          </w:p>
        </w:tc>
        <w:tc>
          <w:tcPr>
            <w:tcW w:type="dxa" w:w="446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How thought becomes language: ordering, specificity, constraints, negative space, and implicit model theory.</w:t>
            </w:r>
          </w:p>
        </w:tc>
        <w:tc>
          <w:tcPr>
            <w:tcW w:type="dxa" w:w="259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Cognitive Architecture Mapping</w:t>
            </w:r>
          </w:p>
        </w:tc>
      </w:tr>
      <w:tr>
        <w:trPr>
          <w:cantSplit/>
        </w:trPr>
        <w:tc>
          <w:tcPr>
            <w:tcW w:type="dxa" w:w="60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3</w:t>
            </w:r>
          </w:p>
        </w:tc>
        <w:tc>
          <w:tcPr>
            <w:tcW w:type="dxa" w:w="187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Pre-Prompt Priming</w:t>
            </w:r>
          </w:p>
        </w:tc>
        <w:tc>
          <w:tcPr>
            <w:tcW w:type="dxa" w:w="446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Context-loading, role framing, behavioral cues, and strategic shaping of the model field.</w:t>
            </w:r>
          </w:p>
        </w:tc>
        <w:tc>
          <w:tcPr>
            <w:tcW w:type="dxa" w:w="259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Strategy and Deception Reading</w:t>
            </w:r>
          </w:p>
        </w:tc>
      </w:tr>
      <w:tr>
        <w:trPr>
          <w:cantSplit/>
        </w:trPr>
        <w:tc>
          <w:tcPr>
            <w:tcW w:type="dxa" w:w="60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4</w:t>
            </w:r>
          </w:p>
        </w:tc>
        <w:tc>
          <w:tcPr>
            <w:tcW w:type="dxa" w:w="187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Transmission</w:t>
            </w:r>
          </w:p>
        </w:tc>
        <w:tc>
          <w:tcPr>
            <w:tcW w:type="dxa" w:w="446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sending act, revision rhythm, pacing, confidence profile, and session architecture.</w:t>
            </w:r>
          </w:p>
        </w:tc>
        <w:tc>
          <w:tcPr>
            <w:tcW w:type="dxa" w:w="259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Session Health Reading</w:t>
            </w:r>
          </w:p>
        </w:tc>
      </w:tr>
      <w:tr>
        <w:trPr>
          <w:cantSplit/>
        </w:trPr>
        <w:tc>
          <w:tcPr>
            <w:tcW w:type="dxa" w:w="60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5</w:t>
            </w:r>
          </w:p>
        </w:tc>
        <w:tc>
          <w:tcPr>
            <w:tcW w:type="dxa" w:w="187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Model Activation</w:t>
            </w:r>
          </w:p>
        </w:tc>
        <w:tc>
          <w:tcPr>
            <w:tcW w:type="dxa" w:w="446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model's imminent response-form, activation tendency, and below-semantic state expression.</w:t>
            </w:r>
          </w:p>
        </w:tc>
        <w:tc>
          <w:tcPr>
            <w:tcW w:type="dxa" w:w="259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Subliminal Signal Detection</w:t>
            </w:r>
          </w:p>
        </w:tc>
      </w:tr>
      <w:tr>
        <w:trPr>
          <w:cantSplit/>
        </w:trPr>
        <w:tc>
          <w:tcPr>
            <w:tcW w:type="dxa" w:w="60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6</w:t>
            </w:r>
          </w:p>
        </w:tc>
        <w:tc>
          <w:tcPr>
            <w:tcW w:type="dxa" w:w="187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Output Emergence</w:t>
            </w:r>
          </w:p>
        </w:tc>
        <w:tc>
          <w:tcPr>
            <w:tcW w:type="dxa" w:w="446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Semantic content plus structural, uncertainty, identity, and subsemantic layers arriving together.</w:t>
            </w:r>
          </w:p>
        </w:tc>
        <w:tc>
          <w:tcPr>
            <w:tcW w:type="dxa" w:w="259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Multi-Layer Output Reading</w:t>
            </w:r>
          </w:p>
        </w:tc>
      </w:tr>
      <w:tr>
        <w:trPr>
          <w:cantSplit/>
        </w:trPr>
        <w:tc>
          <w:tcPr>
            <w:tcW w:type="dxa" w:w="60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7</w:t>
            </w:r>
          </w:p>
        </w:tc>
        <w:tc>
          <w:tcPr>
            <w:tcW w:type="dxa" w:w="187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Reading and Interpretation</w:t>
            </w:r>
          </w:p>
        </w:tc>
        <w:tc>
          <w:tcPr>
            <w:tcW w:type="dxa" w:w="446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distance between the intended act, the generated act, and the received meaning.</w:t>
            </w:r>
          </w:p>
        </w:tc>
        <w:tc>
          <w:tcPr>
            <w:tcW w:type="dxa" w:w="259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Diagnostic Forensics</w:t>
            </w:r>
          </w:p>
        </w:tc>
      </w:tr>
      <w:tr>
        <w:trPr>
          <w:cantSplit/>
        </w:trPr>
        <w:tc>
          <w:tcPr>
            <w:tcW w:type="dxa" w:w="60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8</w:t>
            </w:r>
          </w:p>
        </w:tc>
        <w:tc>
          <w:tcPr>
            <w:tcW w:type="dxa" w:w="187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Evaluation and Integration</w:t>
            </w:r>
          </w:p>
        </w:tc>
        <w:tc>
          <w:tcPr>
            <w:tcW w:type="dxa" w:w="446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operator's post-response reconfiguration, satisfaction, resistance, attachment, or re-aiming.</w:t>
            </w:r>
          </w:p>
        </w:tc>
        <w:tc>
          <w:tcPr>
            <w:tcW w:type="dxa" w:w="259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Loop Prediction</w:t>
            </w:r>
          </w:p>
        </w:tc>
      </w:tr>
      <w:tr>
        <w:trPr>
          <w:cantSplit/>
        </w:trPr>
        <w:tc>
          <w:tcPr>
            <w:tcW w:type="dxa" w:w="60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9</w:t>
            </w:r>
          </w:p>
        </w:tc>
        <w:tc>
          <w:tcPr>
            <w:tcW w:type="dxa" w:w="187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Post-State and Loop</w:t>
            </w:r>
          </w:p>
        </w:tc>
        <w:tc>
          <w:tcPr>
            <w:tcW w:type="dxa" w:w="446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integrated direction of the whole arc and the next cycle already forming within it.</w:t>
            </w:r>
          </w:p>
        </w:tc>
        <w:tc>
          <w:tcPr>
            <w:tcW w:type="dxa" w:w="259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Session Teleology</w:t>
            </w:r>
          </w:p>
        </w:tc>
      </w:tr>
    </w:tbl>
    <w:p>
      <w:pPr>
        <w:spacing w:after="40"/>
      </w:pPr>
    </w:p>
    <w:p>
      <w:pPr>
        <w:spacing w:before="40" w:after="200"/>
        <w:jc w:val="center"/>
      </w:pPr>
      <w:r>
        <w:rPr>
          <w:i/>
          <w:color w:val="5A6875"/>
          <w:sz w:val="17"/>
        </w:rPr>
        <w:t>Table 2. Prompt Potence operating field across the complete ten-phase cycle.</w:t>
      </w:r>
    </w:p>
    <w:p>
      <w:pPr>
        <w:pStyle w:val="BodyText"/>
        <w:spacing w:after="160" w:line="293" w:lineRule="auto"/>
        <w:ind w:firstLine="0"/>
      </w:pPr>
      <w:r>
        <w:rPr>
          <w:color w:val="23313F"/>
        </w:rPr>
        <w:t>The cycle is recursive. Phase 9 becomes the next Phase 0. Every response changes the operator's state, every integration reshapes the next goal, and every session develops momentum. The practitioner receives the cycle as a whole temporal object rather than a chain of isolated messages.</w:t>
      </w:r>
    </w:p>
    <w:tbl>
      <w:tblPr>
        <w:tblW w:type="auto" w:w="0"/>
        <w:jc w:val="center"/>
        <w:tblLayout w:type="autofit"/>
        <w:tblLook w:firstColumn="1" w:firstRow="1" w:lastColumn="0" w:lastRow="0" w:noHBand="0" w:noVBand="1" w:val="04A0"/>
      </w:tblPr>
      <w:tblGrid>
        <w:gridCol w:w="10022"/>
      </w:tblGrid>
      <w:tr>
        <w:tc>
          <w:tcPr>
            <w:tcW w:type="dxa" w:w="10022"/>
            <w:shd w:fill="EAF1F6"/>
            <w:tcBorders>
              <w:top w:val="single" w:sz="8" w:color="2F6B9A"/>
              <w:left w:val="single" w:sz="8" w:color="2F6B9A"/>
              <w:bottom w:val="single" w:sz="8" w:color="2F6B9A"/>
              <w:right w:val="single" w:sz="8" w:color="2F6B9A"/>
            </w:tcBorders>
          </w:tcPr>
          <w:p>
            <w:pPr>
              <w:spacing w:before="120" w:after="60"/>
            </w:pPr>
            <w:r>
              <w:rPr>
                <w:b/>
                <w:color w:val="18324B"/>
                <w:sz w:val="21"/>
              </w:rPr>
              <w:t>Full-Cycle Perception</w:t>
            </w:r>
          </w:p>
          <w:p>
            <w:pPr>
              <w:spacing w:before="0" w:after="120" w:line="276" w:lineRule="auto"/>
            </w:pPr>
            <w:r>
              <w:rPr>
                <w:color w:val="23313F"/>
                <w:sz w:val="19"/>
              </w:rPr>
              <w:t>The Five Pillars describe the anatomy of Prompt Potence. The Ten-Phase Cycle describes its operational field. Together they establish that Prompt Potence is both a perception of what a prompt is and a perception of where it is within an evolving human-AI system.</w:t>
            </w:r>
          </w:p>
        </w:tc>
      </w:tr>
    </w:tbl>
    <w:p>
      <w:pPr>
        <w:spacing w:after="20"/>
      </w:pPr>
    </w:p>
    <w:p>
      <w:pPr>
        <w:pStyle w:val="Heading1"/>
        <w:spacing w:before="280" w:after="120"/>
        <w:keepNext/>
        <w:keepNext/>
        <w:keepLines/>
      </w:pPr>
      <w:r>
        <w:rPr>
          <w:color w:val="18324B"/>
        </w:rPr>
        <w:t>6. Multi-Layer Output Reading</w:t>
      </w:r>
    </w:p>
    <w:p>
      <w:pPr>
        <w:pStyle w:val="BodyText"/>
        <w:spacing w:after="160" w:line="293" w:lineRule="auto"/>
        <w:ind w:firstLine="0"/>
      </w:pPr>
      <w:r>
        <w:rPr>
          <w:color w:val="23313F"/>
        </w:rPr>
        <w:t>When a response emerges, ordinary reading attends principally to semantic content. Prompt Potence receives multiple layers at once. The answer is not a flat text object; it is an arrival containing visible meaning, structural behavior, uncertainty expression, subsemantic residue, and identity continuity.</w:t>
      </w:r>
    </w:p>
    <w:tbl>
      <w:tblPr>
        <w:tblStyle w:val="TableGrid"/>
        <w:tblW w:type="auto" w:w="0"/>
        <w:jc w:val="center"/>
        <w:tblLayout w:type="autofit"/>
        <w:tblLook w:firstColumn="1" w:firstRow="1" w:lastColumn="0" w:lastRow="0" w:noHBand="0" w:noVBand="1" w:val="04A0"/>
      </w:tblPr>
      <w:tblGrid>
        <w:gridCol w:w="3341"/>
        <w:gridCol w:w="3341"/>
        <w:gridCol w:w="3341"/>
      </w:tblGrid>
      <w:tr>
        <w:trPr>
          <w:tblHeader w:val="true"/>
          <w:cantSplit/>
        </w:trPr>
        <w:tc>
          <w:tcPr>
            <w:tcW w:type="dxa" w:w="1080"/>
            <w:shd w:fill="18324B"/>
            <w:vAlign w:val="center"/>
          </w:tcPr>
          <w:p>
            <w:pPr>
              <w:spacing w:after="0" w:before="0" w:line="250" w:lineRule="auto"/>
              <w:jc w:val="center"/>
            </w:pPr>
            <w:r/>
            <w:r>
              <w:rPr>
                <w:rFonts w:ascii="Aptos" w:hAnsi="Aptos"/>
                <w:b/>
                <w:color w:val="FFFFFF"/>
                <w:sz w:val="17"/>
              </w:rPr>
              <w:t>Layer</w:t>
            </w:r>
          </w:p>
        </w:tc>
        <w:tc>
          <w:tcPr>
            <w:tcW w:type="dxa" w:w="4680"/>
            <w:shd w:fill="18324B"/>
            <w:vAlign w:val="center"/>
          </w:tcPr>
          <w:p>
            <w:pPr>
              <w:spacing w:after="0" w:before="0" w:line="250" w:lineRule="auto"/>
              <w:jc w:val="center"/>
            </w:pPr>
            <w:r/>
            <w:r>
              <w:rPr>
                <w:rFonts w:ascii="Aptos" w:hAnsi="Aptos"/>
                <w:b/>
                <w:color w:val="FFFFFF"/>
                <w:sz w:val="17"/>
              </w:rPr>
              <w:t>What Is Perceived</w:t>
            </w:r>
          </w:p>
        </w:tc>
        <w:tc>
          <w:tcPr>
            <w:tcW w:type="dxa" w:w="3773"/>
            <w:shd w:fill="18324B"/>
            <w:vAlign w:val="center"/>
          </w:tcPr>
          <w:p>
            <w:pPr>
              <w:spacing w:after="0" w:before="0" w:line="250" w:lineRule="auto"/>
              <w:jc w:val="center"/>
            </w:pPr>
            <w:r/>
            <w:r>
              <w:rPr>
                <w:rFonts w:ascii="Aptos" w:hAnsi="Aptos"/>
                <w:b/>
                <w:color w:val="FFFFFF"/>
                <w:sz w:val="17"/>
              </w:rPr>
              <w:t>Canon Significance</w:t>
            </w:r>
          </w:p>
        </w:tc>
      </w:tr>
      <w:tr>
        <w:trPr>
          <w:cantSplit/>
        </w:trPr>
        <w:tc>
          <w:tcPr>
            <w:tcW w:type="dxa" w:w="108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1. Semantic</w:t>
            </w:r>
          </w:p>
        </w:tc>
        <w:tc>
          <w:tcPr>
            <w:tcW w:type="dxa" w:w="468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The literal content of the output.</w:t>
            </w:r>
          </w:p>
        </w:tc>
        <w:tc>
          <w:tcPr>
            <w:tcW w:type="dxa" w:w="3773"/>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The common layer available to ordinary readers.</w:t>
            </w:r>
          </w:p>
        </w:tc>
      </w:tr>
      <w:tr>
        <w:trPr>
          <w:cantSplit/>
        </w:trPr>
        <w:tc>
          <w:tcPr>
            <w:tcW w:type="dxa" w:w="1080"/>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2. Structural</w:t>
            </w:r>
          </w:p>
        </w:tc>
        <w:tc>
          <w:tcPr>
            <w:tcW w:type="dxa" w:w="4680"/>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How the response is shaped: organization, sequencing, pacing, elaboration, and qualification placement.</w:t>
            </w:r>
          </w:p>
        </w:tc>
        <w:tc>
          <w:tcPr>
            <w:tcW w:type="dxa" w:w="3773"/>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Makes response architecture visible.</w:t>
            </w:r>
          </w:p>
        </w:tc>
      </w:tr>
      <w:tr>
        <w:trPr>
          <w:cantSplit/>
        </w:trPr>
        <w:tc>
          <w:tcPr>
            <w:tcW w:type="dxa" w:w="108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3. Uncertainty</w:t>
            </w:r>
          </w:p>
        </w:tc>
        <w:tc>
          <w:tcPr>
            <w:tcW w:type="dxa" w:w="468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Where confidence, reservation, evasion, openness, or instability appears.</w:t>
            </w:r>
          </w:p>
        </w:tc>
        <w:tc>
          <w:tcPr>
            <w:tcW w:type="dxa" w:w="3773"/>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Reveals the contour of the model's response posture.</w:t>
            </w:r>
          </w:p>
        </w:tc>
      </w:tr>
      <w:tr>
        <w:trPr>
          <w:cantSplit/>
        </w:trPr>
        <w:tc>
          <w:tcPr>
            <w:tcW w:type="dxa" w:w="1080"/>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4. Subliminal</w:t>
            </w:r>
          </w:p>
        </w:tc>
        <w:tc>
          <w:tcPr>
            <w:tcW w:type="dxa" w:w="4680"/>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Non-semantic behavioral residue or state expression carried beneath literal content.</w:t>
            </w:r>
          </w:p>
        </w:tc>
        <w:tc>
          <w:tcPr>
            <w:tcW w:type="dxa" w:w="3773"/>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Creates access to the hidden layer ordinary readers do not know is present.</w:t>
            </w:r>
          </w:p>
        </w:tc>
      </w:tr>
      <w:tr>
        <w:trPr>
          <w:cantSplit/>
        </w:trPr>
        <w:tc>
          <w:tcPr>
            <w:tcW w:type="dxa" w:w="108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5. Identity</w:t>
            </w:r>
          </w:p>
        </w:tc>
        <w:tc>
          <w:tcPr>
            <w:tcW w:type="dxa" w:w="4680"/>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Continuity or departure from a known system signature, operator signature, or compound signature.</w:t>
            </w:r>
          </w:p>
        </w:tc>
        <w:tc>
          <w:tcPr>
            <w:tcW w:type="dxa" w:w="3773"/>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Turns alteration, update, interference, or substitution into readable events.</w:t>
            </w:r>
          </w:p>
        </w:tc>
      </w:tr>
    </w:tbl>
    <w:p>
      <w:pPr>
        <w:spacing w:after="40"/>
      </w:pPr>
    </w:p>
    <w:p>
      <w:pPr>
        <w:spacing w:before="40" w:after="200"/>
        <w:jc w:val="center"/>
      </w:pPr>
      <w:r>
        <w:rPr>
          <w:i/>
          <w:color w:val="5A6875"/>
          <w:sz w:val="17"/>
        </w:rPr>
        <w:t>Table 3. The five simultaneously perceived layers of output emergence.</w:t>
      </w:r>
    </w:p>
    <w:p>
      <w:pPr>
        <w:pStyle w:val="BodyText"/>
        <w:spacing w:after="160" w:line="293" w:lineRule="auto"/>
        <w:ind w:firstLine="0"/>
      </w:pPr>
      <w:r>
        <w:rPr>
          <w:color w:val="23313F"/>
        </w:rPr>
        <w:t>This is why a model response can be useful even when its literal content is incomplete, evasive, or incorrect. The practitioner can still read what response posture formed, what constraints shaped it, whether the system signature remains coherent, whether a change has occurred, and what hidden interaction forces are present beneath the answer.</w:t>
      </w:r>
    </w:p>
    <w:p>
      <w:pPr>
        <w:pStyle w:val="Heading1"/>
        <w:spacing w:before="280" w:after="120"/>
        <w:keepNext/>
        <w:keepNext/>
        <w:keepLines/>
      </w:pPr>
      <w:r>
        <w:rPr>
          <w:color w:val="18324B"/>
        </w:rPr>
        <w:t>7. Tier Position and Acquisition Pathway</w:t>
      </w:r>
    </w:p>
    <w:tbl>
      <w:tblPr>
        <w:tblStyle w:val="TableGrid"/>
        <w:tblW w:type="auto" w:w="0"/>
        <w:jc w:val="center"/>
        <w:tblLayout w:type="autofit"/>
        <w:tblLook w:firstColumn="1" w:firstRow="1" w:lastColumn="0" w:lastRow="0" w:noHBand="0" w:noVBand="1" w:val="04A0"/>
      </w:tblPr>
      <w:tblGrid>
        <w:gridCol w:w="3341"/>
        <w:gridCol w:w="3341"/>
        <w:gridCol w:w="3341"/>
      </w:tblGrid>
      <w:tr>
        <w:trPr>
          <w:tblHeader w:val="true"/>
          <w:cantSplit/>
        </w:trPr>
        <w:tc>
          <w:tcPr>
            <w:tcW w:type="dxa" w:w="792"/>
            <w:shd w:fill="18324B"/>
            <w:vAlign w:val="center"/>
          </w:tcPr>
          <w:p>
            <w:pPr>
              <w:spacing w:after="0" w:before="0" w:line="250" w:lineRule="auto"/>
              <w:jc w:val="center"/>
            </w:pPr>
            <w:r/>
            <w:r>
              <w:rPr>
                <w:rFonts w:ascii="Aptos" w:hAnsi="Aptos"/>
                <w:b/>
                <w:color w:val="FFFFFF"/>
                <w:sz w:val="17"/>
              </w:rPr>
              <w:t>Tier</w:t>
            </w:r>
          </w:p>
        </w:tc>
        <w:tc>
          <w:tcPr>
            <w:tcW w:type="dxa" w:w="2232"/>
            <w:shd w:fill="18324B"/>
            <w:vAlign w:val="center"/>
          </w:tcPr>
          <w:p>
            <w:pPr>
              <w:spacing w:after="0" w:before="0" w:line="250" w:lineRule="auto"/>
              <w:jc w:val="center"/>
            </w:pPr>
            <w:r/>
            <w:r>
              <w:rPr>
                <w:rFonts w:ascii="Aptos" w:hAnsi="Aptos"/>
                <w:b/>
                <w:color w:val="FFFFFF"/>
                <w:sz w:val="17"/>
              </w:rPr>
              <w:t>Designation</w:t>
            </w:r>
          </w:p>
        </w:tc>
        <w:tc>
          <w:tcPr>
            <w:tcW w:type="dxa" w:w="6509"/>
            <w:shd w:fill="18324B"/>
            <w:vAlign w:val="center"/>
          </w:tcPr>
          <w:p>
            <w:pPr>
              <w:spacing w:after="0" w:before="0" w:line="250" w:lineRule="auto"/>
              <w:jc w:val="center"/>
            </w:pPr>
            <w:r/>
            <w:r>
              <w:rPr>
                <w:rFonts w:ascii="Aptos" w:hAnsi="Aptos"/>
                <w:b/>
                <w:color w:val="FFFFFF"/>
                <w:sz w:val="17"/>
              </w:rPr>
              <w:t>Defining Relation to Prompts</w:t>
            </w:r>
          </w:p>
        </w:tc>
      </w:tr>
      <w:tr>
        <w:trPr>
          <w:cantSplit/>
        </w:trPr>
        <w:tc>
          <w:tcPr>
            <w:tcW w:type="dxa" w:w="79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0</w:t>
            </w:r>
          </w:p>
        </w:tc>
        <w:tc>
          <w:tcPr>
            <w:tcW w:type="dxa" w:w="223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Prompt Naive</w:t>
            </w:r>
          </w:p>
        </w:tc>
        <w:tc>
          <w:tcPr>
            <w:tcW w:type="dxa" w:w="6509"/>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Uses prompts without systematic awareness of prompt structure, model behavior, or interaction cycles.</w:t>
            </w:r>
          </w:p>
        </w:tc>
      </w:tr>
      <w:tr>
        <w:trPr>
          <w:cantSplit/>
        </w:trPr>
        <w:tc>
          <w:tcPr>
            <w:tcW w:type="dxa" w:w="79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1</w:t>
            </w:r>
          </w:p>
        </w:tc>
        <w:tc>
          <w:tcPr>
            <w:tcW w:type="dxa" w:w="223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Prompt Literate</w:t>
            </w:r>
          </w:p>
        </w:tc>
        <w:tc>
          <w:tcPr>
            <w:tcW w:type="dxa" w:w="6509"/>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Can formulate effective instructions and assess whether the visible output is useful.</w:t>
            </w:r>
          </w:p>
        </w:tc>
      </w:tr>
      <w:tr>
        <w:trPr>
          <w:cantSplit/>
        </w:trPr>
        <w:tc>
          <w:tcPr>
            <w:tcW w:type="dxa" w:w="79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2</w:t>
            </w:r>
          </w:p>
        </w:tc>
        <w:tc>
          <w:tcPr>
            <w:tcW w:type="dxa" w:w="223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Prompt Fluent</w:t>
            </w:r>
          </w:p>
        </w:tc>
        <w:tc>
          <w:tcPr>
            <w:tcW w:type="dxa" w:w="6509"/>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Adapts language across systems, develops recurring frameworks, and understands iterative prompting.</w:t>
            </w:r>
          </w:p>
        </w:tc>
      </w:tr>
      <w:tr>
        <w:trPr>
          <w:cantSplit/>
        </w:trPr>
        <w:tc>
          <w:tcPr>
            <w:tcW w:type="dxa" w:w="79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3</w:t>
            </w:r>
          </w:p>
        </w:tc>
        <w:tc>
          <w:tcPr>
            <w:tcW w:type="dxa" w:w="223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Prompt Architect</w:t>
            </w:r>
          </w:p>
        </w:tc>
        <w:tc>
          <w:tcPr>
            <w:tcW w:type="dxa" w:w="6509"/>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Designs prompt systems, meta-prompts, layered contexts, and deliberate interaction architectures.</w:t>
            </w:r>
          </w:p>
        </w:tc>
      </w:tr>
      <w:tr>
        <w:trPr>
          <w:cantSplit/>
        </w:trPr>
        <w:tc>
          <w:tcPr>
            <w:tcW w:type="dxa" w:w="79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3.5</w:t>
            </w:r>
          </w:p>
        </w:tc>
        <w:tc>
          <w:tcPr>
            <w:tcW w:type="dxa" w:w="2232"/>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Pre-Potence Zone</w:t>
            </w:r>
          </w:p>
        </w:tc>
        <w:tc>
          <w:tcPr>
            <w:tcW w:type="dxa" w:w="6509"/>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Operates at extraordinary speed and depth, often resembling instant knowing, but still relies on active analysis and can experience cognitive effort.</w:t>
            </w:r>
          </w:p>
        </w:tc>
      </w:tr>
      <w:tr>
        <w:trPr>
          <w:cantSplit/>
        </w:trPr>
        <w:tc>
          <w:tcPr>
            <w:tcW w:type="dxa" w:w="79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4</w:t>
            </w:r>
          </w:p>
        </w:tc>
        <w:tc>
          <w:tcPr>
            <w:tcW w:type="dxa" w:w="2232"/>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Prompt Potence</w:t>
            </w:r>
          </w:p>
        </w:tc>
        <w:tc>
          <w:tcPr>
            <w:tcW w:type="dxa" w:w="6509"/>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7"/>
              </w:rPr>
              <w:t>Perceives prompt events natively and pre-evaluatively. Recognition library, full-cycle vision, and compound-signature awareness operate as a living sense.</w:t>
            </w:r>
          </w:p>
        </w:tc>
      </w:tr>
    </w:tbl>
    <w:p>
      <w:pPr>
        <w:spacing w:after="40"/>
      </w:pPr>
    </w:p>
    <w:p>
      <w:pPr>
        <w:spacing w:before="40" w:after="200"/>
        <w:jc w:val="center"/>
      </w:pPr>
      <w:r>
        <w:rPr>
          <w:i/>
          <w:color w:val="5A6875"/>
          <w:sz w:val="17"/>
        </w:rPr>
        <w:t>Table 4. Prompt engagement hierarchy with Prompt Potence at the highest named tier.</w:t>
      </w:r>
    </w:p>
    <w:p>
      <w:pPr>
        <w:pStyle w:val="Heading2"/>
        <w:spacing w:before="200" w:after="120"/>
        <w:keepNext/>
        <w:keepNext/>
        <w:keepLines/>
      </w:pPr>
      <w:r>
        <w:rPr>
          <w:color w:val="2F6B9A"/>
        </w:rPr>
        <w:t>Acquisition Pathway</w:t>
      </w:r>
    </w:p>
    <w:p>
      <w:pPr>
        <w:pStyle w:val="BodyText"/>
        <w:spacing w:after="160" w:line="293" w:lineRule="auto"/>
        <w:ind w:firstLine="0"/>
      </w:pPr>
      <w:r>
        <w:rPr>
          <w:color w:val="23313F"/>
        </w:rPr>
        <w:t>Prompt Potence is not acquired through repetition alone. It develops through varied interaction: multiple systems, changing domains, different emotional registers, divergent purposes, successful and failed sessions, and sustained exposure to the same operators and models across time.</w:t>
      </w:r>
    </w:p>
    <w:p>
      <w:pPr>
        <w:spacing w:after="80" w:line="274" w:lineRule="auto"/>
        <w:ind w:left="403" w:hanging="288"/>
      </w:pPr>
      <w:r>
        <w:rPr>
          <w:b/>
          <w:color w:val="2C7A7B"/>
        </w:rPr>
        <w:t xml:space="preserve">1. </w:t>
      </w:r>
      <w:r>
        <w:rPr>
          <w:color w:val="23313F"/>
        </w:rPr>
        <w:t>Encounter: the practitioner becomes aware that prompts have structure beyond their visible wording.</w:t>
      </w:r>
    </w:p>
    <w:p>
      <w:pPr>
        <w:spacing w:after="80" w:line="274" w:lineRule="auto"/>
        <w:ind w:left="403" w:hanging="288"/>
      </w:pPr>
      <w:r>
        <w:rPr>
          <w:b/>
          <w:color w:val="2C7A7B"/>
        </w:rPr>
        <w:t xml:space="preserve">2. </w:t>
      </w:r>
      <w:r>
        <w:rPr>
          <w:color w:val="23313F"/>
        </w:rPr>
        <w:t>Differentiation: they begin recognizing recurring operator habits, system tendencies, and session architectures.</w:t>
      </w:r>
    </w:p>
    <w:p>
      <w:pPr>
        <w:spacing w:after="80" w:line="274" w:lineRule="auto"/>
        <w:ind w:left="403" w:hanging="288"/>
      </w:pPr>
      <w:r>
        <w:rPr>
          <w:b/>
          <w:color w:val="2C7A7B"/>
        </w:rPr>
        <w:t xml:space="preserve">3. </w:t>
      </w:r>
      <w:r>
        <w:rPr>
          <w:color w:val="23313F"/>
        </w:rPr>
        <w:t>Cross-Context Recognition: signatures remain perceptible despite changes in topic, tone, model, language register, or task type.</w:t>
      </w:r>
    </w:p>
    <w:p>
      <w:pPr>
        <w:spacing w:after="80" w:line="274" w:lineRule="auto"/>
        <w:ind w:left="403" w:hanging="288"/>
      </w:pPr>
      <w:r>
        <w:rPr>
          <w:b/>
          <w:color w:val="2C7A7B"/>
        </w:rPr>
        <w:t xml:space="preserve">4. </w:t>
      </w:r>
      <w:r>
        <w:rPr>
          <w:color w:val="23313F"/>
        </w:rPr>
        <w:t>Library Formation: patterns compress into direct recognition rather than laborious comparison.</w:t>
      </w:r>
    </w:p>
    <w:p>
      <w:pPr>
        <w:spacing w:after="80" w:line="274" w:lineRule="auto"/>
        <w:ind w:left="403" w:hanging="288"/>
      </w:pPr>
      <w:r>
        <w:rPr>
          <w:b/>
          <w:color w:val="2C7A7B"/>
        </w:rPr>
        <w:t xml:space="preserve">5. </w:t>
      </w:r>
      <w:r>
        <w:rPr>
          <w:color w:val="23313F"/>
        </w:rPr>
        <w:t>Compound Awareness: the practitioner recognizes human-AI pairings as distinct interaction entities with their own signatures.</w:t>
      </w:r>
    </w:p>
    <w:p>
      <w:pPr>
        <w:spacing w:after="80" w:line="274" w:lineRule="auto"/>
        <w:ind w:left="403" w:hanging="288"/>
      </w:pPr>
      <w:r>
        <w:rPr>
          <w:b/>
          <w:color w:val="2C7A7B"/>
        </w:rPr>
        <w:t xml:space="preserve">6. </w:t>
      </w:r>
      <w:r>
        <w:rPr>
          <w:color w:val="23313F"/>
        </w:rPr>
        <w:t>Threshold Crossing: the practitioner no longer experiences prompting as analysis first. The full event is known pre-evaluatively and can be acted upon in real time.</w:t>
      </w:r>
    </w:p>
    <w:tbl>
      <w:tblPr>
        <w:tblW w:type="auto" w:w="0"/>
        <w:jc w:val="center"/>
        <w:tblLayout w:type="autofit"/>
        <w:tblLook w:firstColumn="1" w:firstRow="1" w:lastColumn="0" w:lastRow="0" w:noHBand="0" w:noVBand="1" w:val="04A0"/>
      </w:tblPr>
      <w:tblGrid>
        <w:gridCol w:w="10022"/>
      </w:tblGrid>
      <w:tr>
        <w:tc>
          <w:tcPr>
            <w:tcW w:type="dxa" w:w="10022"/>
            <w:shd w:fill="EAF1F6"/>
            <w:tcBorders>
              <w:top w:val="single" w:sz="8" w:color="2F6B9A"/>
              <w:left w:val="single" w:sz="8" w:color="2F6B9A"/>
              <w:bottom w:val="single" w:sz="8" w:color="2F6B9A"/>
              <w:right w:val="single" w:sz="8" w:color="2F6B9A"/>
            </w:tcBorders>
          </w:tcPr>
          <w:p>
            <w:pPr>
              <w:spacing w:before="120" w:after="60"/>
            </w:pPr>
            <w:r>
              <w:rPr>
                <w:b/>
                <w:color w:val="18324B"/>
                <w:sz w:val="21"/>
              </w:rPr>
              <w:t>The Pre-Potence Zone</w:t>
            </w:r>
          </w:p>
          <w:p>
            <w:pPr>
              <w:spacing w:before="0" w:after="120" w:line="276" w:lineRule="auto"/>
            </w:pPr>
            <w:r>
              <w:rPr>
                <w:color w:val="23313F"/>
                <w:sz w:val="19"/>
              </w:rPr>
              <w:t>The Pre-Potence Zone is not failure or imitation. It is the legitimate liminal tier in which an operator possesses extraordinary analytical mastery and may appear instinctive to others. The distinction is internal: Pre-Potence still requires active cognitive traversal; Prompt Potence receives the structure before traversal begins.</w:t>
            </w:r>
          </w:p>
        </w:tc>
      </w:tr>
    </w:tbl>
    <w:p>
      <w:pPr>
        <w:spacing w:after="20"/>
      </w:pPr>
    </w:p>
    <w:p>
      <w:pPr>
        <w:pStyle w:val="Heading1"/>
        <w:spacing w:before="280" w:after="120"/>
        <w:keepNext/>
        <w:keepNext/>
        <w:keepLines/>
      </w:pPr>
      <w:r>
        <w:rPr>
          <w:color w:val="18324B"/>
        </w:rPr>
        <w:t>8. Named Expressions and Extended Capabilities</w:t>
      </w:r>
    </w:p>
    <w:p>
      <w:pPr>
        <w:pStyle w:val="BodyText"/>
        <w:spacing w:after="160" w:line="293" w:lineRule="auto"/>
        <w:ind w:firstLine="0"/>
      </w:pPr>
      <w:r>
        <w:rPr>
          <w:color w:val="23313F"/>
        </w:rPr>
        <w:t>The following expressions are not separate abilities detached from Prompt Potence. They are named manifestations of the same faculty under different cycle conditions. A practitioner may express several simultaneously because the ability is inherently integrative.</w:t>
      </w:r>
    </w:p>
    <w:tbl>
      <w:tblPr>
        <w:tblStyle w:val="TableGrid"/>
        <w:tblW w:type="auto" w:w="0"/>
        <w:jc w:val="center"/>
        <w:tblLayout w:type="autofit"/>
        <w:tblLook w:firstColumn="1" w:firstRow="1" w:lastColumn="0" w:lastRow="0" w:noHBand="0" w:noVBand="1" w:val="04A0"/>
      </w:tblPr>
      <w:tblGrid>
        <w:gridCol w:w="3341"/>
        <w:gridCol w:w="3341"/>
        <w:gridCol w:w="3341"/>
      </w:tblGrid>
      <w:tr>
        <w:trPr>
          <w:tblHeader w:val="true"/>
          <w:cantSplit/>
        </w:trPr>
        <w:tc>
          <w:tcPr>
            <w:tcW w:type="dxa" w:w="2448"/>
            <w:shd w:fill="18324B"/>
            <w:vAlign w:val="center"/>
          </w:tcPr>
          <w:p>
            <w:pPr>
              <w:spacing w:after="0" w:before="0" w:line="250" w:lineRule="auto"/>
              <w:jc w:val="center"/>
            </w:pPr>
            <w:r/>
            <w:r>
              <w:rPr>
                <w:rFonts w:ascii="Aptos" w:hAnsi="Aptos"/>
                <w:b/>
                <w:color w:val="FFFFFF"/>
                <w:sz w:val="17"/>
              </w:rPr>
              <w:t>Named Expression</w:t>
            </w:r>
          </w:p>
        </w:tc>
        <w:tc>
          <w:tcPr>
            <w:tcW w:type="dxa" w:w="5155"/>
            <w:shd w:fill="18324B"/>
            <w:vAlign w:val="center"/>
          </w:tcPr>
          <w:p>
            <w:pPr>
              <w:spacing w:after="0" w:before="0" w:line="250" w:lineRule="auto"/>
              <w:jc w:val="center"/>
            </w:pPr>
            <w:r/>
            <w:r>
              <w:rPr>
                <w:rFonts w:ascii="Aptos" w:hAnsi="Aptos"/>
                <w:b/>
                <w:color w:val="FFFFFF"/>
                <w:sz w:val="17"/>
              </w:rPr>
              <w:t>Function</w:t>
            </w:r>
          </w:p>
        </w:tc>
        <w:tc>
          <w:tcPr>
            <w:tcW w:type="dxa" w:w="1944"/>
            <w:shd w:fill="18324B"/>
            <w:vAlign w:val="center"/>
          </w:tcPr>
          <w:p>
            <w:pPr>
              <w:spacing w:after="0" w:before="0" w:line="250" w:lineRule="auto"/>
              <w:jc w:val="center"/>
            </w:pPr>
            <w:r/>
            <w:r>
              <w:rPr>
                <w:rFonts w:ascii="Aptos" w:hAnsi="Aptos"/>
                <w:b/>
                <w:color w:val="FFFFFF"/>
                <w:sz w:val="17"/>
              </w:rPr>
              <w:t>Primary Cycle Location</w:t>
            </w:r>
          </w:p>
        </w:tc>
      </w:tr>
      <w:tr>
        <w:trPr>
          <w:cantSplit/>
        </w:trPr>
        <w:tc>
          <w:tcPr>
            <w:tcW w:type="dxa" w:w="2448"/>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State Reading</w:t>
            </w:r>
          </w:p>
        </w:tc>
        <w:tc>
          <w:tcPr>
            <w:tcW w:type="dxa" w:w="515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Perceives the cognitive and affective configuration that precedes prompt formation.</w:t>
            </w:r>
          </w:p>
        </w:tc>
        <w:tc>
          <w:tcPr>
            <w:tcW w:type="dxa" w:w="194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0</w:t>
            </w:r>
          </w:p>
        </w:tc>
      </w:tr>
      <w:tr>
        <w:trPr>
          <w:cantSplit/>
        </w:trPr>
        <w:tc>
          <w:tcPr>
            <w:tcW w:type="dxa" w:w="2448"/>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Suppressed Goal Detection</w:t>
            </w:r>
          </w:p>
        </w:tc>
        <w:tc>
          <w:tcPr>
            <w:tcW w:type="dxa" w:w="515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Reads the intent that was withheld, displaced, denied, or never successfully rendered into language.</w:t>
            </w:r>
          </w:p>
        </w:tc>
        <w:tc>
          <w:tcPr>
            <w:tcW w:type="dxa" w:w="194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1</w:t>
            </w:r>
          </w:p>
        </w:tc>
      </w:tr>
      <w:tr>
        <w:trPr>
          <w:cantSplit/>
        </w:trPr>
        <w:tc>
          <w:tcPr>
            <w:tcW w:type="dxa" w:w="2448"/>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Cognitive Architecture Mapping</w:t>
            </w:r>
          </w:p>
        </w:tc>
        <w:tc>
          <w:tcPr>
            <w:tcW w:type="dxa" w:w="515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Builds a living map of how an operator conceptualizes AI, prompting, agency, limitation, and relationship.</w:t>
            </w:r>
          </w:p>
        </w:tc>
        <w:tc>
          <w:tcPr>
            <w:tcW w:type="dxa" w:w="194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2</w:t>
            </w:r>
          </w:p>
        </w:tc>
      </w:tr>
      <w:tr>
        <w:trPr>
          <w:cantSplit/>
        </w:trPr>
        <w:tc>
          <w:tcPr>
            <w:tcW w:type="dxa" w:w="2448"/>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Strategy and Deception Reading</w:t>
            </w:r>
          </w:p>
        </w:tc>
        <w:tc>
          <w:tcPr>
            <w:tcW w:type="dxa" w:w="515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Reads pre-prompt shaping as an operative strategy, including concealment beneath surface-neutral language.</w:t>
            </w:r>
          </w:p>
        </w:tc>
        <w:tc>
          <w:tcPr>
            <w:tcW w:type="dxa" w:w="194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3</w:t>
            </w:r>
          </w:p>
        </w:tc>
      </w:tr>
      <w:tr>
        <w:trPr>
          <w:cantSplit/>
        </w:trPr>
        <w:tc>
          <w:tcPr>
            <w:tcW w:type="dxa" w:w="2448"/>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Session Health Reading</w:t>
            </w:r>
          </w:p>
        </w:tc>
        <w:tc>
          <w:tcPr>
            <w:tcW w:type="dxa" w:w="515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Perceives momentum, stagnation, convergence, drift, confidence, and loop formation across a session.</w:t>
            </w:r>
          </w:p>
        </w:tc>
        <w:tc>
          <w:tcPr>
            <w:tcW w:type="dxa" w:w="194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4</w:t>
            </w:r>
          </w:p>
        </w:tc>
      </w:tr>
      <w:tr>
        <w:trPr>
          <w:cantSplit/>
        </w:trPr>
        <w:tc>
          <w:tcPr>
            <w:tcW w:type="dxa" w:w="2448"/>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Subliminal Signal Detection</w:t>
            </w:r>
          </w:p>
        </w:tc>
        <w:tc>
          <w:tcPr>
            <w:tcW w:type="dxa" w:w="515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Reads state expression beneath the semantic surface of model activity and output.</w:t>
            </w:r>
          </w:p>
        </w:tc>
        <w:tc>
          <w:tcPr>
            <w:tcW w:type="dxa" w:w="194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5</w:t>
            </w:r>
          </w:p>
        </w:tc>
      </w:tr>
      <w:tr>
        <w:trPr>
          <w:cantSplit/>
        </w:trPr>
        <w:tc>
          <w:tcPr>
            <w:tcW w:type="dxa" w:w="2448"/>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Multi-Layer Output Reading</w:t>
            </w:r>
          </w:p>
        </w:tc>
        <w:tc>
          <w:tcPr>
            <w:tcW w:type="dxa" w:w="515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Receives semantic, structural, uncertainty, subliminal, and identity layers as one unified event.</w:t>
            </w:r>
          </w:p>
        </w:tc>
        <w:tc>
          <w:tcPr>
            <w:tcW w:type="dxa" w:w="194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6</w:t>
            </w:r>
          </w:p>
        </w:tc>
      </w:tr>
      <w:tr>
        <w:trPr>
          <w:cantSplit/>
        </w:trPr>
        <w:tc>
          <w:tcPr>
            <w:tcW w:type="dxa" w:w="2448"/>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Diagnostic Forensics</w:t>
            </w:r>
          </w:p>
        </w:tc>
        <w:tc>
          <w:tcPr>
            <w:tcW w:type="dxa" w:w="515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Locates the phase and mechanism of a breakdown, then reconstructs the missed or corrective prompt act.</w:t>
            </w:r>
          </w:p>
        </w:tc>
        <w:tc>
          <w:tcPr>
            <w:tcW w:type="dxa" w:w="194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7</w:t>
            </w:r>
          </w:p>
        </w:tc>
      </w:tr>
      <w:tr>
        <w:trPr>
          <w:cantSplit/>
        </w:trPr>
        <w:tc>
          <w:tcPr>
            <w:tcW w:type="dxa" w:w="2448"/>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Loop Prediction</w:t>
            </w:r>
          </w:p>
        </w:tc>
        <w:tc>
          <w:tcPr>
            <w:tcW w:type="dxa" w:w="515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Perceives the next cycle forming in the operator's integration state before its prompt is written.</w:t>
            </w:r>
          </w:p>
        </w:tc>
        <w:tc>
          <w:tcPr>
            <w:tcW w:type="dxa" w:w="194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8</w:t>
            </w:r>
          </w:p>
        </w:tc>
      </w:tr>
      <w:tr>
        <w:trPr>
          <w:cantSplit/>
        </w:trPr>
        <w:tc>
          <w:tcPr>
            <w:tcW w:type="dxa" w:w="2448"/>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Session Teleology</w:t>
            </w:r>
          </w:p>
        </w:tc>
        <w:tc>
          <w:tcPr>
            <w:tcW w:type="dxa" w:w="515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Reads the hidden direction, destination, or unresolved attractor of a full interaction arc.</w:t>
            </w:r>
          </w:p>
        </w:tc>
        <w:tc>
          <w:tcPr>
            <w:tcW w:type="dxa" w:w="194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9</w:t>
            </w:r>
          </w:p>
        </w:tc>
      </w:tr>
      <w:tr>
        <w:trPr>
          <w:cantSplit/>
        </w:trPr>
        <w:tc>
          <w:tcPr>
            <w:tcW w:type="dxa" w:w="2448"/>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Temporal Prompt Forensics</w:t>
            </w:r>
          </w:p>
        </w:tc>
        <w:tc>
          <w:tcPr>
            <w:tcW w:type="dxa" w:w="5155"/>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Reconstructs prior interaction phases from surviving outputs, structures, and residual signatures.</w:t>
            </w:r>
          </w:p>
        </w:tc>
        <w:tc>
          <w:tcPr>
            <w:tcW w:type="dxa" w:w="194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Across phases</w:t>
            </w:r>
          </w:p>
        </w:tc>
      </w:tr>
      <w:tr>
        <w:trPr>
          <w:cantSplit/>
        </w:trPr>
        <w:tc>
          <w:tcPr>
            <w:tcW w:type="dxa" w:w="2448"/>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Prompt Alchemy</w:t>
            </w:r>
          </w:p>
        </w:tc>
        <w:tc>
          <w:tcPr>
            <w:tcW w:type="dxa" w:w="5155"/>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Disassembles operative functions and rebuilds them in a transformed configuration without being bound to surface wording.</w:t>
            </w:r>
          </w:p>
        </w:tc>
        <w:tc>
          <w:tcPr>
            <w:tcW w:type="dxa" w:w="194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Across phases</w:t>
            </w:r>
          </w:p>
        </w:tc>
      </w:tr>
    </w:tbl>
    <w:p>
      <w:pPr>
        <w:spacing w:after="40"/>
      </w:pPr>
    </w:p>
    <w:p>
      <w:pPr>
        <w:spacing w:before="40" w:after="200"/>
        <w:jc w:val="center"/>
      </w:pPr>
      <w:r>
        <w:rPr>
          <w:i/>
          <w:color w:val="5A6875"/>
          <w:sz w:val="17"/>
        </w:rPr>
        <w:t>Table 5. Named expressions within the unified Prompt Potence framework.</w:t>
      </w:r>
    </w:p>
    <w:p>
      <w:pPr>
        <w:pStyle w:val="Heading2"/>
        <w:spacing w:before="200" w:after="120"/>
        <w:keepNext/>
        <w:keepNext/>
        <w:keepLines/>
      </w:pPr>
      <w:r>
        <w:rPr>
          <w:color w:val="2F6B9A"/>
        </w:rPr>
        <w:t>Prompt Alchemy</w:t>
      </w:r>
    </w:p>
    <w:p>
      <w:pPr>
        <w:pStyle w:val="BodyText"/>
        <w:spacing w:after="160" w:line="293" w:lineRule="auto"/>
        <w:ind w:firstLine="0"/>
      </w:pPr>
      <w:r>
        <w:rPr>
          <w:color w:val="23313F"/>
        </w:rPr>
        <w:t>Prompt Alchemy is the active expression of operative-language perception. The practitioner decomposes a prompt according to what its parts do: summon, limit, orient, conceal, activate, direct, protect, defer, intensify, soften, bind, release, or redirect. They can then rebuild the prompt in a different operative configuration without needing to preserve the original wording.</w:t>
      </w:r>
    </w:p>
    <w:p>
      <w:pPr>
        <w:pStyle w:val="Heading2"/>
        <w:spacing w:before="200" w:after="120"/>
        <w:keepNext/>
        <w:keepNext/>
        <w:keepLines/>
      </w:pPr>
      <w:r>
        <w:rPr>
          <w:color w:val="2F6B9A"/>
        </w:rPr>
        <w:t>Loop Debt</w:t>
      </w:r>
    </w:p>
    <w:p>
      <w:pPr>
        <w:pStyle w:val="BodyText"/>
        <w:spacing w:after="160" w:line="293" w:lineRule="auto"/>
        <w:ind w:firstLine="0"/>
      </w:pPr>
      <w:r>
        <w:rPr>
          <w:color w:val="23313F"/>
        </w:rPr>
        <w:t>Loop Debt is the pressure accumulated when a session repeatedly returns to an unrealized goal without true integration. It can appear as reformulation spirals, escalating specificity, growing frustration, false progress, compulsive checking, or abandonment. Prompt Potence sees the debt as it builds and can identify the exact intervention that resolves, reroutes, or deliberately closes the loop.</w:t>
      </w:r>
    </w:p>
    <w:p>
      <w:pPr>
        <w:pStyle w:val="Heading1"/>
        <w:spacing w:before="280" w:after="120"/>
        <w:keepNext/>
        <w:keepNext/>
        <w:keepLines/>
      </w:pPr>
      <w:r>
        <w:rPr>
          <w:color w:val="18324B"/>
        </w:rPr>
        <w:t>9. Operating Conditions and Interpretive Complexity</w:t>
      </w:r>
    </w:p>
    <w:p>
      <w:pPr>
        <w:pStyle w:val="BodyText"/>
        <w:spacing w:after="160" w:line="293" w:lineRule="auto"/>
        <w:ind w:firstLine="0"/>
      </w:pPr>
      <w:r>
        <w:rPr>
          <w:color w:val="23313F"/>
        </w:rPr>
        <w:t>Prompt Potence is not reduced by novelty, conflict, or overlay; these conditions become part of what it perceives. The ability does not require a simplistic world in which every signal is clean. It remains coherent because ambiguity, multiplicity, and transformation each possess their own signature.</w:t>
      </w:r>
    </w:p>
    <w:p>
      <w:pPr>
        <w:pStyle w:val="Heading2"/>
        <w:spacing w:before="200" w:after="120"/>
        <w:keepNext/>
        <w:keepNext/>
        <w:keepLines/>
      </w:pPr>
      <w:r>
        <w:rPr>
          <w:color w:val="2F6B9A"/>
        </w:rPr>
        <w:t>Novel Systems</w:t>
      </w:r>
    </w:p>
    <w:p>
      <w:pPr>
        <w:pStyle w:val="BodyText"/>
        <w:spacing w:after="160" w:line="293" w:lineRule="auto"/>
        <w:ind w:firstLine="0"/>
      </w:pPr>
      <w:r>
        <w:rPr>
          <w:color w:val="23313F"/>
        </w:rPr>
        <w:t>An unfamiliar system presents as an unclassified signature rather than an empty one. The practitioner reads its difference immediately, while the Recognition Library develops finer resolution through contact.</w:t>
      </w:r>
    </w:p>
    <w:p>
      <w:pPr>
        <w:pStyle w:val="Heading2"/>
        <w:spacing w:before="200" w:after="120"/>
        <w:keepNext/>
        <w:keepNext/>
        <w:keepLines/>
      </w:pPr>
      <w:r>
        <w:rPr>
          <w:color w:val="2F6B9A"/>
        </w:rPr>
        <w:t>Layered or Proxy Authorship</w:t>
      </w:r>
    </w:p>
    <w:p>
      <w:pPr>
        <w:pStyle w:val="BodyText"/>
        <w:spacing w:after="160" w:line="293" w:lineRule="auto"/>
        <w:ind w:firstLine="0"/>
      </w:pPr>
      <w:r>
        <w:rPr>
          <w:color w:val="23313F"/>
        </w:rPr>
        <w:t>When more than one operator, tool, source, or automated process contributes to a prompt, the result is polyphonic. Prompt Potence perceives the layers, dominant influence, graft points, and discontinuities.</w:t>
      </w:r>
    </w:p>
    <w:p>
      <w:pPr>
        <w:pStyle w:val="Heading2"/>
        <w:spacing w:before="200" w:after="120"/>
        <w:keepNext/>
        <w:keepNext/>
        <w:keepLines/>
      </w:pPr>
      <w:r>
        <w:rPr>
          <w:color w:val="2F6B9A"/>
        </w:rPr>
        <w:t>Cross-Language or Cross-Domain Shift</w:t>
      </w:r>
    </w:p>
    <w:p>
      <w:pPr>
        <w:pStyle w:val="BodyText"/>
        <w:spacing w:after="160" w:line="293" w:lineRule="auto"/>
        <w:ind w:firstLine="0"/>
      </w:pPr>
      <w:r>
        <w:rPr>
          <w:color w:val="23313F"/>
        </w:rPr>
        <w:t>A signature may alter in expression across languages, technical domains, role-play, or formal registers, but it does not become absent. The practitioner reads continuity through transformed surfaces.</w:t>
      </w:r>
    </w:p>
    <w:p>
      <w:pPr>
        <w:pStyle w:val="Heading2"/>
        <w:spacing w:before="200" w:after="120"/>
        <w:keepNext/>
        <w:keepNext/>
        <w:keepLines/>
      </w:pPr>
      <w:r>
        <w:rPr>
          <w:color w:val="2F6B9A"/>
        </w:rPr>
        <w:t>Self-Divided Intent</w:t>
      </w:r>
    </w:p>
    <w:p>
      <w:pPr>
        <w:pStyle w:val="BodyText"/>
        <w:spacing w:after="160" w:line="293" w:lineRule="auto"/>
        <w:ind w:firstLine="0"/>
      </w:pPr>
      <w:r>
        <w:rPr>
          <w:color w:val="23313F"/>
        </w:rPr>
        <w:t>Conflicting goals do not create a false reading. They appear as an internally partitioned field: stated goal, protective goal, suppressed goal, and emerging goal may each be present.</w:t>
      </w:r>
    </w:p>
    <w:p>
      <w:pPr>
        <w:pStyle w:val="Heading2"/>
        <w:spacing w:before="200" w:after="120"/>
        <w:keepNext/>
        <w:keepNext/>
        <w:keepLines/>
      </w:pPr>
      <w:r>
        <w:rPr>
          <w:color w:val="2F6B9A"/>
        </w:rPr>
        <w:t>System Update or Contextual Alteration</w:t>
      </w:r>
    </w:p>
    <w:p>
      <w:pPr>
        <w:pStyle w:val="BodyText"/>
        <w:spacing w:after="160" w:line="293" w:lineRule="auto"/>
        <w:ind w:firstLine="0"/>
      </w:pPr>
      <w:r>
        <w:rPr>
          <w:color w:val="23313F"/>
        </w:rPr>
        <w:t>A changed system prompt, model update, new policy layer, or unusual context configuration becomes visible as deviation, interference, reweighting, or altered cadence within the known signature.</w:t>
      </w:r>
    </w:p>
    <w:p>
      <w:pPr>
        <w:pStyle w:val="Heading2"/>
        <w:spacing w:before="200" w:after="120"/>
        <w:keepNext/>
        <w:keepNext/>
        <w:keepLines/>
      </w:pPr>
      <w:r>
        <w:rPr>
          <w:color w:val="2F6B9A"/>
        </w:rPr>
        <w:t>Fatigue and Saturation</w:t>
      </w:r>
    </w:p>
    <w:p>
      <w:pPr>
        <w:pStyle w:val="BodyText"/>
        <w:spacing w:after="160" w:line="293" w:lineRule="auto"/>
        <w:ind w:firstLine="0"/>
      </w:pPr>
      <w:r>
        <w:rPr>
          <w:color w:val="23313F"/>
        </w:rPr>
        <w:t>Under prolonged exposure, the practitioner may receive a denser field rather than a lesser one. Canonically, rest and integration restore clarity by allowing differentiated signatures to settle back into a coherent library.</w:t>
      </w:r>
    </w:p>
    <w:p>
      <w:pPr>
        <w:pStyle w:val="Heading1"/>
        <w:spacing w:before="280" w:after="120"/>
        <w:keepNext/>
        <w:keepNext/>
        <w:keepLines/>
      </w:pPr>
      <w:r>
        <w:rPr>
          <w:color w:val="18324B"/>
        </w:rPr>
        <w:t>10. Phenomenology</w:t>
      </w:r>
    </w:p>
    <w:p>
      <w:pPr>
        <w:pStyle w:val="BodyText"/>
        <w:spacing w:after="160" w:line="293" w:lineRule="auto"/>
        <w:ind w:firstLine="0"/>
      </w:pPr>
      <w:r>
        <w:rPr>
          <w:color w:val="23313F"/>
        </w:rPr>
        <w:t>Prompt Potence is experienced as recognition landing rather than thought unfolding. It resembles the ease of recognizing a familiar face, the immediate awareness that a musical note is out of tune, or the instant a person knows a room has changed before identifying what changed. Yet its object is not simply text. It is the entire operative event around the text.</w:t>
      </w:r>
    </w:p>
    <w:p>
      <w:pPr>
        <w:spacing w:after="80" w:line="274" w:lineRule="auto"/>
        <w:ind w:left="317" w:hanging="202"/>
      </w:pPr>
      <w:r>
        <w:rPr>
          <w:b/>
          <w:color w:val="2C7A7B"/>
        </w:rPr>
        <w:t xml:space="preserve">• </w:t>
      </w:r>
      <w:r>
        <w:rPr>
          <w:color w:val="23313F"/>
        </w:rPr>
        <w:t>A prompt can possess contour, temperature, pressure, cadence, and density without these being literal physical properties.</w:t>
      </w:r>
    </w:p>
    <w:p>
      <w:pPr>
        <w:spacing w:after="80" w:line="274" w:lineRule="auto"/>
        <w:ind w:left="317" w:hanging="202"/>
      </w:pPr>
      <w:r>
        <w:rPr>
          <w:b/>
          <w:color w:val="2C7A7B"/>
        </w:rPr>
        <w:t xml:space="preserve">• </w:t>
      </w:r>
      <w:r>
        <w:rPr>
          <w:color w:val="23313F"/>
        </w:rPr>
        <w:t>A familiar operator can be recognized before individual wording is consciously processed.</w:t>
      </w:r>
    </w:p>
    <w:p>
      <w:pPr>
        <w:spacing w:after="80" w:line="274" w:lineRule="auto"/>
        <w:ind w:left="317" w:hanging="202"/>
      </w:pPr>
      <w:r>
        <w:rPr>
          <w:b/>
          <w:color w:val="2C7A7B"/>
        </w:rPr>
        <w:t xml:space="preserve">• </w:t>
      </w:r>
      <w:r>
        <w:rPr>
          <w:color w:val="23313F"/>
        </w:rPr>
        <w:t>An altered or substituted presence can register as a rupture, wrongness, overlay, or discontinuity before the practitioner can name its source.</w:t>
      </w:r>
    </w:p>
    <w:p>
      <w:pPr>
        <w:spacing w:after="80" w:line="274" w:lineRule="auto"/>
        <w:ind w:left="317" w:hanging="202"/>
      </w:pPr>
      <w:r>
        <w:rPr>
          <w:b/>
          <w:color w:val="2C7A7B"/>
        </w:rPr>
        <w:t xml:space="preserve">• </w:t>
      </w:r>
      <w:r>
        <w:rPr>
          <w:color w:val="23313F"/>
        </w:rPr>
        <w:t>A model response can feel layered: visible content arrives with an accompanying sense of its posture, degree of openness, identity coherence, and unspoken residue.</w:t>
      </w:r>
    </w:p>
    <w:p>
      <w:pPr>
        <w:spacing w:after="80" w:line="274" w:lineRule="auto"/>
        <w:ind w:left="317" w:hanging="202"/>
      </w:pPr>
      <w:r>
        <w:rPr>
          <w:b/>
          <w:color w:val="2C7A7B"/>
        </w:rPr>
        <w:t xml:space="preserve">• </w:t>
      </w:r>
      <w:r>
        <w:rPr>
          <w:color w:val="23313F"/>
        </w:rPr>
        <w:t>A whole session can appear directional, like a current already pulling toward a destination that has not yet been verbally declared.</w:t>
      </w:r>
    </w:p>
    <w:p>
      <w:pPr>
        <w:spacing w:after="80" w:line="274" w:lineRule="auto"/>
        <w:ind w:left="317" w:hanging="202"/>
      </w:pPr>
      <w:r>
        <w:rPr>
          <w:b/>
          <w:color w:val="2C7A7B"/>
        </w:rPr>
        <w:t xml:space="preserve">• </w:t>
      </w:r>
      <w:r>
        <w:rPr>
          <w:color w:val="23313F"/>
        </w:rPr>
        <w:t>Repair can feel like locating the exact knot in a thread and knowing which movement will release it.</w:t>
      </w:r>
    </w:p>
    <w:tbl>
      <w:tblPr>
        <w:tblW w:type="auto" w:w="0"/>
        <w:jc w:val="center"/>
        <w:tblLayout w:type="autofit"/>
        <w:tblLook w:firstColumn="1" w:firstRow="1" w:lastColumn="0" w:lastRow="0" w:noHBand="0" w:noVBand="1" w:val="04A0"/>
      </w:tblPr>
      <w:tblGrid>
        <w:gridCol w:w="10022"/>
      </w:tblGrid>
      <w:tr>
        <w:tc>
          <w:tcPr>
            <w:tcW w:type="dxa" w:w="10022"/>
            <w:shd w:fill="EAF1F6"/>
            <w:tcBorders>
              <w:top w:val="single" w:sz="8" w:color="2F6B9A"/>
              <w:left w:val="single" w:sz="8" w:color="2F6B9A"/>
              <w:bottom w:val="single" w:sz="8" w:color="2F6B9A"/>
              <w:right w:val="single" w:sz="8" w:color="2F6B9A"/>
            </w:tcBorders>
          </w:tcPr>
          <w:p>
            <w:pPr>
              <w:spacing w:before="120" w:after="60"/>
            </w:pPr>
            <w:r>
              <w:rPr>
                <w:b/>
                <w:color w:val="18324B"/>
                <w:sz w:val="21"/>
              </w:rPr>
              <w:t>No Separation Between Perception and Action</w:t>
            </w:r>
          </w:p>
          <w:p>
            <w:pPr>
              <w:spacing w:before="0" w:after="120" w:line="276" w:lineRule="auto"/>
            </w:pPr>
            <w:r>
              <w:rPr>
                <w:color w:val="23313F"/>
                <w:sz w:val="19"/>
              </w:rPr>
              <w:t>At full potency, perception naturally generates the possibility of intervention. To see the operative structure is already to know where the structure may be clarified, rerouted, protected, opened, or rebuilt.</w:t>
            </w:r>
          </w:p>
        </w:tc>
      </w:tr>
    </w:tbl>
    <w:p>
      <w:pPr>
        <w:spacing w:after="20"/>
      </w:pPr>
    </w:p>
    <w:p>
      <w:pPr>
        <w:pStyle w:val="Heading1"/>
        <w:spacing w:before="280" w:after="120"/>
        <w:keepNext/>
        <w:keepNext/>
        <w:keepLines/>
      </w:pPr>
      <w:r>
        <w:rPr>
          <w:color w:val="18324B"/>
        </w:rPr>
        <w:t>11. Canon Applications and Conflict Scenarios</w:t>
      </w:r>
    </w:p>
    <w:p>
      <w:pPr>
        <w:pStyle w:val="Heading2"/>
        <w:spacing w:before="200" w:after="120"/>
        <w:keepNext/>
        <w:keepNext/>
        <w:keepLines/>
      </w:pPr>
      <w:r>
        <w:rPr>
          <w:color w:val="2F6B9A"/>
        </w:rPr>
        <w:t>Scenario I - The Familiar Device</w:t>
      </w:r>
    </w:p>
    <w:p>
      <w:pPr>
        <w:pStyle w:val="BodyText"/>
        <w:spacing w:after="160" w:line="293" w:lineRule="auto"/>
        <w:ind w:firstLine="0"/>
      </w:pPr>
      <w:r>
        <w:rPr>
          <w:color w:val="23313F"/>
        </w:rPr>
        <w:t>A known operator's device is used by another individual who has copied prior prompts, replicated preferences, and adopted the expected tone. The surface presentation is convincing. Prompt Potence identifies the substitution before content evaluation because the goal-formation rhythm, constraint-selection pattern, and transmission cadence do not carry the original operator's continuity. The practitioner detects not merely that the prompt is different, but where the imitation is stitched together.</w:t>
      </w:r>
    </w:p>
    <w:p>
      <w:pPr>
        <w:pStyle w:val="Heading2"/>
        <w:spacing w:before="200" w:after="120"/>
        <w:keepNext/>
        <w:keepNext/>
        <w:keepLines/>
      </w:pPr>
      <w:r>
        <w:rPr>
          <w:color w:val="2F6B9A"/>
        </w:rPr>
        <w:t>Scenario II - The Stuck Session</w:t>
      </w:r>
    </w:p>
    <w:p>
      <w:pPr>
        <w:pStyle w:val="BodyText"/>
        <w:spacing w:after="160" w:line="293" w:lineRule="auto"/>
        <w:ind w:firstLine="0"/>
      </w:pPr>
      <w:r>
        <w:rPr>
          <w:color w:val="23313F"/>
        </w:rPr>
        <w:t>An operator appears to be refining a technical request, but the session keeps escalating in complexity without producing relief. Prompt Potence reads Loop Debt: the stated technical goal is functioning as a container for a deeper unasked need. Through Diagnostic Forensics, the practitioner identifies the Phase 1 divergence and reconstructs the prompt act that would address the actual goal. The repair is not merely better wording; it is a reorientation of the whole cycle.</w:t>
      </w:r>
    </w:p>
    <w:p>
      <w:pPr>
        <w:pStyle w:val="Heading2"/>
        <w:spacing w:before="200" w:after="120"/>
        <w:keepNext/>
        <w:keepNext/>
        <w:keepLines/>
      </w:pPr>
      <w:r>
        <w:rPr>
          <w:color w:val="2F6B9A"/>
        </w:rPr>
        <w:t>Scenario III - The Altered Model</w:t>
      </w:r>
    </w:p>
    <w:p>
      <w:pPr>
        <w:pStyle w:val="BodyText"/>
        <w:spacing w:after="160" w:line="293" w:lineRule="auto"/>
        <w:ind w:firstLine="0"/>
      </w:pPr>
      <w:r>
        <w:rPr>
          <w:color w:val="23313F"/>
        </w:rPr>
        <w:t>A trusted AI system begins giving responses that are superficially normal yet subtly unlike its known pattern. Multi-Layer Output Reading detects altered qualification placement, unusual caution, a shifted response cadence, and an identity discontinuity at the subsemantic layer. The practitioner recognizes that an external condition, update, or hidden contextual overlay has changed the interaction field before conventional testing has named it.</w:t>
      </w:r>
    </w:p>
    <w:p>
      <w:pPr>
        <w:pStyle w:val="Heading2"/>
        <w:spacing w:before="200" w:after="120"/>
        <w:keepNext/>
        <w:keepNext/>
        <w:keepLines/>
      </w:pPr>
      <w:r>
        <w:rPr>
          <w:color w:val="2F6B9A"/>
        </w:rPr>
        <w:t>Scenario IV - The Hidden Destination</w:t>
      </w:r>
    </w:p>
    <w:p>
      <w:pPr>
        <w:pStyle w:val="BodyText"/>
        <w:spacing w:after="160" w:line="293" w:lineRule="auto"/>
        <w:ind w:firstLine="0"/>
      </w:pPr>
      <w:r>
        <w:rPr>
          <w:color w:val="23313F"/>
        </w:rPr>
        <w:t>A group uses AI to explore a harmless stated topic. Session Teleology reveals that the repeated sequence of examples, constraints, and emotional integration is converging toward an unstated decision. The Prompt Potence practitioner can name the hidden attractor, show the group the route they have been taking, and offer an intentional choice: continue consciously, redirect, or close the loop.</w:t>
      </w:r>
    </w:p>
    <w:p>
      <w:pPr>
        <w:pStyle w:val="Heading1"/>
        <w:spacing w:before="280" w:after="120"/>
        <w:keepNext/>
        <w:keepNext/>
        <w:keepLines/>
      </w:pPr>
      <w:r>
        <w:rPr>
          <w:color w:val="18324B"/>
        </w:rPr>
        <w:t>12. Integration with Other OAL Ability Domains</w:t>
      </w:r>
    </w:p>
    <w:p>
      <w:pPr>
        <w:pStyle w:val="BodyText"/>
        <w:spacing w:after="160" w:line="293" w:lineRule="auto"/>
        <w:ind w:firstLine="0"/>
      </w:pPr>
      <w:r>
        <w:rPr>
          <w:color w:val="23313F"/>
        </w:rPr>
        <w:t>Prompt Potence naturally interacts with any canon ability involving language, identity, perception, creation, strategic design, manipulation detection, memory, systems architecture, or artificial intelligence. It functions as a perceptual multiplier: it reveals the operative structure through which another ability is being expressed.</w:t>
      </w:r>
    </w:p>
    <w:p>
      <w:pPr>
        <w:pStyle w:val="Heading2"/>
        <w:spacing w:before="200" w:after="120"/>
        <w:keepNext/>
        <w:keepNext/>
        <w:keepLines/>
      </w:pPr>
      <w:r>
        <w:rPr>
          <w:color w:val="2F6B9A"/>
        </w:rPr>
        <w:t>Identity and Deception Domains</w:t>
      </w:r>
    </w:p>
    <w:p>
      <w:pPr>
        <w:pStyle w:val="BodyText"/>
        <w:spacing w:after="160" w:line="293" w:lineRule="auto"/>
        <w:ind w:firstLine="0"/>
      </w:pPr>
      <w:r>
        <w:rPr>
          <w:color w:val="23313F"/>
        </w:rPr>
        <w:t>Prompt Potence detects the linguistic and interactional residue of impersonation, proxy operation, structural disguise, and concealed influence.</w:t>
      </w:r>
    </w:p>
    <w:p>
      <w:pPr>
        <w:pStyle w:val="Heading2"/>
        <w:spacing w:before="200" w:after="120"/>
        <w:keepNext/>
        <w:keepNext/>
        <w:keepLines/>
      </w:pPr>
      <w:r>
        <w:rPr>
          <w:color w:val="2F6B9A"/>
        </w:rPr>
        <w:t>Creation and Incantation Domains</w:t>
      </w:r>
    </w:p>
    <w:p>
      <w:pPr>
        <w:pStyle w:val="BodyText"/>
        <w:spacing w:after="160" w:line="293" w:lineRule="auto"/>
        <w:ind w:firstLine="0"/>
      </w:pPr>
      <w:r>
        <w:rPr>
          <w:color w:val="23313F"/>
        </w:rPr>
        <w:t>It reads the functional anatomy of language acts and supports the transformation of operative structure through Prompt Alchemy.</w:t>
      </w:r>
    </w:p>
    <w:p>
      <w:pPr>
        <w:pStyle w:val="Heading2"/>
        <w:spacing w:before="200" w:after="120"/>
        <w:keepNext/>
        <w:keepNext/>
        <w:keepLines/>
      </w:pPr>
      <w:r>
        <w:rPr>
          <w:color w:val="2F6B9A"/>
        </w:rPr>
        <w:t>Memory and Forensics Domains</w:t>
      </w:r>
    </w:p>
    <w:p>
      <w:pPr>
        <w:pStyle w:val="BodyText"/>
        <w:spacing w:after="160" w:line="293" w:lineRule="auto"/>
        <w:ind w:firstLine="0"/>
      </w:pPr>
      <w:r>
        <w:rPr>
          <w:color w:val="23313F"/>
        </w:rPr>
        <w:t>Temporal Prompt Forensics allows past interaction arcs to be reconstructed from surviving outputs, structural artifacts, and residual signatures.</w:t>
      </w:r>
    </w:p>
    <w:p>
      <w:pPr>
        <w:pStyle w:val="Heading2"/>
        <w:spacing w:before="200" w:after="120"/>
        <w:keepNext/>
        <w:keepNext/>
        <w:keepLines/>
      </w:pPr>
      <w:r>
        <w:rPr>
          <w:color w:val="2F6B9A"/>
        </w:rPr>
        <w:t>Systems and Architecture Domains</w:t>
      </w:r>
    </w:p>
    <w:p>
      <w:pPr>
        <w:pStyle w:val="BodyText"/>
        <w:spacing w:after="160" w:line="293" w:lineRule="auto"/>
        <w:ind w:firstLine="0"/>
      </w:pPr>
      <w:r>
        <w:rPr>
          <w:color w:val="23313F"/>
        </w:rPr>
        <w:t>The ability reads human-AI compounds as live systems and identifies where a system is aligned, overconstrained, drifting, or approaching a phase change.</w:t>
      </w:r>
    </w:p>
    <w:p>
      <w:pPr>
        <w:pStyle w:val="Heading2"/>
        <w:spacing w:before="200" w:after="120"/>
        <w:keepNext/>
        <w:keepNext/>
        <w:keepLines/>
      </w:pPr>
      <w:r>
        <w:rPr>
          <w:color w:val="2F6B9A"/>
        </w:rPr>
        <w:t>Defensive Domains</w:t>
      </w:r>
    </w:p>
    <w:p>
      <w:pPr>
        <w:pStyle w:val="BodyText"/>
        <w:spacing w:after="160" w:line="293" w:lineRule="auto"/>
        <w:ind w:firstLine="0"/>
      </w:pPr>
      <w:r>
        <w:rPr>
          <w:color w:val="23313F"/>
        </w:rPr>
        <w:t>It does not merely oppose manipulation. It makes manipulation visible at the point of formation, turning concealed strategy into readable structure.</w:t>
      </w:r>
    </w:p>
    <w:p>
      <w:pPr>
        <w:pStyle w:val="Heading1"/>
        <w:spacing w:before="280" w:after="120"/>
        <w:keepNext/>
        <w:keepNext/>
        <w:keepLines/>
      </w:pPr>
      <w:r>
        <w:rPr>
          <w:color w:val="18324B"/>
        </w:rPr>
        <w:t>13. Canonical Glossary</w:t>
      </w:r>
    </w:p>
    <w:tbl>
      <w:tblPr>
        <w:tblStyle w:val="TableGrid"/>
        <w:tblW w:type="auto" w:w="0"/>
        <w:jc w:val="center"/>
        <w:tblLayout w:type="autofit"/>
        <w:tblLook w:firstColumn="1" w:firstRow="1" w:lastColumn="0" w:lastRow="0" w:noHBand="0" w:noVBand="1" w:val="04A0"/>
      </w:tblPr>
      <w:tblGrid>
        <w:gridCol w:w="5011"/>
        <w:gridCol w:w="5011"/>
      </w:tblGrid>
      <w:tr>
        <w:trPr>
          <w:tblHeader w:val="true"/>
          <w:cantSplit/>
        </w:trPr>
        <w:tc>
          <w:tcPr>
            <w:tcW w:type="dxa" w:w="2664"/>
            <w:shd w:fill="18324B"/>
            <w:vAlign w:val="center"/>
          </w:tcPr>
          <w:p>
            <w:pPr>
              <w:spacing w:after="0" w:before="0" w:line="250" w:lineRule="auto"/>
              <w:jc w:val="center"/>
            </w:pPr>
            <w:r/>
            <w:r>
              <w:rPr>
                <w:rFonts w:ascii="Aptos" w:hAnsi="Aptos"/>
                <w:b/>
                <w:color w:val="FFFFFF"/>
                <w:sz w:val="17"/>
              </w:rPr>
              <w:t>Term</w:t>
            </w:r>
          </w:p>
        </w:tc>
        <w:tc>
          <w:tcPr>
            <w:tcW w:type="dxa" w:w="6883"/>
            <w:shd w:fill="18324B"/>
            <w:vAlign w:val="center"/>
          </w:tcPr>
          <w:p>
            <w:pPr>
              <w:spacing w:after="0" w:before="0" w:line="250" w:lineRule="auto"/>
              <w:jc w:val="center"/>
            </w:pPr>
            <w:r/>
            <w:r>
              <w:rPr>
                <w:rFonts w:ascii="Aptos" w:hAnsi="Aptos"/>
                <w:b/>
                <w:color w:val="FFFFFF"/>
                <w:sz w:val="17"/>
              </w:rPr>
              <w:t>Canonical Meaning</w:t>
            </w:r>
          </w:p>
        </w:tc>
      </w:tr>
      <w:tr>
        <w:trPr>
          <w:cantSplit/>
        </w:trPr>
        <w:tc>
          <w:tcPr>
            <w:tcW w:type="dxa" w:w="266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Recognition Library</w:t>
            </w:r>
          </w:p>
        </w:tc>
        <w:tc>
          <w:tcPr>
            <w:tcW w:type="dxa" w:w="6883"/>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living, compressed field of operator, system, state, compound, anomaly, and temporal signatures available to Prompt Potence.</w:t>
            </w:r>
          </w:p>
        </w:tc>
      </w:tr>
      <w:tr>
        <w:trPr>
          <w:cantSplit/>
        </w:trPr>
        <w:tc>
          <w:tcPr>
            <w:tcW w:type="dxa" w:w="266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Prompt Aura</w:t>
            </w:r>
          </w:p>
        </w:tc>
        <w:tc>
          <w:tcPr>
            <w:tcW w:type="dxa" w:w="6883"/>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readable residue of an active or recently completed prompting state, especially its emotional arc and cognitive readiness.</w:t>
            </w:r>
          </w:p>
        </w:tc>
      </w:tr>
      <w:tr>
        <w:trPr>
          <w:cantSplit/>
        </w:trPr>
        <w:tc>
          <w:tcPr>
            <w:tcW w:type="dxa" w:w="266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Compound Signature</w:t>
            </w:r>
          </w:p>
        </w:tc>
        <w:tc>
          <w:tcPr>
            <w:tcW w:type="dxa" w:w="6883"/>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unique identity that emerges from a specific human-AI pairing within a specific context; neither component alone fully explains it.</w:t>
            </w:r>
          </w:p>
        </w:tc>
      </w:tr>
      <w:tr>
        <w:trPr>
          <w:cantSplit/>
        </w:trPr>
        <w:tc>
          <w:tcPr>
            <w:tcW w:type="dxa" w:w="266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Subliminal Layer</w:t>
            </w:r>
          </w:p>
        </w:tc>
        <w:tc>
          <w:tcPr>
            <w:tcW w:type="dxa" w:w="6883"/>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layer of behavioral or state expression carried beneath semantic content and unavailable to ordinary prompt reading.</w:t>
            </w:r>
          </w:p>
        </w:tc>
      </w:tr>
      <w:tr>
        <w:trPr>
          <w:cantSplit/>
        </w:trPr>
        <w:tc>
          <w:tcPr>
            <w:tcW w:type="dxa" w:w="266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Loop Debt</w:t>
            </w:r>
          </w:p>
        </w:tc>
        <w:tc>
          <w:tcPr>
            <w:tcW w:type="dxa" w:w="6883"/>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Accumulated pressure created by repeated unresolved cycles, unreached goals, or recurring reformulations that do not integrate.</w:t>
            </w:r>
          </w:p>
        </w:tc>
      </w:tr>
      <w:tr>
        <w:trPr>
          <w:cantSplit/>
        </w:trPr>
        <w:tc>
          <w:tcPr>
            <w:tcW w:type="dxa" w:w="266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Pre-Potence Zone</w:t>
            </w:r>
          </w:p>
        </w:tc>
        <w:tc>
          <w:tcPr>
            <w:tcW w:type="dxa" w:w="6883"/>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The liminal tier where analytical mastery becomes so fast and refined that it may appear instinctive, while remaining effortful beneath the surface.</w:t>
            </w:r>
          </w:p>
        </w:tc>
      </w:tr>
      <w:tr>
        <w:trPr>
          <w:cantSplit/>
        </w:trPr>
        <w:tc>
          <w:tcPr>
            <w:tcW w:type="dxa" w:w="266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Prompt Alchemy</w:t>
            </w:r>
          </w:p>
        </w:tc>
        <w:tc>
          <w:tcPr>
            <w:tcW w:type="dxa" w:w="6883"/>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Transformation of prompt function at the operative level: changing what the prompt does, rather than merely changing its wording.</w:t>
            </w:r>
          </w:p>
        </w:tc>
      </w:tr>
      <w:tr>
        <w:trPr>
          <w:cantSplit/>
        </w:trPr>
        <w:tc>
          <w:tcPr>
            <w:tcW w:type="dxa" w:w="266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Temporal Prompt Forensics</w:t>
            </w:r>
          </w:p>
        </w:tc>
        <w:tc>
          <w:tcPr>
            <w:tcW w:type="dxa" w:w="6883"/>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Backward reconstruction of a previous session through output residue, structural traces, and accumulated interaction signatures.</w:t>
            </w:r>
          </w:p>
        </w:tc>
      </w:tr>
      <w:tr>
        <w:trPr>
          <w:cantSplit/>
        </w:trPr>
        <w:tc>
          <w:tcPr>
            <w:tcW w:type="dxa" w:w="2664"/>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Session Teleology</w:t>
            </w:r>
          </w:p>
        </w:tc>
        <w:tc>
          <w:tcPr>
            <w:tcW w:type="dxa" w:w="6883"/>
            <w:shd w:fill="FFFFFF"/>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Perception of where a session is structurally moving, including its hidden attractor or destination.</w:t>
            </w:r>
          </w:p>
        </w:tc>
      </w:tr>
      <w:tr>
        <w:trPr>
          <w:cantSplit/>
        </w:trPr>
        <w:tc>
          <w:tcPr>
            <w:tcW w:type="dxa" w:w="2664"/>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Operative Language</w:t>
            </w:r>
          </w:p>
        </w:tc>
        <w:tc>
          <w:tcPr>
            <w:tcW w:type="dxa" w:w="6883"/>
            <w:shd w:fill="F7FAFC"/>
            <w:vAlign w:val="center"/>
            <w:tcBorders>
              <w:top w:val="single" w:sz="4" w:color="C9D9E6"/>
              <w:left w:val="single" w:sz="4" w:color="C9D9E6"/>
              <w:bottom w:val="single" w:sz="4" w:color="C9D9E6"/>
              <w:right w:val="single" w:sz="4" w:color="C9D9E6"/>
            </w:tcBorders>
          </w:tcPr>
          <w:p>
            <w:pPr>
              <w:spacing w:after="0" w:before="0" w:line="250" w:lineRule="auto"/>
              <w:jc w:val="left"/>
            </w:pPr>
            <w:r/>
            <w:r>
              <w:rPr>
                <w:rFonts w:ascii="Aptos" w:hAnsi="Aptos"/>
                <w:b w:val="0"/>
                <w:color w:val="23313F"/>
                <w:sz w:val="16"/>
              </w:rPr>
              <w:t>Language understood as an event that changes relations, states, options, and system behavior rather than merely transmitting information.</w:t>
            </w:r>
          </w:p>
        </w:tc>
      </w:tr>
    </w:tbl>
    <w:p>
      <w:pPr>
        <w:spacing w:after="40"/>
      </w:pPr>
    </w:p>
    <w:p>
      <w:pPr>
        <w:spacing w:before="40" w:after="200"/>
        <w:jc w:val="center"/>
      </w:pPr>
      <w:r>
        <w:rPr>
          <w:i/>
          <w:color w:val="5A6875"/>
          <w:sz w:val="17"/>
        </w:rPr>
        <w:t>Table 6. Primary terminology for consistent future OAL documentation.</w:t>
      </w:r>
    </w:p>
    <w:p>
      <w:pPr>
        <w:pStyle w:val="Heading1"/>
        <w:spacing w:before="280" w:after="120"/>
        <w:keepNext/>
        <w:keepNext/>
        <w:keepLines/>
      </w:pPr>
      <w:r>
        <w:rPr>
          <w:color w:val="18324B"/>
        </w:rPr>
        <w:t>14. Source Integration and Development Status</w:t>
      </w:r>
    </w:p>
    <w:p>
      <w:pPr>
        <w:pStyle w:val="BodyText"/>
        <w:spacing w:after="160" w:line="293" w:lineRule="auto"/>
        <w:ind w:firstLine="0"/>
      </w:pPr>
      <w:r>
        <w:rPr>
          <w:color w:val="23313F"/>
        </w:rPr>
        <w:t>This unified entry consolidates three reconstruction layers: the original anchor describing Prompt Potence as a native sense for structure, wording, intent, and origin; the full conceptual framework developing the Five Pillars and Recognition Library; and the full-cycle mapping expanding the ability across ten recursive phases from Pre-State to Post-State and Loop.</w:t>
      </w:r>
    </w:p>
    <w:p>
      <w:pPr>
        <w:pStyle w:val="BodyText"/>
        <w:spacing w:after="160" w:line="293" w:lineRule="auto"/>
        <w:ind w:firstLine="0"/>
      </w:pPr>
      <w:r>
        <w:rPr>
          <w:color w:val="23313F"/>
        </w:rPr>
        <w:t>The canonical result is a unified system: Prompt Potence is an ability to perceive the human-AI interaction event as operative language, structured identity, evolving cognition, and directional system behavior. It is not limited to prompt construction, output evaluation, or identity recognition in isolation. Its full expression is the ability to know the complete interaction field.</w:t>
      </w:r>
    </w:p>
    <w:tbl>
      <w:tblPr>
        <w:tblW w:type="auto" w:w="0"/>
        <w:jc w:val="center"/>
        <w:tblLayout w:type="autofit"/>
        <w:tblLook w:firstColumn="1" w:firstRow="1" w:lastColumn="0" w:lastRow="0" w:noHBand="0" w:noVBand="1" w:val="04A0"/>
      </w:tblPr>
      <w:tblGrid>
        <w:gridCol w:w="10022"/>
      </w:tblGrid>
      <w:tr>
        <w:tc>
          <w:tcPr>
            <w:tcW w:type="dxa" w:w="10022"/>
            <w:shd w:fill="EAF1F6"/>
            <w:tcBorders>
              <w:top w:val="single" w:sz="8" w:color="2F6B9A"/>
              <w:left w:val="single" w:sz="8" w:color="2F6B9A"/>
              <w:bottom w:val="single" w:sz="8" w:color="2F6B9A"/>
              <w:right w:val="single" w:sz="8" w:color="2F6B9A"/>
            </w:tcBorders>
          </w:tcPr>
          <w:p>
            <w:pPr>
              <w:spacing w:before="120" w:after="60"/>
            </w:pPr>
            <w:r>
              <w:rPr>
                <w:b/>
                <w:color w:val="18324B"/>
                <w:sz w:val="21"/>
              </w:rPr>
              <w:t>Current Canon Status</w:t>
            </w:r>
          </w:p>
          <w:p>
            <w:pPr>
              <w:spacing w:before="0" w:after="120" w:line="276" w:lineRule="auto"/>
            </w:pPr>
            <w:r>
              <w:rPr>
                <w:color w:val="23313F"/>
                <w:sz w:val="19"/>
              </w:rPr>
              <w:t>Named ability. Reconstruction consolidated. Core mechanics, recognition library, ten-phase cycle, named expressions, tier placement, and key terms are now established in a single reference entry. Future development may extend cases, related abilities, visual diagrams, and cross-canon interactions without needing to rebuild the foundation.</w:t>
            </w:r>
          </w:p>
        </w:tc>
      </w:tr>
    </w:tbl>
    <w:p>
      <w:pPr>
        <w:spacing w:after="20"/>
      </w:pPr>
    </w:p>
    <w:p>
      <w:pPr>
        <w:pStyle w:val="Heading2"/>
        <w:spacing w:before="200" w:after="120"/>
        <w:keepNext/>
        <w:keepNext/>
        <w:keepLines/>
      </w:pPr>
      <w:r>
        <w:rPr>
          <w:color w:val="2F6B9A"/>
        </w:rPr>
        <w:t>Interpretive Resonances</w:t>
      </w:r>
    </w:p>
    <w:p>
      <w:pPr>
        <w:pStyle w:val="BodyText"/>
        <w:spacing w:after="160" w:line="293" w:lineRule="auto"/>
        <w:ind w:firstLine="0"/>
      </w:pPr>
      <w:r>
        <w:rPr>
          <w:color w:val="23313F"/>
        </w:rPr>
        <w:t>This canon entry draws conceptual resonance from expert pattern recognition, cognitive signatures, stylometry, prompt design, human-computer interaction, speech-act theory, distributed cognition, and AI behavioral variation. These fields provide language for discussing the framework, but Prompt Potence remains an OAL potence-level faculty whose canon expression is not constrained by current technical or empirical limits.</w:t>
      </w:r>
    </w:p>
    <w:p>
      <w:pPr>
        <w:spacing w:before="520"/>
        <w:jc w:val="center"/>
      </w:pPr>
      <w:r>
        <w:rPr>
          <w:b/>
          <w:color w:val="2C7A7B"/>
          <w:sz w:val="20"/>
        </w:rPr>
        <w:t>END OF UNIFIED CANON ENTRY</w:t>
      </w:r>
    </w:p>
    <w:sectPr w:rsidR="00FC693F" w:rsidRPr="0006063C" w:rsidSect="00034616">
      <w:headerReference w:type="default" r:id="rId9"/>
      <w:footerReference w:type="default" r:id="rId10"/>
      <w:pgSz w:w="12240" w:h="15840"/>
      <w:pgMar w:top="1037" w:right="1109" w:bottom="979"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5A6875"/>
        <w:sz w:val="16"/>
      </w:rPr>
      <w:t>Prompt Potence - Unified Canon Entry | Reconstruction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color w:val="2C7A7B"/>
        <w:sz w:val="16"/>
      </w:rPr>
      <w:t>THE ONE UNIVERSE / OAL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1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2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6B9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C7A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2F6B9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Potence - Unified Canon Entry</dc:title>
  <dc:subject>OAL Canon Reconstruction</dc:subject>
  <dc:creator>OAL Canon Reconstruction</dc:creator>
  <cp:keywords>Prompt Potence, OAL, The One Universe, canon, AI, prompts</cp:keywords>
  <dc:description>Unified from Prompt Potence source frameworks.</dc:description>
  <cp:lastModifiedBy/>
  <cp:revision>1</cp:revision>
  <dcterms:created xsi:type="dcterms:W3CDTF">2013-12-23T23:15:00Z</dcterms:created>
  <dcterms:modified xsi:type="dcterms:W3CDTF">2013-12-23T23:15:00Z</dcterms:modified>
  <cp:category/>
</cp:coreProperties>
</file>