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37"/>
          <w:sz w:val="56"/>
        </w:rPr>
        <w:t>RESILIENT ADAPTIVE HOUSING INITIATIVE</w:t>
      </w:r>
    </w:p>
    <w:p>
      <w:pPr>
        <w:jc w:val="center"/>
      </w:pPr>
      <w:r>
        <w:rPr>
          <w:i/>
          <w:sz w:val="28"/>
        </w:rPr>
        <w:t>An Independent Engineering &amp; Systems Design Concept for</w:t>
        <w:br/>
        <w:t>Disaster-Resistant, Solar-Optimized, Circular-Economy Neighborhoods</w:t>
      </w:r>
    </w:p>
    <w:p/>
    <w:p>
      <w:pPr>
        <w:jc w:val="center"/>
      </w:pPr>
      <w:r>
        <w:rPr>
          <w:b/>
        </w:rPr>
        <w:t>Author: Nathan</w:t>
        <w:br/>
      </w:r>
      <w:r>
        <w:t>Concept Origin: UAGC Environmental Science Coursework</w:t>
        <w:br/>
      </w:r>
      <w:r>
        <w:t>Document Type: Independent Concept Redesign / Technical White Paper</w:t>
        <w:br/>
      </w:r>
      <w:r>
        <w:t>Date: August 30, 2026</w:t>
      </w:r>
    </w:p>
    <w:p>
      <w:r>
        <w:br w:type="page"/>
      </w:r>
    </w:p>
    <w:p>
      <w:pPr>
        <w:pStyle w:val="Heading1"/>
      </w:pPr>
      <w:r>
        <w:rPr>
          <w:color w:val="1F4E37"/>
        </w:rPr>
        <w:t>Preface &amp; Independent Redesign Note</w:t>
      </w:r>
    </w:p>
    <w:p>
      <w:r>
        <w:rPr>
          <w:b w:val="0"/>
          <w:i w:val="0"/>
        </w:rPr>
        <w:t>This document is an independently produced technical redesign of a housing concept originally conceived by Nathan during an Environmental Science course at the University of Arizona Global Campus (UAGC). The original concept — developed through hands-on laboratory work involving soil sample collection and erosion-landscape modeling — proposed a residential structure that could survive earthquakes without structural damage, generate its own energy through a sun-tracking, fully solar-integrated envelope, and be maintained indefinitely through fully modular, replaceable components tied to a neighborhood-wide circular materials economy.</w:t>
      </w:r>
    </w:p>
    <w:p>
      <w:r>
        <w:rPr>
          <w:b w:val="0"/>
          <w:i w:val="0"/>
        </w:rPr>
        <w:t>Rather than reproducing the prior framework document, this version was built independently from the underlying concept description and cross-checked against current engineering literature on seismic base isolation, building-integrated photovoltaics (BIPV), solar tracking systems, and circular-economy construction. Where the earlier documentation emphasized narrative and precedent, this version leans further into technical specification, quantified performance ranges, and systems-engineering framing, while introducing new structural elements — including a formal risk-quantification model, a phased deployment roadmap, and a lifecycle cost framework — that were not present in the earlier drafts.</w:t>
      </w:r>
    </w:p>
    <w:p>
      <w:pPr>
        <w:pStyle w:val="Heading1"/>
      </w:pPr>
      <w:r>
        <w:rPr>
          <w:color w:val="1F4E37"/>
        </w:rPr>
        <w:t>Executive Summary</w:t>
      </w:r>
    </w:p>
    <w:p>
      <w:r>
        <w:rPr>
          <w:b w:val="0"/>
          <w:i w:val="0"/>
        </w:rPr>
        <w:t>The Resilient Adaptive Housing Initiative (RAHI) is a neighborhood-scale residential design concept built around a single constraint: a home should survive the disasters that destroy conventional homes, generate more energy than it consumes, and never require full replacement of any major system. It rests on four integrated subsystems rather than three, expanding the original three-pillar concept into a more granular architecture:</w:t>
      </w:r>
    </w:p>
    <w:p>
      <w:pPr>
        <w:pStyle w:val="ListBullet"/>
      </w:pPr>
      <w:r>
        <w:t>Seismic &amp; Impact Isolation — a curved-cradle, spherical-bearing base isolation system analogous to friction pendulum bearings (FPS), decoupling the structure from ground motion, storm impact, and blast/debris loading.</w:t>
      </w:r>
    </w:p>
    <w:p>
      <w:pPr>
        <w:pStyle w:val="ListBullet"/>
      </w:pPr>
      <w:r>
        <w:t>Adaptive Envelope Systems — weatherproofing, thermal regulation, and tunable acoustic insulation integrated directly into wall assemblies rather than added as separate systems.</w:t>
      </w:r>
    </w:p>
    <w:p>
      <w:pPr>
        <w:pStyle w:val="ListBullet"/>
      </w:pPr>
      <w:r>
        <w:t>Solar-Kinetic Energy Structure — a slow sun-tracking rotational platform combined with full-envelope building-integrated photovoltaics (BIPV), feeding a neighborhood microgrid.</w:t>
      </w:r>
    </w:p>
    <w:p>
      <w:pPr>
        <w:pStyle w:val="ListBullet"/>
      </w:pPr>
      <w:r>
        <w:t>Modular Materials Lifecycle System — standardized, individually replaceable components governed by a closed-loop circular economy across the entire neighborhood, with defined end-of-life recovery pathways.</w:t>
      </w:r>
    </w:p>
    <w:p>
      <w:r>
        <w:rPr>
          <w:b w:val="0"/>
          <w:i w:val="0"/>
        </w:rPr>
        <w:t>Each subsystem is grounded in mature or maturing engineering precedent: seismic base isolation has been deployed in commercial and institutional buildings since the 1970s [cite:9][cite:14]; single- and dual-axis solar tracking is well documented to increase annual energy yield by roughly 15 to 45 percent over fixed-tilt systems depending on latitude and tracking configuration [cite:5][cite:8][cite:18]; and building-integrated photovoltaics are an active, rapidly maturing commercial product category [cite:10][cite:11].</w:t>
      </w:r>
    </w:p>
    <w:p>
      <w:pPr>
        <w:pStyle w:val="Heading1"/>
      </w:pPr>
      <w:r>
        <w:rPr>
          <w:color w:val="1F4E37"/>
        </w:rPr>
        <w:t>Section 1 — Origins &amp; Problem Framing</w:t>
      </w:r>
    </w:p>
    <w:p>
      <w:pPr>
        <w:pStyle w:val="Heading2"/>
      </w:pPr>
      <w:r>
        <w:rPr>
          <w:color w:val="2E6B4F"/>
        </w:rPr>
        <w:t>1.1 Coursework Origins</w:t>
      </w:r>
    </w:p>
    <w:p>
      <w:r>
        <w:rPr>
          <w:b w:val="0"/>
          <w:i w:val="0"/>
        </w:rPr>
        <w:t>The concept traces its origin to hands-on Environmental Science laboratory work: soil sample collection from residential yards, and construction of a small-scale erosion landscape model in which different soil compositions were subjected to simulated rainfall to observe how slope, composition, and moisture drive material breakdown over time. The exercise reframed a basic environmental science question — where does stress concentrate, and what absorbs or transmits it — into a design question applicable to the built environment: what would a house look like if it were engineered with the same attention to force absorption as a well-designed erosion-resistant landscape?</w:t>
      </w:r>
    </w:p>
    <w:p>
      <w:pPr>
        <w:pStyle w:val="Heading2"/>
      </w:pPr>
      <w:r>
        <w:rPr>
          <w:color w:val="2E6B4F"/>
        </w:rPr>
        <w:t>1.2 The Problem Set</w:t>
      </w:r>
    </w:p>
    <w:p>
      <w:r>
        <w:rPr>
          <w:b w:val="0"/>
          <w:i w:val="0"/>
        </w:rPr>
        <w:t>The concept responds to six converging pressures on residential housing, each treated as a distinct engineering problem rather than a general sustainability aspiration: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37"/>
          </w:tcPr>
          <w:p>
            <w:r/>
            <w:r>
              <w:rPr>
                <w:b/>
                <w:color w:val="FFFFFF"/>
              </w:rPr>
              <w:t>Pressure</w:t>
            </w:r>
          </w:p>
        </w:tc>
        <w:tc>
          <w:tcPr>
            <w:tcW w:type="dxa" w:w="2160"/>
            <w:shd w:val="clear" w:color="auto" w:fill="1F4E37"/>
          </w:tcPr>
          <w:p>
            <w:r/>
            <w:r>
              <w:rPr>
                <w:b/>
                <w:color w:val="FFFFFF"/>
              </w:rPr>
              <w:t>Underlying Issue</w:t>
            </w:r>
          </w:p>
        </w:tc>
        <w:tc>
          <w:tcPr>
            <w:tcW w:type="dxa" w:w="2160"/>
            <w:shd w:val="clear" w:color="auto" w:fill="1F4E37"/>
          </w:tcPr>
          <w:p>
            <w:r/>
            <w:r>
              <w:rPr>
                <w:b/>
                <w:color w:val="FFFFFF"/>
              </w:rPr>
              <w:t>Conventional Outcome</w:t>
            </w:r>
          </w:p>
        </w:tc>
        <w:tc>
          <w:tcPr>
            <w:tcW w:type="dxa" w:w="2160"/>
            <w:shd w:val="clear" w:color="auto" w:fill="1F4E37"/>
          </w:tcPr>
          <w:p>
            <w:r/>
            <w:r>
              <w:rPr>
                <w:b/>
                <w:color w:val="FFFFFF"/>
              </w:rPr>
              <w:t>RAHI Response</w:t>
            </w:r>
          </w:p>
        </w:tc>
      </w:tr>
      <w:tr>
        <w:tc>
          <w:tcPr>
            <w:tcW w:type="dxa" w:w="2160"/>
          </w:tcPr>
          <w:p>
            <w:r>
              <w:t>Seismic exposure</w:t>
            </w:r>
          </w:p>
        </w:tc>
        <w:tc>
          <w:tcPr>
            <w:tcW w:type="dxa" w:w="2160"/>
          </w:tcPr>
          <w:p>
            <w:r>
              <w:t>Homes on or near fault lines lack structural isolation</w:t>
            </w:r>
          </w:p>
        </w:tc>
        <w:tc>
          <w:tcPr>
            <w:tcW w:type="dxa" w:w="2160"/>
          </w:tcPr>
          <w:p>
            <w:r>
              <w:t>Structural damage, total loss, insurance disputes</w:t>
            </w:r>
          </w:p>
        </w:tc>
        <w:tc>
          <w:tcPr>
            <w:tcW w:type="dxa" w:w="2160"/>
          </w:tcPr>
          <w:p>
            <w:r>
              <w:t>Curved-cradle base isolation with spherical bearing pods</w:t>
            </w:r>
          </w:p>
        </w:tc>
      </w:tr>
      <w:tr>
        <w:tc>
          <w:tcPr>
            <w:tcW w:type="dxa" w:w="2160"/>
          </w:tcPr>
          <w:p>
            <w:r>
              <w:t>Utility cost volatility</w:t>
            </w:r>
          </w:p>
        </w:tc>
        <w:tc>
          <w:tcPr>
            <w:tcW w:type="dxa" w:w="2160"/>
          </w:tcPr>
          <w:p>
            <w:r>
              <w:t>Peak summer cooling demand collides with peak utility rates</w:t>
            </w:r>
          </w:p>
        </w:tc>
        <w:tc>
          <w:tcPr>
            <w:tcW w:type="dxa" w:w="2160"/>
          </w:tcPr>
          <w:p>
            <w:r>
              <w:t>High seasonal bills, financial strain</w:t>
            </w:r>
          </w:p>
        </w:tc>
        <w:tc>
          <w:tcPr>
            <w:tcW w:type="dxa" w:w="2160"/>
          </w:tcPr>
          <w:p>
            <w:r>
              <w:t>Full-envelope BIPV + sun-tracking rotation + microgrid</w:t>
            </w:r>
          </w:p>
        </w:tc>
      </w:tr>
      <w:tr>
        <w:tc>
          <w:tcPr>
            <w:tcW w:type="dxa" w:w="2160"/>
          </w:tcPr>
          <w:p>
            <w:r>
              <w:t>Grid strain from data centers</w:t>
            </w:r>
          </w:p>
        </w:tc>
        <w:tc>
          <w:tcPr>
            <w:tcW w:type="dxa" w:w="2160"/>
          </w:tcPr>
          <w:p>
            <w:r>
              <w:t>Data center and AI compute load growth increases regional demand</w:t>
            </w:r>
          </w:p>
        </w:tc>
        <w:tc>
          <w:tcPr>
            <w:tcW w:type="dxa" w:w="2160"/>
          </w:tcPr>
          <w:p>
            <w:r>
              <w:t>Price volatility, brownout risk</w:t>
            </w:r>
          </w:p>
        </w:tc>
        <w:tc>
          <w:tcPr>
            <w:tcW w:type="dxa" w:w="2160"/>
          </w:tcPr>
          <w:p>
            <w:r>
              <w:t>Distributed generation with grid-islanding capability</w:t>
            </w:r>
          </w:p>
        </w:tc>
      </w:tr>
      <w:tr>
        <w:tc>
          <w:tcPr>
            <w:tcW w:type="dxa" w:w="2160"/>
          </w:tcPr>
          <w:p>
            <w:r>
              <w:t>Storm and impact damage</w:t>
            </w:r>
          </w:p>
        </w:tc>
        <w:tc>
          <w:tcPr>
            <w:tcW w:type="dxa" w:w="2160"/>
          </w:tcPr>
          <w:p>
            <w:r>
              <w:t>Wind, hail, and debris impact degrade conventional cladding</w:t>
            </w:r>
          </w:p>
        </w:tc>
        <w:tc>
          <w:tcPr>
            <w:tcW w:type="dxa" w:w="2160"/>
          </w:tcPr>
          <w:p>
            <w:r>
              <w:t>Costly repair cycles, insurance claims</w:t>
            </w:r>
          </w:p>
        </w:tc>
        <w:tc>
          <w:tcPr>
            <w:tcW w:type="dxa" w:w="2160"/>
          </w:tcPr>
          <w:p>
            <w:r>
              <w:t>Impact-rated envelope with structural redundancy</w:t>
            </w:r>
          </w:p>
        </w:tc>
      </w:tr>
      <w:tr>
        <w:tc>
          <w:tcPr>
            <w:tcW w:type="dxa" w:w="2160"/>
          </w:tcPr>
          <w:p>
            <w:r>
              <w:t>Repair economics</w:t>
            </w:r>
          </w:p>
        </w:tc>
        <w:tc>
          <w:tcPr>
            <w:tcW w:type="dxa" w:w="2160"/>
          </w:tcPr>
          <w:p>
            <w:r>
              <w:t>Small repairs require bulk material purchase (e.g., siding)</w:t>
            </w:r>
          </w:p>
        </w:tc>
        <w:tc>
          <w:tcPr>
            <w:tcW w:type="dxa" w:w="2160"/>
          </w:tcPr>
          <w:p>
            <w:r>
              <w:t>Disproportionate repair cost relative to damage</w:t>
            </w:r>
          </w:p>
        </w:tc>
        <w:tc>
          <w:tcPr>
            <w:tcW w:type="dxa" w:w="2160"/>
          </w:tcPr>
          <w:p>
            <w:r>
              <w:t>Standardized, individually replaceable components</w:t>
            </w:r>
          </w:p>
        </w:tc>
      </w:tr>
      <w:tr>
        <w:tc>
          <w:tcPr>
            <w:tcW w:type="dxa" w:w="2160"/>
          </w:tcPr>
          <w:p>
            <w:r>
              <w:t>Construction &amp; demolition waste</w:t>
            </w:r>
          </w:p>
        </w:tc>
        <w:tc>
          <w:tcPr>
            <w:tcW w:type="dxa" w:w="2160"/>
          </w:tcPr>
          <w:p>
            <w:r>
              <w:t>U.S. C&amp;D debris exceeds 600 million tons annually</w:t>
            </w:r>
          </w:p>
        </w:tc>
        <w:tc>
          <w:tcPr>
            <w:tcW w:type="dxa" w:w="2160"/>
          </w:tcPr>
          <w:p>
            <w:r>
              <w:t>Landfill-dominant disposal</w:t>
            </w:r>
          </w:p>
        </w:tc>
        <w:tc>
          <w:tcPr>
            <w:tcW w:type="dxa" w:w="2160"/>
          </w:tcPr>
          <w:p>
            <w:r>
              <w:t>Closed-loop circular materials stream</w:t>
            </w:r>
          </w:p>
        </w:tc>
      </w:tr>
    </w:tbl>
    <w:p/>
    <w:p>
      <w:pPr>
        <w:pStyle w:val="Heading1"/>
      </w:pPr>
      <w:r>
        <w:rPr>
          <w:color w:val="1F4E37"/>
        </w:rPr>
        <w:t>Section 2 — Structural System: Seismic &amp; Impact Isolation</w:t>
      </w:r>
    </w:p>
    <w:p>
      <w:pPr>
        <w:pStyle w:val="Heading2"/>
      </w:pPr>
      <w:r>
        <w:rPr>
          <w:color w:val="2E6B4F"/>
        </w:rPr>
        <w:t>2.1 The Cradle-and-Bearing Concept</w:t>
      </w:r>
    </w:p>
    <w:p>
      <w:r>
        <w:rPr>
          <w:b w:val="0"/>
          <w:i w:val="0"/>
        </w:rPr>
        <w:t>The structural core of the design is a curved isolation cradle: a concave foundation basin, geometrically similar to an inverted section of a sphere, within which the building rests on a set of spherical or cylindrical isolation bearings. Rather than resisting seismic energy through rigid strength, the structure is permitted to translate and rock within the cradle, with a surrounding buffer zone of layered elastomeric and foam composite material absorbing and dissipating the residual force before it reaches the superstructure.</w:t>
      </w:r>
    </w:p>
    <w:p>
      <w:r>
        <w:rPr>
          <w:b w:val="0"/>
          <w:i w:val="0"/>
        </w:rPr>
        <w:t>This geometry is structurally analogous to two mature seismic isolation technologies already deployed in commercial and institutional buildings. Friction Pendulum Systems (FPS) use a concave sliding surface on which the building slides during ground motion, with gravity acting as the restoring force that recenters the structure after the event; the isolation period depends on the curvature radius of the surface rather than building mass [cite:7][cite:14]. Lead Rubber Bearings (LRB), developed in New Zealand in the 1970s, pair alternating rubber and steel layers with a central lead core that yields plastically during shaking, converting seismic kinetic energy into heat; studies indicate base shear reductions exceeding 50 percent relative to fixed-base construction [cite:9]. Well-designed base isolation systems are engineered to lower a structure's horizontal stiffness enough to reduce its natural frequency to roughly 0.3 to 0.5 Hz, well below the dominant frequency range of most damaging earthquakes [cite:14].</w:t>
      </w:r>
    </w:p>
    <w:p>
      <w:pPr>
        <w:ind w:left="432"/>
      </w:pPr>
      <w:r>
        <w:rPr>
          <w:b/>
        </w:rPr>
        <w:t>Engineering Note — Bearing Radius Selection</w:t>
        <w:br/>
      </w:r>
      <w:r>
        <w:t>Empirical design equations for friction pendulum bearings relate bearing curvature radius to the seismic weight carried by each bearing and the desired fundamental period of the isolated structure. Regression-based selection equations developed from multi-story woodframe analysis provide a practical starting point for residential-scale bearing sizing, rather than requiring full nonlinear time-history analysis for every unit [cite:9].</w:t>
      </w:r>
    </w:p>
    <w:p>
      <w:pPr>
        <w:pStyle w:val="Heading2"/>
      </w:pPr>
      <w:r>
        <w:rPr>
          <w:color w:val="2E6B4F"/>
        </w:rPr>
        <w:t>2.2 Non-Seismic Shock Resistance</w:t>
      </w:r>
    </w:p>
    <w:p>
      <w:r>
        <w:rPr>
          <w:b w:val="0"/>
          <w:i w:val="0"/>
        </w:rPr>
        <w:t>Isolation performance is extended beyond earthquakes to cover wind loading, storm-borne debris impact, and general structural fatigue. Redundant load paths — multiple independent structural routes for gravity and lateral loads — mean that localized damage to one structural element does not cascade into failure of the whole assembly, a principle borrowed directly from aerospace and marine structural design.</w:t>
      </w:r>
    </w:p>
    <w:p>
      <w:pPr>
        <w:pStyle w:val="ListBullet"/>
      </w:pPr>
      <w:r>
        <w:t>Wind loading: shear walls and framing engineered above code-minimum wind resistance ratings, with redundant load paths.</w:t>
      </w:r>
    </w:p>
    <w:p>
      <w:pPr>
        <w:pStyle w:val="ListBullet"/>
      </w:pPr>
      <w:r>
        <w:t>Storm and debris impact: reinforced wall assemblies with impact-resistant cladding rated for wind-borne debris consistent with high-wind events.</w:t>
      </w:r>
    </w:p>
    <w:p>
      <w:pPr>
        <w:pStyle w:val="ListBullet"/>
      </w:pPr>
      <w:r>
        <w:t>Structural redundancy: multiple independent load paths at wall, roof, and foundation interfaces, preventing single-point cascading failure.</w:t>
      </w:r>
    </w:p>
    <w:p>
      <w:pPr>
        <w:pStyle w:val="Heading2"/>
      </w:pPr>
      <w:r>
        <w:rPr>
          <w:color w:val="2E6B4F"/>
        </w:rPr>
        <w:t>2.3 Adaptive Acoustic Control</w:t>
      </w:r>
    </w:p>
    <w:p>
      <w:r>
        <w:rPr>
          <w:b w:val="0"/>
          <w:i w:val="0"/>
        </w:rPr>
        <w:t>The envelope integrates a tunable acoustic system rather than static sound blocking. Mass-spring-mass (MSM) wall assemblies — two heavy surface layers mechanically decoupled by an air gap or resilient core — create a resonant structure that attenuates a broad frequency range, while constrained-layer damping panels convert sound-wave energy into heat through internal shear. Adaptive or electrochromic-style glazing extends this tunability to windows, and a selective acoustic permeability control allows residents to admit low-level ambient sound (rain, birdsong) while filtering higher-disturbance noise such as traffic.</w:t>
      </w:r>
    </w:p>
    <w:p>
      <w:pPr>
        <w:pStyle w:val="Heading2"/>
      </w:pPr>
      <w:r>
        <w:rPr>
          <w:color w:val="2E6B4F"/>
        </w:rPr>
        <w:t>2.4 Integrated Weatherproofing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37"/>
          </w:tcPr>
          <w:p>
            <w:r/>
            <w:r>
              <w:rPr>
                <w:b/>
                <w:color w:val="FFFFFF"/>
              </w:rPr>
              <w:t>Threat</w:t>
            </w:r>
          </w:p>
        </w:tc>
        <w:tc>
          <w:tcPr>
            <w:tcW w:type="dxa" w:w="2880"/>
            <w:shd w:val="clear" w:color="auto" w:fill="1F4E37"/>
          </w:tcPr>
          <w:p>
            <w:r/>
            <w:r>
              <w:rPr>
                <w:b/>
                <w:color w:val="FFFFFF"/>
              </w:rPr>
              <w:t>Material / System Response</w:t>
            </w:r>
          </w:p>
        </w:tc>
        <w:tc>
          <w:tcPr>
            <w:tcW w:type="dxa" w:w="2880"/>
            <w:shd w:val="clear" w:color="auto" w:fill="1F4E37"/>
          </w:tcPr>
          <w:p>
            <w:r/>
            <w:r>
              <w:rPr>
                <w:b/>
                <w:color w:val="FFFFFF"/>
              </w:rPr>
              <w:t>Target Performance</w:t>
            </w:r>
          </w:p>
        </w:tc>
      </w:tr>
      <w:tr>
        <w:tc>
          <w:tcPr>
            <w:tcW w:type="dxa" w:w="2880"/>
          </w:tcPr>
          <w:p>
            <w:r>
              <w:t>Extreme heat</w:t>
            </w:r>
          </w:p>
        </w:tc>
        <w:tc>
          <w:tcPr>
            <w:tcW w:type="dxa" w:w="2880"/>
          </w:tcPr>
          <w:p>
            <w:r>
              <w:t>Aerogel insulation panels (thermal conductivity as low as 0.015 W per m·K); phase-change materials (PCM) in wall cores</w:t>
            </w:r>
          </w:p>
        </w:tc>
        <w:tc>
          <w:tcPr>
            <w:tcW w:type="dxa" w:w="2880"/>
          </w:tcPr>
          <w:p>
            <w:r>
              <w:t>Interior temperature held within roughly 3°F of setpoint without mechanical cooling during moderate heat events</w:t>
            </w:r>
          </w:p>
        </w:tc>
      </w:tr>
      <w:tr>
        <w:tc>
          <w:tcPr>
            <w:tcW w:type="dxa" w:w="2880"/>
          </w:tcPr>
          <w:p>
            <w:r>
              <w:t>Extreme cold</w:t>
            </w:r>
          </w:p>
        </w:tc>
        <w:tc>
          <w:tcPr>
            <w:tcW w:type="dxa" w:w="2880"/>
          </w:tcPr>
          <w:p>
            <w:r>
              <w:t>Continuous thermal breaks at structural connections; vapor barriers; PCM-enhanced thermal mass</w:t>
            </w:r>
          </w:p>
        </w:tc>
        <w:tc>
          <w:tcPr>
            <w:tcW w:type="dxa" w:w="2880"/>
          </w:tcPr>
          <w:p>
            <w:r>
              <w:t>Substantially reduced heating load during cold snaps</w:t>
            </w:r>
          </w:p>
        </w:tc>
      </w:tr>
      <w:tr>
        <w:tc>
          <w:tcPr>
            <w:tcW w:type="dxa" w:w="2880"/>
          </w:tcPr>
          <w:p>
            <w:r>
              <w:t>Wind and rain</w:t>
            </w:r>
          </w:p>
        </w:tc>
        <w:tc>
          <w:tcPr>
            <w:tcW w:type="dxa" w:w="2880"/>
          </w:tcPr>
          <w:p>
            <w:r>
              <w:t>Storm-rated fenestration (ASTM E1996 impact resistance); sealed drainage planes; redundant water management layers</w:t>
            </w:r>
          </w:p>
        </w:tc>
        <w:tc>
          <w:tcPr>
            <w:tcW w:type="dxa" w:w="2880"/>
          </w:tcPr>
          <w:p>
            <w:r>
              <w:t>No infiltration at design wind speed; no water intrusion at penetrations</w:t>
            </w:r>
          </w:p>
        </w:tc>
      </w:tr>
      <w:tr>
        <w:tc>
          <w:tcPr>
            <w:tcW w:type="dxa" w:w="2880"/>
          </w:tcPr>
          <w:p>
            <w:r>
              <w:t>UV degradation</w:t>
            </w:r>
          </w:p>
        </w:tc>
        <w:tc>
          <w:tcPr>
            <w:tcW w:type="dxa" w:w="2880"/>
          </w:tcPr>
          <w:p>
            <w:r>
              <w:t>UV-stable finishes; thermochromic coatings that shift reflectivity as surface temperature rises</w:t>
            </w:r>
          </w:p>
        </w:tc>
        <w:tc>
          <w:tcPr>
            <w:tcW w:type="dxa" w:w="2880"/>
          </w:tcPr>
          <w:p>
            <w:r>
              <w:t>Multi-decade exterior surface durability without full replacement</w:t>
            </w:r>
          </w:p>
        </w:tc>
      </w:tr>
    </w:tbl>
    <w:p/>
    <w:p>
      <w:pPr>
        <w:pStyle w:val="Heading1"/>
      </w:pPr>
      <w:r>
        <w:rPr>
          <w:color w:val="1F4E37"/>
        </w:rPr>
        <w:t>Section 3 — Energy System: Solar-Kinetic Envelope</w:t>
      </w:r>
    </w:p>
    <w:p>
      <w:pPr>
        <w:pStyle w:val="Heading2"/>
      </w:pPr>
      <w:r>
        <w:rPr>
          <w:color w:val="2E6B4F"/>
        </w:rPr>
        <w:t>3.1 Beyond Rooftop Panels: Full-Envelope Photovoltaics</w:t>
      </w:r>
    </w:p>
    <w:p>
      <w:r>
        <w:rPr>
          <w:b w:val="0"/>
          <w:i w:val="0"/>
        </w:rPr>
        <w:t>Conventional rooftop solar occupies only a fraction — typically 30 to 40 percent — of usable roof area and ignores wall and window surfaces entirely. Building-integrated photovoltaics (BIPV) replace or embed photovoltaic material directly into roofing, cladding, and glazing rather than mounting panels on top of the envelope. Current commercial BIPV products achieve module efficiencies of roughly 10 to 22 percent depending on technology and transparency, with facade-integrated systems yielding approximately 80 to 150 kWh per square meter per year and roof-integrated systems yielding 130 to 200 kWh per square meter per year [cite:11]. Field studies of façade-integrated BIPV in hot-arid climates report performance ratios of 0.78 to 0.83 and annual specific yields near 1,620 kWh per kWp, despite thermal losses typical of vertical, sun-exposed installations [cite:10]. Emerging perovskite photovoltaic technology is expected to push commercial BIPV efficiency toward 18 to 22 percent by 2027 to 2028, with laboratory efficiencies already exceeding 25 percent [cite:11].</w:t>
      </w:r>
    </w:p>
    <w:p>
      <w:pPr>
        <w:pStyle w:val="Heading2"/>
      </w:pPr>
      <w:r>
        <w:rPr>
          <w:color w:val="2E6B4F"/>
        </w:rPr>
        <w:t>3.2 Sun-Tracking Rotational Platform</w:t>
      </w:r>
    </w:p>
    <w:p>
      <w:r>
        <w:rPr>
          <w:b w:val="0"/>
          <w:i w:val="0"/>
        </w:rPr>
        <w:t>The structure sits on a slow rotational bearing platform — mechanically distinct from, but structurally compatible with, the seismic isolation cradle beneath it — that reorients the building's primary collection surface toward the sun across the day. This is the residential-scale adaptation of heliostat tracking used in concentrated solar power plants, and it follows the same physical logic as single- and dual-axis solar trackers used in utility-scale solar farms.</w:t>
      </w:r>
    </w:p>
    <w:p>
      <w:r>
        <w:rPr>
          <w:b w:val="0"/>
          <w:i w:val="0"/>
        </w:rPr>
        <w:t>Independent studies converge on a consistent performance range: single-axis tracking increases annual energy yield by roughly 15 to 35 percent over fixed-tilt installations, while dual-axis tracking increases yield by roughly 30 to 45 percent, with the marginal gain of dual-axis over single-axis narrowing at low latitudes and widening at high latitudes where seasonal solar elevation swings more dramatically [cite:5][cite:8][cite:16][cite:18]. At a representative mid-latitude site, single-axis tracking gains of roughly 20 to 28 percent and dual-axis gains of roughly 30 to 44 percent have been documented in comparative field and simulation studies [cite:18]. Because a rotating residential structure functions closer to a dual-axis heliostat than a simple single-axis ground tracker — since it can adjust orientation and, with additional tilt hardware, elevation angle — the design targets performance in the upper half of the documented dual-axis range for its latitude.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37"/>
          </w:tcPr>
          <w:p>
            <w:r/>
            <w:r>
              <w:rPr>
                <w:b/>
                <w:color w:val="FFFFFF"/>
              </w:rPr>
              <w:t>Tracking Type</w:t>
            </w:r>
          </w:p>
        </w:tc>
        <w:tc>
          <w:tcPr>
            <w:tcW w:type="dxa" w:w="2880"/>
            <w:shd w:val="clear" w:color="auto" w:fill="1F4E37"/>
          </w:tcPr>
          <w:p>
            <w:r/>
            <w:r>
              <w:rPr>
                <w:b/>
                <w:color w:val="FFFFFF"/>
              </w:rPr>
              <w:t>Typical Annual Yield Gain vs. Fixed Tilt</w:t>
            </w:r>
          </w:p>
        </w:tc>
        <w:tc>
          <w:tcPr>
            <w:tcW w:type="dxa" w:w="2880"/>
            <w:shd w:val="clear" w:color="auto" w:fill="1F4E37"/>
          </w:tcPr>
          <w:p>
            <w:r/>
            <w:r>
              <w:rPr>
                <w:b/>
                <w:color w:val="FFFFFF"/>
              </w:rPr>
              <w:t>Best Suited Conditions</w:t>
            </w:r>
          </w:p>
        </w:tc>
      </w:tr>
      <w:tr>
        <w:tc>
          <w:tcPr>
            <w:tcW w:type="dxa" w:w="2880"/>
          </w:tcPr>
          <w:p>
            <w:r>
              <w:t>Single-axis (azimuth)</w:t>
            </w:r>
          </w:p>
        </w:tc>
        <w:tc>
          <w:tcPr>
            <w:tcW w:type="dxa" w:w="2880"/>
          </w:tcPr>
          <w:p>
            <w:r>
              <w:t>15% to 35%</w:t>
            </w:r>
          </w:p>
        </w:tc>
        <w:tc>
          <w:tcPr>
            <w:tcW w:type="dxa" w:w="2880"/>
          </w:tcPr>
          <w:p>
            <w:r>
              <w:t>Lower latitudes, cost-sensitive deployments</w:t>
            </w:r>
          </w:p>
        </w:tc>
      </w:tr>
      <w:tr>
        <w:tc>
          <w:tcPr>
            <w:tcW w:type="dxa" w:w="2880"/>
          </w:tcPr>
          <w:p>
            <w:r>
              <w:t>Dual-axis (azimuth + elevation)</w:t>
            </w:r>
          </w:p>
        </w:tc>
        <w:tc>
          <w:tcPr>
            <w:tcW w:type="dxa" w:w="2880"/>
          </w:tcPr>
          <w:p>
            <w:r>
              <w:t>30% to 45%</w:t>
            </w:r>
          </w:p>
        </w:tc>
        <w:tc>
          <w:tcPr>
            <w:tcW w:type="dxa" w:w="2880"/>
          </w:tcPr>
          <w:p>
            <w:r>
              <w:t>Higher latitudes with large seasonal elevation swing</w:t>
            </w:r>
          </w:p>
        </w:tc>
      </w:tr>
      <w:tr>
        <w:tc>
          <w:tcPr>
            <w:tcW w:type="dxa" w:w="2880"/>
          </w:tcPr>
          <w:p>
            <w:r>
              <w:t>RAHI rotational platform (targeted)</w:t>
            </w:r>
          </w:p>
        </w:tc>
        <w:tc>
          <w:tcPr>
            <w:tcW w:type="dxa" w:w="2880"/>
          </w:tcPr>
          <w:p>
            <w:r>
              <w:t>Upper end of dual-axis range for site latitude</w:t>
            </w:r>
          </w:p>
        </w:tc>
        <w:tc>
          <w:tcPr>
            <w:tcW w:type="dxa" w:w="2880"/>
          </w:tcPr>
          <w:p>
            <w:r>
              <w:t>Full-envelope BIPV structures with slow-rotation drive</w:t>
            </w:r>
          </w:p>
        </w:tc>
      </w:tr>
    </w:tbl>
    <w:p/>
    <w:p>
      <w:pPr>
        <w:ind w:left="432"/>
      </w:pPr>
      <w:r>
        <w:rPr>
          <w:b/>
        </w:rPr>
        <w:t>Design Rationale — Why Rotate the Whole Building</w:t>
        <w:br/>
      </w:r>
      <w:r>
        <w:t>A stationary BIPV envelope only achieves peak collection efficiency for a portion of the solar day, since most of its surface area sits at a non-optimal angle to the sun outside of midday. Rotating the entire structure — rather than a subset of panels — keeps the largest possible collection area near-optimally oriented for a larger share of the day, at the cost of a low-power rotational drive system rather than per-panel actuators.</w:t>
      </w:r>
    </w:p>
    <w:p>
      <w:pPr>
        <w:pStyle w:val="Heading2"/>
      </w:pPr>
      <w:r>
        <w:rPr>
          <w:color w:val="2E6B4F"/>
        </w:rPr>
        <w:t>3.3 Location-Specific Solar &amp; Shadow Modeling</w:t>
      </w:r>
    </w:p>
    <w:p>
      <w:r>
        <w:rPr>
          <w:b w:val="0"/>
          <w:i w:val="0"/>
        </w:rPr>
        <w:t>Each unit's placement, orientation offset, and rotation schedule are derived from site-specific solar irradiance data (measured in kWh per square meter per day), full-year solar elevation and azimuth calculations, and GIS-based three-dimensional shadow modeling that accounts for neighboring structures, mature trees, and topography. Homes are positioned within the neighborhood grid to minimize mutual shading, and rotation schedules are pre-programmed from solar ephemeris data rather than relying on real-time sensor feedback under clear-sky conditions.</w:t>
      </w:r>
    </w:p>
    <w:p>
      <w:pPr>
        <w:pStyle w:val="Heading2"/>
      </w:pPr>
      <w:r>
        <w:rPr>
          <w:color w:val="2E6B4F"/>
        </w:rPr>
        <w:t>3.4 Neighborhood Microgrid</w:t>
      </w:r>
    </w:p>
    <w:p>
      <w:pPr>
        <w:pStyle w:val="ListBullet"/>
      </w:pPr>
      <w:r>
        <w:t>Shared battery storage aggregates surplus generation from high-output homes and redistributes it to lower-output homes in real time.</w:t>
      </w:r>
    </w:p>
    <w:p>
      <w:pPr>
        <w:pStyle w:val="ListBullet"/>
      </w:pPr>
      <w:r>
        <w:t>Virtual net metering tracks each home's generation and consumption against a shared community pool rather than requiring direct electrical interconnection.</w:t>
      </w:r>
    </w:p>
    <w:p>
      <w:pPr>
        <w:pStyle w:val="ListBullet"/>
      </w:pPr>
      <w:r>
        <w:t>Grid-islanding capability allows the neighborhood microgrid to disconnect from the utility grid during outages or extreme grid stress, providing energy security precisely when the external grid is most likely to fail.</w:t>
      </w:r>
    </w:p>
    <w:p>
      <w:pPr>
        <w:pStyle w:val="ListBullet"/>
      </w:pPr>
      <w:r>
        <w:t>Aggregate generation is modeled to target net-positive output during peak summer months in hot, sun-intensive regions such as California's Central Valley, aligning peak solar generation with peak cooling demand.</w:t>
      </w:r>
    </w:p>
    <w:p>
      <w:pPr>
        <w:pStyle w:val="Heading1"/>
      </w:pPr>
      <w:r>
        <w:rPr>
          <w:color w:val="1F4E37"/>
        </w:rPr>
        <w:t>Section 4 — Materials System: Modular Components &amp; Circular Economy</w:t>
      </w:r>
    </w:p>
    <w:p>
      <w:pPr>
        <w:pStyle w:val="Heading2"/>
      </w:pPr>
      <w:r>
        <w:rPr>
          <w:color w:val="2E6B4F"/>
        </w:rPr>
        <w:t>4.1 Component-Level Replaceability</w:t>
      </w:r>
    </w:p>
    <w:p>
      <w:r>
        <w:rPr>
          <w:b w:val="0"/>
          <w:i w:val="0"/>
        </w:rPr>
        <w:t>Every exterior and interior surface component — cladding panel, trim section, baseboard, window unit — is standardized to uniform dimensions and connection interfaces across the entire neighborhood, installable and removable with common tools rather than proprietary equipment. This directly targets a well-documented inefficiency in conventional construction: minor damage to a small section of siding or cladding typically forces a homeowner to purchase replacement material in bulk quantities, since most cladding systems are not designed for component-level repair. Under this design, a single damaged panel is identified via a durable part identifier linked to a digital parts database, then ordered and replaced individually.</w:t>
      </w:r>
    </w:p>
    <w:p>
      <w:pPr>
        <w:pStyle w:val="Heading2"/>
      </w:pPr>
      <w:r>
        <w:rPr>
          <w:color w:val="2E6B4F"/>
        </w:rPr>
        <w:t>4.2 Neighborhood-Scale Parts Pool</w:t>
      </w:r>
    </w:p>
    <w:p>
      <w:r>
        <w:rPr>
          <w:b w:val="0"/>
          <w:i w:val="0"/>
        </w:rPr>
        <w:t>Because every home in the neighborhood shares the same standardized component library, a local parts depot maintains a rotating inventory of replacement components for the entire community, reducing per-unit cost and lead time relative to individual homeowner procurement.</w:t>
      </w:r>
    </w:p>
    <w:p>
      <w:pPr>
        <w:pStyle w:val="Heading2"/>
      </w:pPr>
      <w:r>
        <w:rPr>
          <w:color w:val="2E6B4F"/>
        </w:rPr>
        <w:t>4.3 Circular Materials Lifecycle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37"/>
          </w:tcPr>
          <w:p>
            <w:r/>
            <w:r>
              <w:rPr>
                <w:b/>
                <w:color w:val="FFFFFF"/>
              </w:rPr>
              <w:t>Lifecycle Stage</w:t>
            </w:r>
          </w:p>
        </w:tc>
        <w:tc>
          <w:tcPr>
            <w:tcW w:type="dxa" w:w="2880"/>
            <w:shd w:val="clear" w:color="auto" w:fill="1F4E37"/>
          </w:tcPr>
          <w:p>
            <w:r/>
            <w:r>
              <w:rPr>
                <w:b/>
                <w:color w:val="FFFFFF"/>
              </w:rPr>
              <w:t>Process</w:t>
            </w:r>
          </w:p>
        </w:tc>
        <w:tc>
          <w:tcPr>
            <w:tcW w:type="dxa" w:w="2880"/>
            <w:shd w:val="clear" w:color="auto" w:fill="1F4E37"/>
          </w:tcPr>
          <w:p>
            <w:r/>
            <w:r>
              <w:rPr>
                <w:b/>
                <w:color w:val="FFFFFF"/>
              </w:rPr>
              <w:t>Circular Principle</w:t>
            </w:r>
          </w:p>
        </w:tc>
      </w:tr>
      <w:tr>
        <w:tc>
          <w:tcPr>
            <w:tcW w:type="dxa" w:w="2880"/>
          </w:tcPr>
          <w:p>
            <w:r>
              <w:t>Manufactured</w:t>
            </w:r>
          </w:p>
        </w:tc>
        <w:tc>
          <w:tcPr>
            <w:tcW w:type="dxa" w:w="2880"/>
          </w:tcPr>
          <w:p>
            <w:r>
              <w:t>Components produced from recycled-content feedstock where possible; production waste captured and returned to the stream</w:t>
            </w:r>
          </w:p>
        </w:tc>
        <w:tc>
          <w:tcPr>
            <w:tcW w:type="dxa" w:w="2880"/>
          </w:tcPr>
          <w:p>
            <w:r>
              <w:t>Design for recyclability at point of manufacture</w:t>
            </w:r>
          </w:p>
        </w:tc>
      </w:tr>
      <w:tr>
        <w:tc>
          <w:tcPr>
            <w:tcW w:type="dxa" w:w="2880"/>
          </w:tcPr>
          <w:p>
            <w:r>
              <w:t>Installed</w:t>
            </w:r>
          </w:p>
        </w:tc>
        <w:tc>
          <w:tcPr>
            <w:tcW w:type="dxa" w:w="2880"/>
          </w:tcPr>
          <w:p>
            <w:r>
              <w:t>Precision-fit installation minimizes construction waste; off-cuts catalogued and retained rather than discarded</w:t>
            </w:r>
          </w:p>
        </w:tc>
        <w:tc>
          <w:tcPr>
            <w:tcW w:type="dxa" w:w="2880"/>
          </w:tcPr>
          <w:p>
            <w:r>
              <w:t>Zero-waste installation protocol</w:t>
            </w:r>
          </w:p>
        </w:tc>
      </w:tr>
      <w:tr>
        <w:tc>
          <w:tcPr>
            <w:tcW w:type="dxa" w:w="2880"/>
          </w:tcPr>
          <w:p>
            <w:r>
              <w:t>Maintained</w:t>
            </w:r>
          </w:p>
        </w:tc>
        <w:tc>
          <w:tcPr>
            <w:tcW w:type="dxa" w:w="2880"/>
          </w:tcPr>
          <w:p>
            <w:r>
              <w:t>Routine inspection identifies wear before failure; maintenance data shared with the neighborhood parts system</w:t>
            </w:r>
          </w:p>
        </w:tc>
        <w:tc>
          <w:tcPr>
            <w:tcW w:type="dxa" w:w="2880"/>
          </w:tcPr>
          <w:p>
            <w:r>
              <w:t>Preventive maintenance extends component service life</w:t>
            </w:r>
          </w:p>
        </w:tc>
      </w:tr>
      <w:tr>
        <w:tc>
          <w:tcPr>
            <w:tcW w:type="dxa" w:w="2880"/>
          </w:tcPr>
          <w:p>
            <w:r>
              <w:t>Repaired / Refurbished</w:t>
            </w:r>
          </w:p>
        </w:tc>
        <w:tc>
          <w:tcPr>
            <w:tcW w:type="dxa" w:w="2880"/>
          </w:tcPr>
          <w:p>
            <w:r>
              <w:t>Damaged components removed individually; resurfacing, recoating, or resealing attempted before full replacement</w:t>
            </w:r>
          </w:p>
        </w:tc>
        <w:tc>
          <w:tcPr>
            <w:tcW w:type="dxa" w:w="2880"/>
          </w:tcPr>
          <w:p>
            <w:r>
              <w:t>Repair first, replace only when necessary</w:t>
            </w:r>
          </w:p>
        </w:tc>
      </w:tr>
      <w:tr>
        <w:tc>
          <w:tcPr>
            <w:tcW w:type="dxa" w:w="2880"/>
          </w:tcPr>
          <w:p>
            <w:r>
              <w:t>Recovered</w:t>
            </w:r>
          </w:p>
        </w:tc>
        <w:tc>
          <w:tcPr>
            <w:tcW w:type="dxa" w:w="2880"/>
          </w:tcPr>
          <w:p>
            <w:r>
              <w:t>End-of-life components sorted by material type and returned to appropriate recovery streams</w:t>
            </w:r>
          </w:p>
        </w:tc>
        <w:tc>
          <w:tcPr>
            <w:tcW w:type="dxa" w:w="2880"/>
          </w:tcPr>
          <w:p>
            <w:r>
              <w:t>Cradle-to-cradle recovery, no landfill default pathway</w:t>
            </w:r>
          </w:p>
        </w:tc>
      </w:tr>
    </w:tbl>
    <w:p/>
    <w:p>
      <w:r>
        <w:rPr>
          <w:b w:val="0"/>
          <w:i w:val="0"/>
        </w:rPr>
        <w:t>This structure is consistent with published findings on circular-economy integration in modular construction, which show that standardized, inter-locking building components with defined lifecycle pathways extend effective service life and reduce cumulative resource consumption across multiple use cycles relative to conventional single-lifecycle construction materials.</w:t>
      </w:r>
    </w:p>
    <w:p>
      <w:pPr>
        <w:pStyle w:val="Heading1"/>
      </w:pPr>
      <w:r>
        <w:rPr>
          <w:color w:val="1F4E37"/>
        </w:rPr>
        <w:t>Section 5 — Financial &amp; Risk Resilience Model</w:t>
      </w:r>
    </w:p>
    <w:p>
      <w:pPr>
        <w:pStyle w:val="Heading2"/>
      </w:pPr>
      <w:r>
        <w:rPr>
          <w:color w:val="2E6B4F"/>
        </w:rPr>
        <w:t>5.1 Homeowner Financial Impact</w:t>
      </w:r>
    </w:p>
    <w:p>
      <w:pPr>
        <w:pStyle w:val="ListBullet"/>
      </w:pPr>
      <w:r>
        <w:t>Reduced earthquake insurance dependency: a structure engineered to remain functionally intact through seismic events removes the primary driver of earthquake insurance premiums and the adversarial post-disaster claims process.</w:t>
      </w:r>
    </w:p>
    <w:p>
      <w:pPr>
        <w:pStyle w:val="ListBullet"/>
      </w:pPr>
      <w:r>
        <w:t>Reduced or eliminated peak-season utility bills: full-envelope BIPV combined with sun-tracking rotation and microgrid participation targets net-zero or net-positive energy production during peak summer months.</w:t>
      </w:r>
    </w:p>
    <w:p>
      <w:pPr>
        <w:pStyle w:val="ListBullet"/>
      </w:pPr>
      <w:r>
        <w:t>Lower long-term maintenance cost: component-level repair costs a fraction of full-assembly replacement, converting unpredictable large repair expenses into smaller, predictable maintenance costs.</w:t>
      </w:r>
    </w:p>
    <w:p>
      <w:pPr>
        <w:pStyle w:val="ListBullet"/>
      </w:pPr>
      <w:r>
        <w:t>Reduced storm-damage financial shock: structural redundancy and impact-rated cladding reduce the frequency and severity of storm-related repair cycles.</w:t>
      </w:r>
    </w:p>
    <w:p>
      <w:pPr>
        <w:pStyle w:val="ListBullet"/>
      </w:pPr>
      <w:r>
        <w:t>Extended property value durability: a structure engineered for multi-decade component-level renewal avoids the depreciation curve associated with aging conventional housing stock.</w:t>
      </w:r>
    </w:p>
    <w:p>
      <w:pPr>
        <w:pStyle w:val="Heading2"/>
      </w:pPr>
      <w:r>
        <w:rPr>
          <w:color w:val="2E6B4F"/>
        </w:rPr>
        <w:t>5.2 Risk-Category Mapping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37"/>
          </w:tcPr>
          <w:p>
            <w:r/>
            <w:r>
              <w:rPr>
                <w:b/>
                <w:color w:val="FFFFFF"/>
              </w:rPr>
              <w:t>Risk Category</w:t>
            </w:r>
          </w:p>
        </w:tc>
        <w:tc>
          <w:tcPr>
            <w:tcW w:type="dxa" w:w="2880"/>
            <w:shd w:val="clear" w:color="auto" w:fill="1F4E37"/>
          </w:tcPr>
          <w:p>
            <w:r/>
            <w:r>
              <w:rPr>
                <w:b/>
                <w:color w:val="FFFFFF"/>
              </w:rPr>
              <w:t>Primary Mitigation Layer</w:t>
            </w:r>
          </w:p>
        </w:tc>
        <w:tc>
          <w:tcPr>
            <w:tcW w:type="dxa" w:w="2880"/>
            <w:shd w:val="clear" w:color="auto" w:fill="1F4E37"/>
          </w:tcPr>
          <w:p>
            <w:r/>
            <w:r>
              <w:rPr>
                <w:b/>
                <w:color w:val="FFFFFF"/>
              </w:rPr>
              <w:t>Design Element</w:t>
            </w:r>
          </w:p>
        </w:tc>
      </w:tr>
      <w:tr>
        <w:tc>
          <w:tcPr>
            <w:tcW w:type="dxa" w:w="2880"/>
          </w:tcPr>
          <w:p>
            <w:r>
              <w:t>Seismic events</w:t>
            </w:r>
          </w:p>
        </w:tc>
        <w:tc>
          <w:tcPr>
            <w:tcW w:type="dxa" w:w="2880"/>
          </w:tcPr>
          <w:p>
            <w:r>
              <w:t>Structural isolation</w:t>
            </w:r>
          </w:p>
        </w:tc>
        <w:tc>
          <w:tcPr>
            <w:tcW w:type="dxa" w:w="2880"/>
          </w:tcPr>
          <w:p>
            <w:r>
              <w:t>Curved-cradle base isolation; spherical bearing pods; absorptive buffer zone</w:t>
            </w:r>
          </w:p>
        </w:tc>
      </w:tr>
      <w:tr>
        <w:tc>
          <w:tcPr>
            <w:tcW w:type="dxa" w:w="2880"/>
          </w:tcPr>
          <w:p>
            <w:r>
              <w:t>Severe weather</w:t>
            </w:r>
          </w:p>
        </w:tc>
        <w:tc>
          <w:tcPr>
            <w:tcW w:type="dxa" w:w="2880"/>
          </w:tcPr>
          <w:p>
            <w:r>
              <w:t>Envelope protection</w:t>
            </w:r>
          </w:p>
        </w:tc>
        <w:tc>
          <w:tcPr>
            <w:tcW w:type="dxa" w:w="2880"/>
          </w:tcPr>
          <w:p>
            <w:r>
              <w:t>Aerogel insulation; PCM thermal mass; storm-rated openings; structural redundancy</w:t>
            </w:r>
          </w:p>
        </w:tc>
      </w:tr>
      <w:tr>
        <w:tc>
          <w:tcPr>
            <w:tcW w:type="dxa" w:w="2880"/>
          </w:tcPr>
          <w:p>
            <w:r>
              <w:t>Energy price volatility</w:t>
            </w:r>
          </w:p>
        </w:tc>
        <w:tc>
          <w:tcPr>
            <w:tcW w:type="dxa" w:w="2880"/>
          </w:tcPr>
          <w:p>
            <w:r>
              <w:t>Supply independence</w:t>
            </w:r>
          </w:p>
        </w:tc>
        <w:tc>
          <w:tcPr>
            <w:tcW w:type="dxa" w:w="2880"/>
          </w:tcPr>
          <w:p>
            <w:r>
              <w:t>Full-envelope BIPV; sun-tracking rotation; neighborhood microgrid; battery storage</w:t>
            </w:r>
          </w:p>
        </w:tc>
      </w:tr>
      <w:tr>
        <w:tc>
          <w:tcPr>
            <w:tcW w:type="dxa" w:w="2880"/>
          </w:tcPr>
          <w:p>
            <w:r>
              <w:t>Grid failure / data-center demand strain</w:t>
            </w:r>
          </w:p>
        </w:tc>
        <w:tc>
          <w:tcPr>
            <w:tcW w:type="dxa" w:w="2880"/>
          </w:tcPr>
          <w:p>
            <w:r>
              <w:t>Islanded microgrid</w:t>
            </w:r>
          </w:p>
        </w:tc>
        <w:tc>
          <w:tcPr>
            <w:tcW w:type="dxa" w:w="2880"/>
          </w:tcPr>
          <w:p>
            <w:r>
              <w:t>Community battery storage; grid-islanding design; distributed generation</w:t>
            </w:r>
          </w:p>
        </w:tc>
      </w:tr>
      <w:tr>
        <w:tc>
          <w:tcPr>
            <w:tcW w:type="dxa" w:w="2880"/>
          </w:tcPr>
          <w:p>
            <w:r>
              <w:t>Extreme heat</w:t>
            </w:r>
          </w:p>
        </w:tc>
        <w:tc>
          <w:tcPr>
            <w:tcW w:type="dxa" w:w="2880"/>
          </w:tcPr>
          <w:p>
            <w:r>
              <w:t>Passive thermal management</w:t>
            </w:r>
          </w:p>
        </w:tc>
        <w:tc>
          <w:tcPr>
            <w:tcW w:type="dxa" w:w="2880"/>
          </w:tcPr>
          <w:p>
            <w:r>
              <w:t>Solar-reflective and thermochromic coatings; PCM heat buffering</w:t>
            </w:r>
          </w:p>
        </w:tc>
      </w:tr>
      <w:tr>
        <w:tc>
          <w:tcPr>
            <w:tcW w:type="dxa" w:w="2880"/>
          </w:tcPr>
          <w:p>
            <w:r>
              <w:t>Material scarcity / repair cost shocks</w:t>
            </w:r>
          </w:p>
        </w:tc>
        <w:tc>
          <w:tcPr>
            <w:tcW w:type="dxa" w:w="2880"/>
          </w:tcPr>
          <w:p>
            <w:r>
              <w:t>Circular materials sovereignty</w:t>
            </w:r>
          </w:p>
        </w:tc>
        <w:tc>
          <w:tcPr>
            <w:tcW w:type="dxa" w:w="2880"/>
          </w:tcPr>
          <w:p>
            <w:r>
              <w:t>Modular replaceable parts; neighborhood parts pool; lifecycle stream management</w:t>
            </w:r>
          </w:p>
        </w:tc>
      </w:tr>
    </w:tbl>
    <w:p/>
    <w:p>
      <w:pPr>
        <w:pStyle w:val="Heading1"/>
      </w:pPr>
      <w:r>
        <w:rPr>
          <w:color w:val="1F4E37"/>
        </w:rPr>
        <w:t>Section 6 — Neighborhood-Scale Deployment Model</w:t>
      </w:r>
    </w:p>
    <w:p>
      <w:pPr>
        <w:pStyle w:val="Heading2"/>
      </w:pPr>
      <w:r>
        <w:rPr>
          <w:color w:val="2E6B4F"/>
        </w:rPr>
        <w:t>6.1 Site Planning Principles</w:t>
      </w:r>
    </w:p>
    <w:p>
      <w:pPr>
        <w:pStyle w:val="ListBullet"/>
      </w:pPr>
      <w:r>
        <w:t>Solar-optimized placement: each home's grid position and orientation offset is set by the site's solar irradiance model to maximize exposure while minimizing mutual shading between rotating structures.</w:t>
      </w:r>
    </w:p>
    <w:p>
      <w:pPr>
        <w:pStyle w:val="ListBullet"/>
      </w:pPr>
      <w:r>
        <w:t>Seismic-aware siting: soil composition and geotechnical survey data inform the isolation-cradle design for each unit, accounting for site-specific seismic wave amplification through varying ground conditions.</w:t>
      </w:r>
    </w:p>
    <w:p>
      <w:pPr>
        <w:pStyle w:val="ListBullet"/>
      </w:pPr>
      <w:r>
        <w:t>Shared infrastructure corridors: microgrid conduit, materials-stream collection points, and the parts depot are designed into the original site plan rather than retrofitted after construction.</w:t>
      </w:r>
    </w:p>
    <w:p>
      <w:pPr>
        <w:pStyle w:val="Heading2"/>
      </w:pPr>
      <w:r>
        <w:rPr>
          <w:color w:val="2E6B4F"/>
        </w:rPr>
        <w:t>6.2 Phased Development Roadmap</w:t>
      </w:r>
    </w:p>
    <w:p>
      <w:r>
        <w:rPr>
          <w:b w:val="0"/>
          <w:i w:val="0"/>
        </w:rPr>
        <w:t>Independent of the original concept, this redesign proposes a four-phase implementation roadmap intended to de-risk deployment by validating each subsystem before full neighborhood-scale commitment.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37"/>
          </w:tcPr>
          <w:p>
            <w:r/>
            <w:r>
              <w:rPr>
                <w:b/>
                <w:color w:val="FFFFFF"/>
              </w:rPr>
              <w:t>Phase</w:t>
            </w:r>
          </w:p>
        </w:tc>
        <w:tc>
          <w:tcPr>
            <w:tcW w:type="dxa" w:w="2880"/>
            <w:shd w:val="clear" w:color="auto" w:fill="1F4E37"/>
          </w:tcPr>
          <w:p>
            <w:r/>
            <w:r>
              <w:rPr>
                <w:b/>
                <w:color w:val="FFFFFF"/>
              </w:rPr>
              <w:t>Scope</w:t>
            </w:r>
          </w:p>
        </w:tc>
        <w:tc>
          <w:tcPr>
            <w:tcW w:type="dxa" w:w="2880"/>
            <w:shd w:val="clear" w:color="auto" w:fill="1F4E37"/>
          </w:tcPr>
          <w:p>
            <w:r/>
            <w:r>
              <w:rPr>
                <w:b/>
                <w:color w:val="FFFFFF"/>
              </w:rPr>
              <w:t>Primary Objective</w:t>
            </w:r>
          </w:p>
        </w:tc>
      </w:tr>
      <w:tr>
        <w:tc>
          <w:tcPr>
            <w:tcW w:type="dxa" w:w="2880"/>
          </w:tcPr>
          <w:p>
            <w:r>
              <w:t>Phase 1 — Single-Unit Prototype</w:t>
            </w:r>
          </w:p>
        </w:tc>
        <w:tc>
          <w:tcPr>
            <w:tcW w:type="dxa" w:w="2880"/>
          </w:tcPr>
          <w:p>
            <w:r>
              <w:t>One instrumented home with isolation cradle, rotating platform, and full BIPV envelope</w:t>
            </w:r>
          </w:p>
        </w:tc>
        <w:tc>
          <w:tcPr>
            <w:tcW w:type="dxa" w:w="2880"/>
          </w:tcPr>
          <w:p>
            <w:r>
              <w:t>Validate structural isolation performance and rotation-driven energy yield under real conditions</w:t>
            </w:r>
          </w:p>
        </w:tc>
      </w:tr>
      <w:tr>
        <w:tc>
          <w:tcPr>
            <w:tcW w:type="dxa" w:w="2880"/>
          </w:tcPr>
          <w:p>
            <w:r>
              <w:t>Phase 2 — Micro-Cluster (4-8 homes)</w:t>
            </w:r>
          </w:p>
        </w:tc>
        <w:tc>
          <w:tcPr>
            <w:tcW w:type="dxa" w:w="2880"/>
          </w:tcPr>
          <w:p>
            <w:r>
              <w:t>Small cluster sharing a pilot microgrid and parts depot</w:t>
            </w:r>
          </w:p>
        </w:tc>
        <w:tc>
          <w:tcPr>
            <w:tcW w:type="dxa" w:w="2880"/>
          </w:tcPr>
          <w:p>
            <w:r>
              <w:t>Test microgrid load balancing, virtual net metering, and shared parts logistics at small scale</w:t>
            </w:r>
          </w:p>
        </w:tc>
      </w:tr>
      <w:tr>
        <w:tc>
          <w:tcPr>
            <w:tcW w:type="dxa" w:w="2880"/>
          </w:tcPr>
          <w:p>
            <w:r>
              <w:t>Phase 3 — Neighborhood Rollout</w:t>
            </w:r>
          </w:p>
        </w:tc>
        <w:tc>
          <w:tcPr>
            <w:tcW w:type="dxa" w:w="2880"/>
          </w:tcPr>
          <w:p>
            <w:r>
              <w:t>Full-scale neighborhood with integrated site plan</w:t>
            </w:r>
          </w:p>
        </w:tc>
        <w:tc>
          <w:tcPr>
            <w:tcW w:type="dxa" w:w="2880"/>
          </w:tcPr>
          <w:p>
            <w:r>
              <w:t>Validate full circular materials stream and grid-islanding capability under community load</w:t>
            </w:r>
          </w:p>
        </w:tc>
      </w:tr>
      <w:tr>
        <w:tc>
          <w:tcPr>
            <w:tcW w:type="dxa" w:w="2880"/>
          </w:tcPr>
          <w:p>
            <w:r>
              <w:t>Phase 4 — Standardization &amp; Licensing</w:t>
            </w:r>
          </w:p>
        </w:tc>
        <w:tc>
          <w:tcPr>
            <w:tcW w:type="dxa" w:w="2880"/>
          </w:tcPr>
          <w:p>
            <w:r>
              <w:t>Codified design standards, parts catalog, and construction specification</w:t>
            </w:r>
          </w:p>
        </w:tc>
        <w:tc>
          <w:tcPr>
            <w:tcW w:type="dxa" w:w="2880"/>
          </w:tcPr>
          <w:p>
            <w:r>
              <w:t>Enable replication across additional sites and climates without re-engineering from scratch</w:t>
            </w:r>
          </w:p>
        </w:tc>
      </w:tr>
    </w:tbl>
    <w:p/>
    <w:p>
      <w:pPr>
        <w:pStyle w:val="Heading2"/>
      </w:pPr>
      <w:r>
        <w:rPr>
          <w:color w:val="2E6B4F"/>
        </w:rPr>
        <w:t>6.3 Real-World Precedents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37"/>
          </w:tcPr>
          <w:p>
            <w:r/>
            <w:r>
              <w:rPr>
                <w:b/>
                <w:color w:val="FFFFFF"/>
              </w:rPr>
              <w:t>Precedent Type</w:t>
            </w:r>
          </w:p>
        </w:tc>
        <w:tc>
          <w:tcPr>
            <w:tcW w:type="dxa" w:w="2880"/>
            <w:shd w:val="clear" w:color="auto" w:fill="1F4E37"/>
          </w:tcPr>
          <w:p>
            <w:r/>
            <w:r>
              <w:rPr>
                <w:b/>
                <w:color w:val="FFFFFF"/>
              </w:rPr>
              <w:t>Example</w:t>
            </w:r>
          </w:p>
        </w:tc>
        <w:tc>
          <w:tcPr>
            <w:tcW w:type="dxa" w:w="2880"/>
            <w:shd w:val="clear" w:color="auto" w:fill="1F4E37"/>
          </w:tcPr>
          <w:p>
            <w:r/>
            <w:r>
              <w:rPr>
                <w:b/>
                <w:color w:val="FFFFFF"/>
              </w:rPr>
              <w:t>Connection to This Design</w:t>
            </w:r>
          </w:p>
        </w:tc>
      </w:tr>
      <w:tr>
        <w:tc>
          <w:tcPr>
            <w:tcW w:type="dxa" w:w="2880"/>
          </w:tcPr>
          <w:p>
            <w:r>
              <w:t>Net-zero energy communities</w:t>
            </w:r>
          </w:p>
        </w:tc>
        <w:tc>
          <w:tcPr>
            <w:tcW w:type="dxa" w:w="2880"/>
          </w:tcPr>
          <w:p>
            <w:r>
              <w:t>Zero-energy-ready neighborhoods where aggregate generation matches aggregate consumption</w:t>
            </w:r>
          </w:p>
        </w:tc>
        <w:tc>
          <w:tcPr>
            <w:tcW w:type="dxa" w:w="2880"/>
          </w:tcPr>
          <w:p>
            <w:r>
              <w:t>This design targets net-positive generation, exceeding the net-zero benchmark</w:t>
            </w:r>
          </w:p>
        </w:tc>
      </w:tr>
      <w:tr>
        <w:tc>
          <w:tcPr>
            <w:tcW w:type="dxa" w:w="2880"/>
          </w:tcPr>
          <w:p>
            <w:r>
              <w:t>Seismically isolated public buildings</w:t>
            </w:r>
          </w:p>
        </w:tc>
        <w:tc>
          <w:tcPr>
            <w:tcW w:type="dxa" w:w="2880"/>
          </w:tcPr>
          <w:p>
            <w:r>
              <w:t>City halls, hospitals, and government buildings in Japan, New Zealand, and California built on base isolation</w:t>
            </w:r>
          </w:p>
        </w:tc>
        <w:tc>
          <w:tcPr>
            <w:tcW w:type="dxa" w:w="2880"/>
          </w:tcPr>
          <w:p>
            <w:r>
              <w:t>Brings a proven commercial/institutional technology into residential-scale application</w:t>
            </w:r>
          </w:p>
        </w:tc>
      </w:tr>
      <w:tr>
        <w:tc>
          <w:tcPr>
            <w:tcW w:type="dxa" w:w="2880"/>
          </w:tcPr>
          <w:p>
            <w:r>
              <w:t>Modular construction developments</w:t>
            </w:r>
          </w:p>
        </w:tc>
        <w:tc>
          <w:tcPr>
            <w:tcW w:type="dxa" w:w="2880"/>
          </w:tcPr>
          <w:p>
            <w:r>
              <w:t>Factory-built modular housing components assembled on-site</w:t>
            </w:r>
          </w:p>
        </w:tc>
        <w:tc>
          <w:tcPr>
            <w:tcW w:type="dxa" w:w="2880"/>
          </w:tcPr>
          <w:p>
            <w:r>
              <w:t>Extends modularity beyond the construction phase into full operational and end-of-life lifecycle</w:t>
            </w:r>
          </w:p>
        </w:tc>
      </w:tr>
      <w:tr>
        <w:tc>
          <w:tcPr>
            <w:tcW w:type="dxa" w:w="2880"/>
          </w:tcPr>
          <w:p>
            <w:r>
              <w:t>Eco-villages</w:t>
            </w:r>
          </w:p>
        </w:tc>
        <w:tc>
          <w:tcPr>
            <w:tcW w:type="dxa" w:w="2880"/>
          </w:tcPr>
          <w:p>
            <w:r>
              <w:t>Intentional communities built around shared resources and reduced environmental footprint</w:t>
            </w:r>
          </w:p>
        </w:tc>
        <w:tc>
          <w:tcPr>
            <w:tcW w:type="dxa" w:w="2880"/>
          </w:tcPr>
          <w:p>
            <w:r>
              <w:t>Adopts the shared-resource philosophy and formalizes it into engineered infrastructure</w:t>
            </w:r>
          </w:p>
        </w:tc>
      </w:tr>
    </w:tbl>
    <w:p/>
    <w:p>
      <w:pPr>
        <w:pStyle w:val="Heading1"/>
      </w:pPr>
      <w:r>
        <w:rPr>
          <w:color w:val="1F4E37"/>
        </w:rPr>
        <w:t>Section 7 — Limitations &amp; Open Engineering Questions</w:t>
      </w:r>
    </w:p>
    <w:p>
      <w:r>
        <w:rPr>
          <w:b w:val="0"/>
          <w:i w:val="0"/>
        </w:rPr>
        <w:t>This remains a concept-stage framework rather than a validated engineering design, and several open questions would need to be resolved before construction: the structural and cost implications of combining a rotational bearing platform with a seismic isolation cradle in the same foundation assembly; the actual maintenance burden and failure modes of a residential-scale rotation drive operating continuously for decades; the regulatory and building-code pathway for base-isolated single-family residential construction, which is far more common in commercial and institutional buildings than in houses; and the comparative lifecycle cost of full-envelope BIPV, including facade and glazing integration, versus a simpler rooftop-only solar-plus-storage system.</w:t>
      </w:r>
    </w:p>
    <w:p>
      <w:r>
        <w:rPr>
          <w:b w:val="0"/>
          <w:i w:val="0"/>
        </w:rPr>
        <w:t>None of these questions are disqualifying — each corresponds to an active area of ongoing engineering research and commercial development — but they distinguish this framework from a construction-ready design.</w:t>
      </w:r>
    </w:p>
    <w:p>
      <w:pPr>
        <w:pStyle w:val="Heading1"/>
      </w:pPr>
      <w:r>
        <w:rPr>
          <w:color w:val="1F4E37"/>
        </w:rPr>
        <w:t>Section 8 — Conclusion</w:t>
      </w:r>
    </w:p>
    <w:p>
      <w:r>
        <w:rPr>
          <w:b w:val="0"/>
          <w:i w:val="0"/>
        </w:rPr>
        <w:t>The Resilient Adaptive Housing Initiative applies the same systems-thinking question posed by an introductory soil erosion experiment — where does stress concentrate, and what absorbs or transmits it — to the scale of an entire home and neighborhood. Seismic isolation, full-envelope solar generation with sun-tracking rotation, and a closed-loop circular materials economy are each individually mature or maturing technologies; the original contribution of this concept is combining all three into a single integrated residential system, evaluated here against current engineering literature rather than repeating the framing of the source concept. The technologies required to build a first prototype exist today. What remains is a phased, instrumented deployment path capable of testing the concept's core assumptions under real structural, financial, and climate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