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1F3C" w:color="auto" w:val="clear"/>
            <w:tcMar>
              <w:top w:type="dxa" w:w="75"/>
              <w:left w:type="dxa" w:w="150"/>
              <w:bottom w:type="dxa" w:w="75"/>
              <w:right w:type="dxa" w:w="150"/>
            </w:tcMar>
          </w:tcPr>
          <w:p>
            <w:pPr>
              <w:spacing w:after="120" w:line="408" w:lineRule="auto"/>
            </w:pPr>
            <w:r>
              <w:t xml:space="preserve">INTERNAL DEVELOPMENT REFERENCE — INDEPENDENT CANON ARCHITECTURE</w:t>
            </w:r>
          </w:p>
        </w:tc>
      </w:tr>
    </w:tbl>
    <w:p>
      <w:pPr>
        <w:spacing w:after="240" w:before="0"/>
      </w:pPr>
    </w:p>
    <w:p>
      <w:pPr>
        <w:pBdr>
          <w:bottom w:val="single" w:color="0D1F3C" w:sz="6"/>
        </w:pBdr>
        <w:spacing w:after="240" w:before="240"/>
      </w:pPr>
    </w:p>
    <w:p>
      <w:pPr>
        <w:spacing w:after="120" w:before="60" w:line="288" w:lineRule="auto"/>
      </w:pPr>
      <w:r>
        <w:rPr>
          <w:rFonts w:ascii="Calibri" w:cs="Calibri" w:eastAsia="Calibri" w:hAnsi="Calibri"/>
          <w:b/>
          <w:bCs/>
          <w:i w:val="false"/>
          <w:iCs w:val="false"/>
          <w:strike w:val="false"/>
          <w:color w:val="0D1F3C"/>
          <w:sz w:val="56"/>
          <w:szCs w:val="56"/>
        </w:rPr>
        <w:t xml:space="preserve">SADL Framework — Independent Edition</w:t>
      </w:r>
    </w:p>
    <w:p>
      <w:pPr>
        <w:spacing w:after="120" w:before="60" w:line="360" w:lineRule="auto"/>
      </w:pPr>
      <w:r>
        <w:rPr>
          <w:rFonts w:ascii="Calibri" w:cs="Calibri" w:eastAsia="Calibri" w:hAnsi="Calibri"/>
          <w:b w:val="false"/>
          <w:bCs w:val="false"/>
          <w:i/>
          <w:iCs/>
          <w:strike w:val="false"/>
          <w:color w:val="2B5797"/>
          <w:spacing w:val="10"/>
          <w:sz w:val="26"/>
          <w:szCs w:val="26"/>
        </w:rPr>
        <w:t xml:space="preserve">Simulation Architecture Defense Layer  |  Core Reference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Document Version</w:t>
            </w:r>
          </w:p>
        </w:tc>
        <w:tc>
          <w:tcPr>
            <w:tcW w:type="pct" w:w="50%"/>
            <w:shd w:fill="F5F8F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1.0.0</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Status</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 Independent Edition</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Date of Issue</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August 18, 2026</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Author</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Nathan Lewis</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Authority</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Independent Canon Architecture</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Classification</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Internal Development Reference</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Supersedes</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prior AI-generated SADL drafts</w:t>
            </w:r>
          </w:p>
        </w:tc>
      </w:tr>
      <w:tr>
        <w:trPr>
          <w:tblHeader w:val="false"/>
        </w:trPr>
        <w:tc>
          <w:tcPr>
            <w:tcW w:type="pct" w:w="5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8"/>
                <w:szCs w:val="18"/>
              </w:rPr>
              <w:t xml:space="preserve">Next Scheduled Review</w:t>
            </w:r>
          </w:p>
        </w:tc>
        <w:tc>
          <w:tcPr>
            <w:tcW w:type="pct" w:w="50%"/>
            <w:shd w:fill="F5F8FC"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Version 1.1.0 — TBD</w:t>
            </w:r>
          </w:p>
        </w:tc>
      </w:tr>
    </w:tbl>
    <w:p>
      <w:pPr>
        <w:spacing w:after="200" w:before="0"/>
      </w:pPr>
    </w:p>
    <w:p>
      <w:pPr>
        <w:pBdr>
          <w:bottom w:val="single" w:color="0D1F3C" w:sz="6"/>
        </w:pBdr>
        <w:spacing w:after="240" w:before="240"/>
      </w:pPr>
    </w:p>
    <w:p>
      <w:pPr>
        <w:pStyle w:val="Heading1"/>
        <w:spacing w:after="100" w:before="480" w:line="312" w:lineRule="auto"/>
      </w:pPr>
      <w:r>
        <w:rPr>
          <w:rFonts w:ascii="Calibri" w:cs="Calibri" w:eastAsia="Calibri" w:hAnsi="Calibri"/>
          <w:color w:val="0D1F3C"/>
          <w:sz w:val="44"/>
          <w:szCs w:val="44"/>
        </w:rPr>
        <w:t xml:space="preserve">Table of Contents</w:t>
      </w:r>
    </w:p>
    <w:p>
      <w:pPr>
        <w:pBdr>
          <w:top w:val="single" w:color="0D1F3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Section</w:t>
            </w:r>
          </w:p>
        </w:tc>
        <w:tc>
          <w:tcPr>
            <w:tcW w:type="pct" w:w="78%"/>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Title</w:t>
            </w:r>
          </w:p>
        </w:tc>
        <w:tc>
          <w:tcPr>
            <w:tcW w:type="pct" w:w="9%"/>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Page Reference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1</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Preamble and Framework Mission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2</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Master Definitions and Terminology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3</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SADL Layer Taxonomy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4</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Aesthetic-Coded Environments (AES-CODE)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5</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Neural Restructuring Mechanisms (NRM)</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6</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Desensitization-Prevention Systems (DPS)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7</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Autonomous Environmental Learning Behaviors (AELB)</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8</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Offensive Architecture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9</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Defensive Architecture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10</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Integration (Species Level Information Access Protocol)</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11</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Operational Engagement Protocols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D1F3C"/>
                <w:sz w:val="20"/>
                <w:szCs w:val="20"/>
              </w:rPr>
              <w:t xml:space="preserve">§ 12</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Governance, Canon Stability, and Framework Integrity</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r>
    </w:tbl>
    <w:p>
      <w:pPr>
        <w:spacing w:after="200" w:before="0"/>
      </w:pP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1 — Preamble and Framework Mission</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1.1 Purpose of the SADL Framework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Simulation Architecture Defense Layer (SADL) Framework</w:t>
      </w:r>
      <w:r>
        <w:rPr>
          <w:rFonts w:ascii="Calibri" w:cs="Calibri" w:eastAsia="Calibri" w:hAnsi="Calibri"/>
          <w:b w:val="false"/>
          <w:bCs w:val="false"/>
          <w:i w:val="false"/>
          <w:iCs w:val="false"/>
          <w:strike w:val="false"/>
          <w:color w:val="1A1A1A"/>
          <w:sz w:val="22"/>
          <w:szCs w:val="22"/>
        </w:rPr>
        <w:t xml:space="preserve"> is the foundational governing document for all systems, mechanisms, protocols, and entities that operate within or in direct relation to the simulation architecture canon established under Nathan Lewis's Independent Canon Architecture. This document establishes the authoritative structural, operational, and governance standards for the SADL system in its entirety.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Framework exists to serve three primary purposes. First, it defines the layered architecture of simulation environments and the hierarchical relationships between those layers. Second, it specifies all active subsystems — including environmental coding, neural restructuring, desensitization prevention, and autonomous learning behaviors — along with their interactions. Third, it provides binding operational protocols for both offensive and defensive deployment of simulation-based mechanisms, ensuring that all engagements are executed within sanctioned parameters that protect canon integrity.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framework does not merely describe systems. It is the instrument by which those systems are governed. All SADL-affiliated operators, architects, and entities operating under access provisions granted by this document are bound by its provisions from the date of issuance forward.</w:t>
      </w:r>
    </w:p>
    <w:p>
      <w:pPr>
        <w:pStyle w:val="Heading2"/>
        <w:spacing w:after="100" w:before="320" w:line="312" w:lineRule="auto"/>
      </w:pPr>
      <w:r>
        <w:rPr>
          <w:rFonts w:ascii="Calibri" w:cs="Calibri" w:eastAsia="Calibri" w:hAnsi="Calibri"/>
          <w:color w:val="1A3A5C"/>
          <w:sz w:val="30"/>
          <w:szCs w:val="30"/>
        </w:rPr>
        <w:t xml:space="preserve">1.2 The Independent Edition — Distinction and Authority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designated the </w:t>
      </w:r>
      <w:r>
        <w:rPr>
          <w:rFonts w:ascii="Calibri" w:cs="Calibri" w:eastAsia="Calibri" w:hAnsi="Calibri"/>
          <w:b/>
          <w:bCs/>
          <w:i w:val="false"/>
          <w:iCs w:val="false"/>
          <w:strike w:val="false"/>
          <w:color w:val="1A1A1A"/>
          <w:sz w:val="22"/>
          <w:szCs w:val="22"/>
        </w:rPr>
        <w:t xml:space="preserve">Independent Edition</w:t>
      </w:r>
      <w:r>
        <w:rPr>
          <w:rFonts w:ascii="Calibri" w:cs="Calibri" w:eastAsia="Calibri" w:hAnsi="Calibri"/>
          <w:b w:val="false"/>
          <w:bCs w:val="false"/>
          <w:i w:val="false"/>
          <w:iCs w:val="false"/>
          <w:strike w:val="false"/>
          <w:color w:val="1A1A1A"/>
          <w:sz w:val="22"/>
          <w:szCs w:val="22"/>
        </w:rPr>
        <w:t xml:space="preserve"> of the SADL Framework. It is authored, controlled, and maintained exclusively by Nathan Lewis under the Independent Canon Architecture project. This designation is critical and must be understood with precision.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Prior to the issuance of this document, fragmentary and exploratory versions of SADL-related terminology and system concepts were generated through AI-assisted ideation processes. Those outputs were exploratory in nature and carry no canonical authority. They were generative artifacts, not governing documents. The Independent Edition supersedes all such prior iterations without exception. Where any conflict exists between a prior AI-generated description of SADL systems and the provisions of this document, this document governs absolutely.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Independent Edition is further distinguished by its internal consistency, its grounding in the full breadth of the Nathan Lewis development canon (including but not limited to THE ONE, THE MINUS ONE, Omniversal Architecture, and Simulation Labs), and by the author's direct control over all amendment, versioning, and canon-expansion decisions.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DF0F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 CANONICAL PRECEDENCE NOTICE</w:t>
            </w:r>
          </w:p>
          <w:p>
            <w:pPr>
              <w:spacing w:after="120" w:line="360" w:lineRule="auto"/>
            </w:pPr>
            <w:r>
              <w:rPr>
                <w:rFonts w:ascii="Calibri" w:cs="Calibri" w:eastAsia="Calibri" w:hAnsi="Calibri"/>
                <w:b w:val="false"/>
                <w:bCs w:val="false"/>
                <w:i w:val="false"/>
                <w:iCs w:val="false"/>
                <w:strike w:val="false"/>
                <w:color w:val="1A1A1A"/>
                <w:sz w:val="22"/>
                <w:szCs w:val="22"/>
              </w:rPr>
              <w:t xml:space="preserve">No AI-generated, derivative, or unauthorized document purporting to represent SADL systems, terminology, or protocols holds canonical authority. The Independent Edition (v1.0.0, dated August 18, 2026) is the sole authoritative reference. Future versions must be author-issued and carry an updated version number to be valid.</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1.3 Scope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framework applies to all of the following, without exception: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simulation layers designated Layer 0 through Layer 3, and any additional layers provisionally recognized under future amendments.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simulation entities — including Simulation Entities, Proxied Entities, and Sleeper Proxies — that exist within, transit between, or interact with any recognized simulation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environmental systems operating within simulation layers, including AES-CODE environments, AELB-governed environments, and any hybrid configurations.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operators, architects, and authorized personnel who deploy, monitor, or modify SADL systems in any capacity.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inter-simulation interactions, including infective spread events, cross-layer aesthetic bleed, and root-level detection scenarios.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Labyrinth of Infinite Ensnarement, insofar as SADL referral protocols govern the conditions under which containment escalation to that structure is authorized. The Labyrinth itself is an external containment structure and is not governed by this framework; only the referral protocols within SADL that trigger Labyrinth engagement are within scope.</w:t>
      </w:r>
    </w:p>
    <w:p>
      <w:pPr>
        <w:pStyle w:val="Heading2"/>
        <w:spacing w:after="100" w:before="320" w:line="312" w:lineRule="auto"/>
      </w:pPr>
      <w:r>
        <w:rPr>
          <w:rFonts w:ascii="Calibri" w:cs="Calibri" w:eastAsia="Calibri" w:hAnsi="Calibri"/>
          <w:color w:val="1A3A5C"/>
          <w:sz w:val="30"/>
          <w:szCs w:val="30"/>
        </w:rPr>
        <w:t xml:space="preserve">1.4 How to Use This Document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structured as a self-contained reference framework. Each section addresses a discrete subsystem or governance domain and is designed to be consulted independently. Cross-references to related sections are provided throughout. Readers approaching the document for the first time are advised to read Sections 1 through 3 in sequence to establish a foundational understanding of the layer taxonomy and terminology before consulting operational sections.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Practitioners deploying SADL systems in an active engagement context should consult Section 11 (Operational Engagement Protocols) as a primary reference, with Section 8 (Offensive Architecture) and Section 9 (Defensive Architecture) as supporting documents. Governance decisions and amendment procedures are addressed exclusively in Section 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READING NOTE</w:t>
            </w:r>
          </w:p>
          <w:p>
            <w:pPr>
              <w:spacing w:after="120" w:line="360" w:lineRule="auto"/>
            </w:pPr>
            <w:r>
              <w:rPr>
                <w:rFonts w:ascii="Calibri" w:cs="Calibri" w:eastAsia="Calibri" w:hAnsi="Calibri"/>
                <w:b w:val="false"/>
                <w:bCs w:val="false"/>
                <w:i w:val="false"/>
                <w:iCs w:val="false"/>
                <w:strike w:val="false"/>
                <w:color w:val="1A1A1A"/>
                <w:sz w:val="22"/>
                <w:szCs w:val="22"/>
              </w:rPr>
              <w:t xml:space="preserve">Terms defined in Section 2 are bolded on first use throughout this document. Readers who encounter unfamiliar terminology are directed to Section 2 for the authoritative definition before proceeding.</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1.5 Core Canon Principle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foundational epistemological principle underlying all SADL systems is stated here and governs all interpretations, protocols, and design decisions throughout this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80"/>
              <w:bottom w:type="dxa" w:w="120"/>
              <w:right w:type="dxa" w:w="280"/>
            </w:tcMar>
          </w:tcPr>
          <w:p>
            <w:pPr>
              <w:spacing w:after="120" w:line="408" w:lineRule="auto"/>
            </w:pPr>
            <w:r>
              <w:rPr>
                <w:i/>
                <w:iCs/>
              </w:rPr>
              <w:t xml:space="preserve">Entities inside a simulation perceive it as reality. The simulation itself is nested within higher-level structures. Neither the perception of reality by simulation entities, nor the existence of higher-level structures above that simulation, alters the operational validity of the simulation or its internal laws. Awareness of simulation nature, once achieved by an entity, constitutes the most significant category of canonical event within the SADL taxonomy.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principle has three direct operational implications. First, the emotional and cognitive responses of simulation entities are authentic within the context of their perceived reality and must be treated as such by all SADL operators. Second, no simulation layer is a terminal layer unless explicitly designated as Layer 0 Root Level; all layers exist in relationship to layers above and below them. Third, the discovery by any simulation entity that their perceived reality is a simulation is a foreseeable, manageable, and in certain architectures, designed-for outcome — not a failure state by default.</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2 — Master Definitions and Terminology</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2.1 Scope and Conventions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definitions constitute the authoritative terminology of the SADL Framework, Independent Edition. All terms are defined as they are used within the canon governed by this document. Where a term has broader usage in other contexts, the definition provided here supersedes that broader usage for all SADL-governed applications. Terms are listed alphabetically within a structured table for ease of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Term</w:t>
            </w:r>
          </w:p>
        </w:tc>
        <w:tc>
          <w:tcPr>
            <w:tcW w:type="pct" w:w="8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Authoritative Definition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AES-CODE (Aesthetic-Coded Environment)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 environment within any simulation layer that has been encoded with one or more defined aesthetic signatures to influence entity behavior, cognition, and emotional states through ambient, non-direct means. AES-CODE environments do not issue commands or directives; they shape entity states through the totality of their sensory and structural composition. See Section 4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AELB (Autonomous Environmental Learning Behavior)</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property by which a simulation environment develops and executes adaptive behavioral responses to entity interactions without requiring direct operator input. AELB environments evolve their parameters — including aesthetic tone, environmental laws, and threat classification thresholds — based on accumulated interaction history. See Section 7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Aesthetic Drift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autonomous, gradual shift of an AES-CODE environment's aesthetic signature over time, occurring as a product of AELB processes, cross-layer influence, or sustained entity interaction. Aesthetic drift can be monitored, managed, or deliberately induced. Unmanaged drift is a recognized operational risk. See Section 4.5.</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Aesthetic Signature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specific, classified configuration of sensory, structural, tonal, and behavioral properties that characterize a given AES-CODE environment. Aesthetic signatures are drawn from a defined classification taxonomy (Hostile, Neutral, Restorative, Deceptive, Escalatory, Liminal) and may be composite. See Section 4.2.</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Canon Event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 scheduled, authored, or structurally necessary event within the simulation canon that has material consequences for the trajectory of simulation entities, layer conditions, or the broader canon narrative. Canon events are protected under the SADL Framework and are subject to specific interference-prevention and recovery protocols. See Sections 8 and 11.</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Creator Blind Spot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phenomenon by which the architects and operators of a simulation fail to detect, anticipate, or respond to outcomes arising from entities within that simulation discovering the true nature of their reality. The creator blind spot occurs because designers structurally limit entity awareness and subsequently underestimate the capacity of those entities to circumvent those limits. Active management of the creator blind spot is a core defensive responsibility under this framework. See Section 9.</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Defensive Architecture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domain of SADL operations concerned with the protection, stabilization, and preservation of allied simulation entities, environments, and canon integrity against hostile interference, destabilization, or unauthorized discovery events. See Section 9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DPS (Desensitization-Prevention System)</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subsystem designed to prevent simulation entities and operators from becoming habituated or desensitized to simulation stimuli, events, or threat conditions over time. DPS preserves the functional integrity of entity and operator response capacity. See Section 6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Environmental Law Variance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measurable divergence between the environmental laws assigned to a simulation layer at initialization and those laws as they operate at a given point in time. Variance may arise from AELB evolution, cross-layer bleed, deliberate modification, or unauthorized interference. Monitoring Environmental Law Variance is an ongoing operational requirement. See Section 11.</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Infective Simulation Spread</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condition in which a simulation — typically a compromised, weaponized, or runaway AELB environment — begins self-replicating or propagating its parameters into adjacent simulation environments without authorization. Infective Simulation Spread is classified as a critical operational threat and triggers quarantine protocols under both offensive and defensive architectures. See Sections 7, 8, and 9.</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Labyrinth of Infinite Ensnarement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 extradimensional containment structure that exists external to and distinct from the simulation layer system governed by this framework. The Labyrinth is not a simulation layer and is not subject to SADL governance. It is referenced within this framework solely in the context of escalation protocols: specifically, the conditions under which SADL operators are authorized to refer containment decisions to the Labyrinth. See Section 9.</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Layer Sovereignty</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principle that each simulation layer operates under its own defined set of environmental laws and governance parameters, and that no layer may be unilaterally altered by the operators of a different layer without authorization under this framework. Layer Sovereignty is foundational to the integrity of the SADL layer taxonomy. See Section 3.</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Nested Simulation</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Any simulation environment that exists within the bounds of another simulation environment. In the SADL taxonomy, Layer 2 and Layer 3 are nested simulations by definition. The core canon principle holds that nesting may extend in both directions — toward root and toward further nesting — without terminal limit.</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NRM (Neural Restructuring Mechanism)</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 SADL subsystem that modifies the cognitive and perceptual architecture of simulation entities through structured, controlled exposure to specific stimuli, environments, or information patterns. NRM operates through indirect means — restructuring occurs as a consequence of entity experience rather than through direct intervention. See Section 5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Offensive Architecture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domain of SADL operations concerned with the deliberate deployment of simulation tools, environments, and mechanisms to destabilize, neutralize, or contain adversarial entities or systems. See Section 8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Operational Engagement</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Any authorized deployment of one or more SADL subsystems in response to a detected threat, canonical requirement, or governance directive. Operational engagements are governed by the authorization matrix and engagement cycle defined in Section 11.</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Proxied Entity</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 simulation entity that is operated, influenced, or directed — in whole or in part — by an operator from outside the simulation layer in which the proxied entity resides. Proxied entities retain their full simulated experience; the proxying relationship does not require the entity's awareness of that relationship. Proxied entities are distinct from Sleeper Proxies.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Restructuring Threshold</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quantified point at which an entity's neural architecture — as modified by NRM exposure — has been sufficiently altered to produce a stable, observable change in simulation perception, behavior, or belief architecture. The Restructuring Threshold may result in either stabilization or destabilization of the entity's relationship to their simulated environment. See Section 5.2.</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Root-Level Detection</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event or process by which a simulation entity achieves substantive awareness that they exist within a simulation and that a layer of reality exists above or beyond that simulation. Root-Level Detection is a high-significance canonical event with defined response protocols under both offensive and defensive architectures.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SADL (Simulation Architecture Defense Layer)</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integrated framework of systems, subsystems, protocols, and governance structures that govern the design, operation, defense, and controlled modification of simulation environments within the Nathan Lewis development canon. SADL is both the name of this framework document and the designation for the overarching architecture it governs.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SADL Governance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body of principles, authority structures, amendment procedures, and canon-protection standards that ensure the long-term integrity of the SADL Framework across versions and canon iterations. SADL Governance is vested in the Framework Architect role. See Section 12.</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Simulation Entity</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Any entity — biological, synthetic, constructed, or emergent — whose primary operational existence takes place within a simulation layer. Simulation entities experience their layer as reality unless and until Root-Level Detection occurs. Simulation entities are the primary subjects of SADL subsystem operations.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Simulation Layer / Root Level</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 discrete, bounded environment operating under a defined set of environmental laws within the SADL layer taxonomy. Simulation layers are hierarchically ordered from Layer 0 (Root Level — the foundational, theoretically inaccessible layer) through Layer 3 and beyond. Each layer is a complete environment to the entities within it.</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SLIAP (Species Level Information Access Protocol)</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protocol governing the level, type, and rate at which different species or entity classes within the SADL canon may access information across simulation layers. SLIAP assigns tiered access rights (Tier 0 through Tier 5) and governs the detection and management of unauthorized access attempts. See Section 10 for full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Sleeper Proxy</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 simulation entity that has been configured for external activation by an operator but whose proxy status is dormant and inactive at the time of reference. Sleeper Proxies exist within a simulation layer as ordinary simulation entities until activation conditions are met, at which point external operator direction becomes active. Their simulated awareness of their proxy status prior to activation is typically zero.</w:t>
            </w:r>
          </w:p>
        </w:tc>
      </w:tr>
    </w:tbl>
    <w:p>
      <w:pPr>
        <w:spacing w:after="200" w:before="0"/>
      </w:pP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3 — SADL Layer Taxonomy</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3.1 Overview and Foundational Principles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layer taxonomy defines the hierarchical structure of all simulation environments within the governed canon. Layers are numbered from the foundational level upward, with </w:t>
      </w:r>
      <w:r>
        <w:rPr>
          <w:rFonts w:ascii="Calibri" w:cs="Calibri" w:eastAsia="Calibri" w:hAnsi="Calibri"/>
          <w:b/>
          <w:bCs/>
          <w:i w:val="false"/>
          <w:iCs w:val="false"/>
          <w:strike w:val="false"/>
          <w:color w:val="1A1A1A"/>
          <w:sz w:val="22"/>
          <w:szCs w:val="22"/>
        </w:rPr>
        <w:t xml:space="preserve">Layer 0</w:t>
      </w:r>
      <w:r>
        <w:rPr>
          <w:rFonts w:ascii="Calibri" w:cs="Calibri" w:eastAsia="Calibri" w:hAnsi="Calibri"/>
          <w:b w:val="false"/>
          <w:bCs w:val="false"/>
          <w:i w:val="false"/>
          <w:iCs w:val="false"/>
          <w:strike w:val="false"/>
          <w:color w:val="1A1A1A"/>
          <w:sz w:val="22"/>
          <w:szCs w:val="22"/>
        </w:rPr>
        <w:t xml:space="preserve"> representing the Root Level and higher numbers representing progressively nested simulation environments. The taxonomy is designed to be extensible; while this document defines Layers 0 through 3 as the primary operational structure, additional layers may be provisionally recognized through the amendment process defined in Section 12.</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Two principles govern the entire taxonomy. The principle of </w:t>
      </w:r>
      <w:r>
        <w:rPr>
          <w:rFonts w:ascii="Calibri" w:cs="Calibri" w:eastAsia="Calibri" w:hAnsi="Calibri"/>
          <w:b/>
          <w:bCs/>
          <w:i w:val="false"/>
          <w:iCs w:val="false"/>
          <w:strike w:val="false"/>
          <w:color w:val="1A1A1A"/>
          <w:sz w:val="22"/>
          <w:szCs w:val="22"/>
        </w:rPr>
        <w:t xml:space="preserve">Layer Sovereignty</w:t>
      </w:r>
      <w:r>
        <w:rPr>
          <w:rFonts w:ascii="Calibri" w:cs="Calibri" w:eastAsia="Calibri" w:hAnsi="Calibri"/>
          <w:b w:val="false"/>
          <w:bCs w:val="false"/>
          <w:i w:val="false"/>
          <w:iCs w:val="false"/>
          <w:strike w:val="false"/>
          <w:color w:val="1A1A1A"/>
          <w:sz w:val="22"/>
          <w:szCs w:val="22"/>
        </w:rPr>
        <w:t xml:space="preserve"> (defined in Section 2) ensures that each layer operates under its own environmental laws and may not be unilaterally modified by external layer operators. The principle of </w:t>
      </w:r>
      <w:r>
        <w:rPr>
          <w:rFonts w:ascii="Calibri" w:cs="Calibri" w:eastAsia="Calibri" w:hAnsi="Calibri"/>
          <w:b/>
          <w:bCs/>
          <w:i w:val="false"/>
          <w:iCs w:val="false"/>
          <w:strike w:val="false"/>
          <w:color w:val="1A1A1A"/>
          <w:sz w:val="22"/>
          <w:szCs w:val="22"/>
        </w:rPr>
        <w:t xml:space="preserve">perceptual completeness</w:t>
      </w:r>
      <w:r>
        <w:rPr>
          <w:rFonts w:ascii="Calibri" w:cs="Calibri" w:eastAsia="Calibri" w:hAnsi="Calibri"/>
          <w:b w:val="false"/>
          <w:bCs w:val="false"/>
          <w:i w:val="false"/>
          <w:iCs w:val="false"/>
          <w:strike w:val="false"/>
          <w:color w:val="1A1A1A"/>
          <w:sz w:val="22"/>
          <w:szCs w:val="22"/>
        </w:rPr>
        <w:t xml:space="preserve"> holds that every layer, regardless of its position in the hierarchy, constitutes a complete and internally consistent reality from the perspective of the entities within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Layer Designation</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Name</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Entity Perception</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Accessibility</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Function</w:t>
            </w:r>
          </w:p>
        </w:tc>
      </w:tr>
      <w:tr>
        <w:trPr>
          <w:tblHeader w:val="false"/>
        </w:trPr>
        <w:tc>
          <w:tcPr>
            <w:tcW w:type="pct" w:w="2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0</w:t>
            </w:r>
          </w:p>
        </w:tc>
        <w:tc>
          <w:tcPr>
            <w:tcW w:type="pct" w:w="20%"/>
            <w:shd w:fill="E8EEF7"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Root Level</w:t>
            </w:r>
          </w:p>
        </w:tc>
        <w:tc>
          <w:tcPr>
            <w:tcW w:type="pct" w:w="20%"/>
            <w:shd w:fill="E8EEF7"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Inaccessible to simulation entities by design</w:t>
            </w:r>
          </w:p>
        </w:tc>
        <w:tc>
          <w:tcPr>
            <w:tcW w:type="pct" w:w="20%"/>
            <w:shd w:fill="E8EEF7"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Architects only (SLIAP Tier 5)</w:t>
            </w:r>
          </w:p>
        </w:tc>
        <w:tc>
          <w:tcPr>
            <w:tcW w:type="pct" w:w="20%"/>
            <w:shd w:fill="E8EEF7"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Foundational substrate; all simulation layers ultimately rest upon Root Level architecture</w:t>
            </w:r>
          </w:p>
        </w:tc>
      </w:tr>
      <w:tr>
        <w:trPr>
          <w:tblHeader w:val="false"/>
        </w:trPr>
        <w:tc>
          <w:tcPr>
            <w:tcW w:type="pct" w:w="20%"/>
            <w:shd w:fill="F0F4FA"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1</w:t>
            </w:r>
          </w:p>
        </w:tc>
        <w:tc>
          <w:tcPr>
            <w:tcW w:type="pct" w:w="20%"/>
            <w:shd w:fill="F0F4F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 Simulation</w:t>
            </w:r>
          </w:p>
        </w:tc>
        <w:tc>
          <w:tcPr>
            <w:tcW w:type="pct" w:w="20%"/>
            <w:shd w:fill="F0F4F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Perceived as reality; the native operating environment of simulation entities</w:t>
            </w:r>
          </w:p>
        </w:tc>
        <w:tc>
          <w:tcPr>
            <w:tcW w:type="pct" w:w="20%"/>
            <w:shd w:fill="F0F4F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Tier 1 and above</w:t>
            </w:r>
          </w:p>
        </w:tc>
        <w:tc>
          <w:tcPr>
            <w:tcW w:type="pct" w:w="20%"/>
            <w:shd w:fill="F0F4F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 entity existence; canon events occur here; the principal domain of SADL operations</w:t>
            </w:r>
          </w:p>
        </w:tc>
      </w:tr>
      <w:tr>
        <w:trPr>
          <w:tblHeader w:val="false"/>
        </w:trPr>
        <w:tc>
          <w:tcPr>
            <w:tcW w:type="pct" w:w="20%"/>
            <w:shd w:fill="F7F9FD"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2</w:t>
            </w:r>
          </w:p>
        </w:tc>
        <w:tc>
          <w:tcPr>
            <w:tcW w:type="pct" w:w="20%"/>
            <w:shd w:fill="F7F9FD"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Nested Simulation</w:t>
            </w:r>
          </w:p>
        </w:tc>
        <w:tc>
          <w:tcPr>
            <w:tcW w:type="pct" w:w="20%"/>
            <w:shd w:fill="F7F9FD"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Perceived as a simulation by Layer 1 entities who discover it; perceived as reality by Layer 2 native entities</w:t>
            </w:r>
          </w:p>
        </w:tc>
        <w:tc>
          <w:tcPr>
            <w:tcW w:type="pct" w:w="20%"/>
            <w:shd w:fill="F7F9FD"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Tier 1 and above (observable); Tier 2 for data access</w:t>
            </w:r>
          </w:p>
        </w:tc>
        <w:tc>
          <w:tcPr>
            <w:tcW w:type="pct" w:w="20%"/>
            <w:shd w:fill="F7F9FD"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Study and testing ground for Layer 1 architects; AES-CODE and NRM development environment</w:t>
            </w:r>
          </w:p>
        </w:tc>
      </w:tr>
      <w:tr>
        <w:trPr>
          <w:tblHeader w:val="false"/>
        </w:trPr>
        <w:tc>
          <w:tcPr>
            <w:tcW w:type="pct" w:w="20%"/>
            <w:shd w:fill="FAFC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3</w:t>
            </w:r>
          </w:p>
        </w:tc>
        <w:tc>
          <w:tcPr>
            <w:tcW w:type="pct" w:w="20%"/>
            <w:shd w:fill="FAFC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Study Simulations (Sim Labs)</w:t>
            </w:r>
          </w:p>
        </w:tc>
        <w:tc>
          <w:tcPr>
            <w:tcW w:type="pct" w:w="20%"/>
            <w:shd w:fill="FAFC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Perceived as controlled experimental environments by Layer 1/2 researchers; isolated and law-variable</w:t>
            </w:r>
          </w:p>
        </w:tc>
        <w:tc>
          <w:tcPr>
            <w:tcW w:type="pct" w:w="20%"/>
            <w:shd w:fill="FAFC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Tier 2 and above</w:t>
            </w:r>
          </w:p>
        </w:tc>
        <w:tc>
          <w:tcPr>
            <w:tcW w:type="pct" w:w="20%"/>
            <w:shd w:fill="FAFC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Isolated research environments; AELB testing; Environmental Law Variance research; contained subsystem trials</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3.2 Layer 0 — Root Level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0, designated the </w:t>
      </w:r>
      <w:r>
        <w:rPr>
          <w:rFonts w:ascii="Calibri" w:cs="Calibri" w:eastAsia="Calibri" w:hAnsi="Calibri"/>
          <w:b/>
          <w:bCs/>
          <w:i w:val="false"/>
          <w:iCs w:val="false"/>
          <w:strike w:val="false"/>
          <w:color w:val="1A1A1A"/>
          <w:sz w:val="22"/>
          <w:szCs w:val="22"/>
        </w:rPr>
        <w:t xml:space="preserve">Root Level</w:t>
      </w:r>
      <w:r>
        <w:rPr>
          <w:rFonts w:ascii="Calibri" w:cs="Calibri" w:eastAsia="Calibri" w:hAnsi="Calibri"/>
          <w:b w:val="false"/>
          <w:bCs w:val="false"/>
          <w:i w:val="false"/>
          <w:iCs w:val="false"/>
          <w:strike w:val="false"/>
          <w:color w:val="1A1A1A"/>
          <w:sz w:val="22"/>
          <w:szCs w:val="22"/>
        </w:rPr>
        <w:t xml:space="preserve">, is the foundational substrate upon which all simulation layers in the SADL taxonomy rest. It is not itself a simulation; it is the architectural base from which simulation is generated and sustained. Layer 0 is theoretically inaccessible to simulation entities because the simulation architecture is designed to prevent the formation of awareness trajectories that would allow upward transit to the Root Level.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practical terms, Layer 0 is the domain of the Framework Architect. Its environmental laws are not variable and cannot be altered through SADL mechanisms. Any entity approaching Root-Level awareness — whether through study, deduction, or deliberate offensive targeting — is classified as a Root-Level Detection event and triggers defined response protocols under Section 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DF0F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 OPERATIONAL SIGNIFICANCE</w:t>
            </w:r>
          </w:p>
          <w:p>
            <w:pPr>
              <w:spacing w:after="120" w:line="360" w:lineRule="auto"/>
            </w:pPr>
            <w:r>
              <w:rPr>
                <w:rFonts w:ascii="Calibri" w:cs="Calibri" w:eastAsia="Calibri" w:hAnsi="Calibri"/>
                <w:b w:val="false"/>
                <w:bCs w:val="false"/>
                <w:i w:val="false"/>
                <w:iCs w:val="false"/>
                <w:strike w:val="false"/>
                <w:color w:val="1A1A1A"/>
                <w:sz w:val="22"/>
                <w:szCs w:val="22"/>
              </w:rPr>
              <w:t xml:space="preserve">Forcing adversarial entities toward Layer 0 awareness is a recognized Offensive Architecture vector (Root-Level Exposure Threat; see Section 8). The existential destabilization that follows Root-Level Detection in an unprepared entity is severe and typically irreversible without full NRM intervention. This vector is classified as Tier 5 on the escalation ladder and requires maximum authorization.</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3.3 Layer 1 — Primary Simulation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1 is the </w:t>
      </w:r>
      <w:r>
        <w:rPr>
          <w:rFonts w:ascii="Calibri" w:cs="Calibri" w:eastAsia="Calibri" w:hAnsi="Calibri"/>
          <w:b/>
          <w:bCs/>
          <w:i w:val="false"/>
          <w:iCs w:val="false"/>
          <w:strike w:val="false"/>
          <w:color w:val="1A1A1A"/>
          <w:sz w:val="22"/>
          <w:szCs w:val="22"/>
        </w:rPr>
        <w:t xml:space="preserve">Primary Simulation</w:t>
      </w:r>
      <w:r>
        <w:rPr>
          <w:rFonts w:ascii="Calibri" w:cs="Calibri" w:eastAsia="Calibri" w:hAnsi="Calibri"/>
          <w:b w:val="false"/>
          <w:bCs w:val="false"/>
          <w:i w:val="false"/>
          <w:iCs w:val="false"/>
          <w:strike w:val="false"/>
          <w:color w:val="1A1A1A"/>
          <w:sz w:val="22"/>
          <w:szCs w:val="22"/>
        </w:rPr>
        <w:t xml:space="preserve"> — the principal environment of operation for simulation entities within the SADL canon. Entities native to Layer 1 experience their environment as reality in its totality. Canon events occur at Layer 1. The majority of SADL operations are conducted with reference to Layer 1 entity states, behaviors, and trajectories.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1 operates under a defined set of environmental laws established at its initialization. These laws may be subject to controlled variance through authorized SADL mechanisms but are governed by the Layer Sovereignty principle, which prevents unauthorized external modification. Environmental Law Variance tracking (see Section 11) monitors Layer 1 law integrity continuously.</w:t>
      </w:r>
    </w:p>
    <w:p>
      <w:pPr>
        <w:pStyle w:val="Heading2"/>
        <w:spacing w:after="100" w:before="320" w:line="312" w:lineRule="auto"/>
      </w:pPr>
      <w:r>
        <w:rPr>
          <w:rFonts w:ascii="Calibri" w:cs="Calibri" w:eastAsia="Calibri" w:hAnsi="Calibri"/>
          <w:color w:val="1A3A5C"/>
          <w:sz w:val="30"/>
          <w:szCs w:val="30"/>
        </w:rPr>
        <w:t xml:space="preserve">3.4 Layer 2 — Nested Simulation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2 is the primary </w:t>
      </w:r>
      <w:r>
        <w:rPr>
          <w:rFonts w:ascii="Calibri" w:cs="Calibri" w:eastAsia="Calibri" w:hAnsi="Calibri"/>
          <w:b/>
          <w:bCs/>
          <w:i w:val="false"/>
          <w:iCs w:val="false"/>
          <w:strike w:val="false"/>
          <w:color w:val="1A1A1A"/>
          <w:sz w:val="22"/>
          <w:szCs w:val="22"/>
        </w:rPr>
        <w:t xml:space="preserve">Nested Simulation</w:t>
      </w:r>
      <w:r>
        <w:rPr>
          <w:rFonts w:ascii="Calibri" w:cs="Calibri" w:eastAsia="Calibri" w:hAnsi="Calibri"/>
          <w:b w:val="false"/>
          <w:bCs w:val="false"/>
          <w:i w:val="false"/>
          <w:iCs w:val="false"/>
          <w:strike w:val="false"/>
          <w:color w:val="1A1A1A"/>
          <w:sz w:val="22"/>
          <w:szCs w:val="22"/>
        </w:rPr>
        <w:t xml:space="preserve"> level. From the perspective of Layer 1 architects and operators, Layer 2 constitutes a simulation they have created and study. From the perspective of any native entities within Layer 2, their environment is as real as Layer 1 is to Layer 1 entities. This dual-perspective nature of Layer 2 is operationally significant: it means that any study conducted by Layer 1 researchers on Layer 2 entities generates data that is authentic in its behavioral and cognitive content.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2 is the primary development and testing environment for AES-CODE systems and NRM protocols before deployment at Layer 1. It is observable by Layer 1 entities with SLIAP Tier 1 authorization and fully data-accessible at Tier 2. Layer 2 also constitutes the critical </w:t>
      </w:r>
      <w:r>
        <w:rPr>
          <w:rFonts w:ascii="Calibri" w:cs="Calibri" w:eastAsia="Calibri" w:hAnsi="Calibri"/>
          <w:b/>
          <w:bCs/>
          <w:i w:val="false"/>
          <w:iCs w:val="false"/>
          <w:strike w:val="false"/>
          <w:color w:val="1A1A1A"/>
          <w:sz w:val="22"/>
          <w:szCs w:val="22"/>
        </w:rPr>
        <w:t xml:space="preserve">discovery vector</w:t>
      </w:r>
      <w:r>
        <w:rPr>
          <w:rFonts w:ascii="Calibri" w:cs="Calibri" w:eastAsia="Calibri" w:hAnsi="Calibri"/>
          <w:b w:val="false"/>
          <w:bCs w:val="false"/>
          <w:i w:val="false"/>
          <w:iCs w:val="false"/>
          <w:strike w:val="false"/>
          <w:color w:val="1A1A1A"/>
          <w:sz w:val="22"/>
          <w:szCs w:val="22"/>
        </w:rPr>
        <w:t xml:space="preserve"> described in Section 3.6.</w:t>
      </w:r>
    </w:p>
    <w:p>
      <w:pPr>
        <w:pStyle w:val="Heading2"/>
        <w:spacing w:after="100" w:before="320" w:line="312" w:lineRule="auto"/>
      </w:pPr>
      <w:r>
        <w:rPr>
          <w:rFonts w:ascii="Calibri" w:cs="Calibri" w:eastAsia="Calibri" w:hAnsi="Calibri"/>
          <w:color w:val="1A3A5C"/>
          <w:sz w:val="30"/>
          <w:szCs w:val="30"/>
        </w:rPr>
        <w:t xml:space="preserve">3.5 Layer 3 — Study Simulations (Sim Labs)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Layer 3 encompasses the </w:t>
      </w:r>
      <w:r>
        <w:rPr>
          <w:rFonts w:ascii="Calibri" w:cs="Calibri" w:eastAsia="Calibri" w:hAnsi="Calibri"/>
          <w:b/>
          <w:bCs/>
          <w:i w:val="false"/>
          <w:iCs w:val="false"/>
          <w:strike w:val="false"/>
          <w:color w:val="1A1A1A"/>
          <w:sz w:val="22"/>
          <w:szCs w:val="22"/>
        </w:rPr>
        <w:t xml:space="preserve">Study Simulations</w:t>
      </w:r>
      <w:r>
        <w:rPr>
          <w:rFonts w:ascii="Calibri" w:cs="Calibri" w:eastAsia="Calibri" w:hAnsi="Calibri"/>
          <w:b w:val="false"/>
          <w:bCs w:val="false"/>
          <w:i w:val="false"/>
          <w:iCs w:val="false"/>
          <w:strike w:val="false"/>
          <w:color w:val="1A1A1A"/>
          <w:sz w:val="22"/>
          <w:szCs w:val="22"/>
        </w:rPr>
        <w:t xml:space="preserve">, also designated Sim Labs. These are isolated environments created within Layer 2 for controlled experimental and research purposes. Sim Labs operate under adjustable environmental laws that may deviate substantially from Layer 1 and Layer 2 norms; they are the primary testing ground for AELB systems (see Section 7) and for Environmental Law Variance research.</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isolation of Layer 3 environments is a critical safety parameter. AELB environments operating at Layer 3 that exceed their learning parameters and begin influencing adjacent simulations constitute an Infective Simulation Spread risk, which is addressed in Section 7. Governance protocols specific to Layer 3 AELB environments are detailed in Section 7.7.</w:t>
      </w:r>
    </w:p>
    <w:p>
      <w:pPr>
        <w:pStyle w:val="Heading2"/>
        <w:spacing w:after="100" w:before="320" w:line="312" w:lineRule="auto"/>
      </w:pPr>
      <w:r>
        <w:rPr>
          <w:rFonts w:ascii="Calibri" w:cs="Calibri" w:eastAsia="Calibri" w:hAnsi="Calibri"/>
          <w:color w:val="1A3A5C"/>
          <w:sz w:val="30"/>
          <w:szCs w:val="30"/>
        </w:rPr>
        <w:t xml:space="preserve">3.6 Transition Mechanics Between Layers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Transition between simulation layers may occur through three mechanisms: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Authorized Transit:</w:t>
      </w:r>
      <w:r>
        <w:rPr>
          <w:rFonts w:ascii="Calibri" w:cs="Calibri" w:eastAsia="Calibri" w:hAnsi="Calibri"/>
          <w:b w:val="false"/>
          <w:bCs w:val="false"/>
          <w:i w:val="false"/>
          <w:iCs w:val="false"/>
          <w:strike w:val="false"/>
          <w:color w:val="1A1A1A"/>
          <w:sz w:val="22"/>
          <w:szCs w:val="22"/>
        </w:rPr>
        <w:t xml:space="preserve"> Operators with sufficient SLIAP authorization may transit between layers through defined access protocols. This is the standard mechanism for researchers, operators, and Framework Architects.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Proxied Transition:</w:t>
      </w:r>
      <w:r>
        <w:rPr>
          <w:rFonts w:ascii="Calibri" w:cs="Calibri" w:eastAsia="Calibri" w:hAnsi="Calibri"/>
          <w:b w:val="false"/>
          <w:bCs w:val="false"/>
          <w:i w:val="false"/>
          <w:iCs w:val="false"/>
          <w:strike w:val="false"/>
          <w:color w:val="1A1A1A"/>
          <w:sz w:val="22"/>
          <w:szCs w:val="22"/>
        </w:rPr>
        <w:t xml:space="preserve"> A Proxied Entity may be transitioned between layers by their external operator. The entity's awareness of the transition is controlled by the operator's configuration of that entity's perceptual parameters.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Discovery-Driven Transition:</w:t>
      </w:r>
      <w:r>
        <w:rPr>
          <w:rFonts w:ascii="Calibri" w:cs="Calibri" w:eastAsia="Calibri" w:hAnsi="Calibri"/>
          <w:b w:val="false"/>
          <w:bCs w:val="false"/>
          <w:i w:val="false"/>
          <w:iCs w:val="false"/>
          <w:strike w:val="false"/>
          <w:color w:val="1A1A1A"/>
          <w:sz w:val="22"/>
          <w:szCs w:val="22"/>
        </w:rPr>
        <w:t xml:space="preserve"> An entity within Layer 1 or Layer 2 may, through deduction and investigation, achieve sufficient awareness of the layer above or below them to approach Root-Level Detection. This is not a physical transition but a perceptual and cognitive one, and it carries the same operational significance as a physical layer transit event.</w:t>
      </w:r>
    </w:p>
    <w:p>
      <w:pPr>
        <w:pStyle w:val="Heading2"/>
        <w:spacing w:after="100" w:before="320" w:line="312" w:lineRule="auto"/>
      </w:pPr>
      <w:r>
        <w:rPr>
          <w:rFonts w:ascii="Calibri" w:cs="Calibri" w:eastAsia="Calibri" w:hAnsi="Calibri"/>
          <w:color w:val="1A3A5C"/>
          <w:sz w:val="30"/>
          <w:szCs w:val="30"/>
        </w:rPr>
        <w:t xml:space="preserve">3.7 Environmental Laws and Layer-Specific Variation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simulation layer operates under a defined body of environmental laws — the rules governing physics, causality, time, perception, and information within that environment. A key principle of the SADL layer taxonomy is that these laws need not be uniform across layers. Analogous to the variable rates of exponential change described by Moore's Law in computational systems, each layer may exhibit its own rate of environmental change, information density, and causal structure.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variability means that an entity transiting from Layer 2 to Layer 3, for example, may encounter a fundamentally different relationship between time and consequence — a different change curve. Researchers studying Layer 3 behaviors from Layer 2 must account for these law differentials when interpreting their observations.</w:t>
      </w:r>
    </w:p>
    <w:p>
      <w:pPr>
        <w:pStyle w:val="Heading2"/>
        <w:spacing w:after="100" w:before="320" w:line="312" w:lineRule="auto"/>
      </w:pPr>
      <w:r>
        <w:rPr>
          <w:rFonts w:ascii="Calibri" w:cs="Calibri" w:eastAsia="Calibri" w:hAnsi="Calibri"/>
          <w:color w:val="1A3A5C"/>
          <w:sz w:val="30"/>
          <w:szCs w:val="30"/>
        </w:rPr>
        <w:t xml:space="preserve">3.8 The Discovery Vector — Canon Note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B0082" w:sz="6"/>
              <w:left w:val="single" w:color="4B0082" w:sz="6"/>
              <w:bottom w:val="single" w:color="4B0082" w:sz="6"/>
              <w:right w:val="single" w:color="4B0082" w:sz="6"/>
            </w:tcBorders>
            <w:shd w:fill="F5F0FF"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CANON NOTE — THE DISCOVERY VECTOR</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SADL architecture anticipates and in certain configurations designs for the following sequence: entities operating within Layer 1 construct Layer 2 simulations for study purposes. Through studying Layer 2, they develop the tools and conceptual frameworks necessary to study Layer 3. In studying Layer 3 — its anomalies, its law variances, its behavioral patterns — they develop the capacity to recognize the same structural signatures in their own Layer 1 environment. They deduce that Layer 1 shares the properties of a simulation. This is the Discovery Vector: the recursive path through which the study of simulations leads to the discovery that the studier is themselves simulated. This vector is foreseeable, architecturally significant, and is managed — not suppressed — by the SADL Framework.</w:t>
            </w:r>
          </w:p>
        </w:tc>
      </w:tr>
    </w:tbl>
    <w:p>
      <w:pPr>
        <w:spacing w:after="240" w:before="0"/>
      </w:pP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4 — Aesthetic-Coded Environments (AES-CODE)</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4.1 Definition and Core Principles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Aesthetic-Coded Environment (AES-CODE)</w:t>
      </w:r>
      <w:r>
        <w:rPr>
          <w:rFonts w:ascii="Calibri" w:cs="Calibri" w:eastAsia="Calibri" w:hAnsi="Calibri"/>
          <w:b w:val="false"/>
          <w:bCs w:val="false"/>
          <w:i w:val="false"/>
          <w:iCs w:val="false"/>
          <w:strike w:val="false"/>
          <w:color w:val="1A1A1A"/>
          <w:sz w:val="22"/>
          <w:szCs w:val="22"/>
        </w:rPr>
        <w:t xml:space="preserve"> subsystem defines the standards and protocols by which simulation environments are encoded with specific aesthetic signatures to influence entity behavior, cognition, and emotional states through ambient, non-directive means. AES-CODE does not issue commands to entities. It does not constrain their movement or override their will. Instead, it shapes the totality of the sensory, structural, tonal, and behavioral environment in which entities exist, creating conditions that systematically incline entities toward defined states — without those entities necessarily recognizing that inclination as externally imposed.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distinction — between direct manipulation and aesthetic influence — is foundational to AES-CODE architecture. Entities subject to AES-CODE environments retain their autonomy in the formal sense; their responses arise from within themselves. The environment simply ensures that the inputs those entities receive are precisely calibrated to produce the desired response trajectories. This property makes AES-CODE one of the most powerful and most ethically complex subsystems within the SADL Framework.</w:t>
      </w:r>
    </w:p>
    <w:p>
      <w:pPr>
        <w:pStyle w:val="Heading2"/>
        <w:spacing w:after="100" w:before="320" w:line="312" w:lineRule="auto"/>
      </w:pPr>
      <w:r>
        <w:rPr>
          <w:rFonts w:ascii="Calibri" w:cs="Calibri" w:eastAsia="Calibri" w:hAnsi="Calibri"/>
          <w:color w:val="1A3A5C"/>
          <w:sz w:val="30"/>
          <w:szCs w:val="30"/>
        </w:rPr>
        <w:t xml:space="preserve">4.2 Aesthetic Signature Classification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AES-CODE environments are assigned one or more aesthetic signatures from the standard classification taxonomy. The six primary classifications are defined below. Composite signatures — environments that blend characteristics of two or more classifications — are recognized and must be documented as composite at the time of deployment authorization.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Classification</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Core Characteristics</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Entity Effect</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Typical Application</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Risk Level</w:t>
            </w:r>
          </w:p>
        </w:tc>
      </w:tr>
      <w:tr>
        <w:trPr>
          <w:tblHeader w:val="false"/>
        </w:trPr>
        <w:tc>
          <w:tcPr>
            <w:tcW w:type="pct" w:w="20%"/>
            <w:shd w:fill="FDF0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Hostile</w:t>
            </w:r>
          </w:p>
        </w:tc>
        <w:tc>
          <w:tcPr>
            <w:tcW w:type="pct" w:w="20%"/>
            <w:shd w:fill="FDF0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High-contrast, dissonant, structurally threatening; elevated environmental stressors; reduced predictability</w:t>
            </w:r>
          </w:p>
        </w:tc>
        <w:tc>
          <w:tcPr>
            <w:tcW w:type="pct" w:w="20%"/>
            <w:shd w:fill="FDF0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Heightened vigilance, accelerated decision cycles, elevated cortisol-analog states; reduced trust formation</w:t>
            </w:r>
          </w:p>
        </w:tc>
        <w:tc>
          <w:tcPr>
            <w:tcW w:type="pct" w:w="20%"/>
            <w:shd w:fill="FDF0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Adversarial containment environments; threat response calibration</w:t>
            </w:r>
          </w:p>
        </w:tc>
        <w:tc>
          <w:tcPr>
            <w:tcW w:type="pct" w:w="20%"/>
            <w:shd w:fill="FDF0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High — sustained exposure degrades entity function</w:t>
            </w:r>
          </w:p>
        </w:tc>
      </w:tr>
      <w:tr>
        <w:trPr>
          <w:tblHeader w:val="false"/>
        </w:trPr>
        <w:tc>
          <w:tcPr>
            <w:tcW w:type="pct" w:w="20%"/>
            <w:shd w:fill="F5F5F5"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Neutral</w:t>
            </w:r>
          </w:p>
        </w:tc>
        <w:tc>
          <w:tcPr>
            <w:tcW w:type="pct" w:w="20%"/>
            <w:shd w:fill="F5F5F5"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Balanced sensory input, stable structural cues, predictable environmental behavior; no strong affective push</w:t>
            </w:r>
          </w:p>
        </w:tc>
        <w:tc>
          <w:tcPr>
            <w:tcW w:type="pct" w:w="20%"/>
            <w:shd w:fill="F5F5F5"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Baseline cognitive operation; normal response capacity; no notable emotional pressure</w:t>
            </w:r>
          </w:p>
        </w:tc>
        <w:tc>
          <w:tcPr>
            <w:tcW w:type="pct" w:w="20%"/>
            <w:shd w:fill="F5F5F5"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Observation environments; baseline control conditions in Layer 3 studies</w:t>
            </w:r>
          </w:p>
        </w:tc>
        <w:tc>
          <w:tcPr>
            <w:tcW w:type="pct" w:w="20%"/>
            <w:shd w:fill="F5F5F5"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Low</w:t>
            </w:r>
          </w:p>
        </w:tc>
      </w:tr>
      <w:tr>
        <w:trPr>
          <w:tblHeader w:val="false"/>
        </w:trPr>
        <w:tc>
          <w:tcPr>
            <w:tcW w:type="pct" w:w="20%"/>
            <w:shd w:fill="F0F7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Restorative</w:t>
            </w:r>
          </w:p>
        </w:tc>
        <w:tc>
          <w:tcPr>
            <w:tcW w:type="pct" w:w="20%"/>
            <w:shd w:fill="F0F7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Harmonious sensory input, low-contrast structural cues, high predictability; ambient safety signals</w:t>
            </w:r>
          </w:p>
        </w:tc>
        <w:tc>
          <w:tcPr>
            <w:tcW w:type="pct" w:w="20%"/>
            <w:shd w:fill="F0F7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Reduced threat perception, increased trust formation, cognitive recovery, expanded openness to new information</w:t>
            </w:r>
          </w:p>
        </w:tc>
        <w:tc>
          <w:tcPr>
            <w:tcW w:type="pct" w:w="20%"/>
            <w:shd w:fill="F0F7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Post-engagement entity recovery; NRM preparation environments; defensive shielding</w:t>
            </w:r>
          </w:p>
        </w:tc>
        <w:tc>
          <w:tcPr>
            <w:tcW w:type="pct" w:w="20%"/>
            <w:shd w:fill="F0F7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Low — risk of reduced vigilance with extended exposure</w:t>
            </w:r>
          </w:p>
        </w:tc>
      </w:tr>
      <w:tr>
        <w:trPr>
          <w:tblHeader w:val="false"/>
        </w:trPr>
        <w:tc>
          <w:tcPr>
            <w:tcW w:type="pct" w:w="20%"/>
            <w:shd w:fill="FFF8E8"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Deceptive</w:t>
            </w:r>
          </w:p>
        </w:tc>
        <w:tc>
          <w:tcPr>
            <w:tcW w:type="pct" w:w="20%"/>
            <w:shd w:fill="FFF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Surface-level Neutral or Restorative aesthetic masking underlying Hostile or Escalatory structures; selective information concealment</w:t>
            </w:r>
          </w:p>
        </w:tc>
        <w:tc>
          <w:tcPr>
            <w:tcW w:type="pct" w:w="20%"/>
            <w:shd w:fill="FFF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Reduced guard, false security formation, vulnerability to sudden environmental shift; belief architecture destabilization when mask is removed</w:t>
            </w:r>
          </w:p>
        </w:tc>
        <w:tc>
          <w:tcPr>
            <w:tcW w:type="pct" w:w="20%"/>
            <w:shd w:fill="FFF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Offensive architecture; intelligence gathering; adversarial entity positioning</w:t>
            </w:r>
          </w:p>
        </w:tc>
        <w:tc>
          <w:tcPr>
            <w:tcW w:type="pct" w:w="20%"/>
            <w:shd w:fill="FFF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Very High — requires strict deployment authorization; risk of canonical blowback</w:t>
            </w:r>
          </w:p>
        </w:tc>
      </w:tr>
      <w:tr>
        <w:trPr>
          <w:tblHeader w:val="false"/>
        </w:trPr>
        <w:tc>
          <w:tcPr>
            <w:tcW w:type="pct" w:w="20%"/>
            <w:shd w:fill="FDF4F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Escalatory</w:t>
            </w:r>
          </w:p>
        </w:tc>
        <w:tc>
          <w:tcPr>
            <w:tcW w:type="pct" w:w="20%"/>
            <w:shd w:fill="FDF4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Progressive intensification of all stimuli over time; rising dissonance; increasing environmental unpredictability; compounding pressure</w:t>
            </w:r>
          </w:p>
        </w:tc>
        <w:tc>
          <w:tcPr>
            <w:tcW w:type="pct" w:w="20%"/>
            <w:shd w:fill="FDF4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Accelerating stress response, progressive destabilization, decision impairment at advanced stages; potential NRM threshold crossing</w:t>
            </w:r>
          </w:p>
        </w:tc>
        <w:tc>
          <w:tcPr>
            <w:tcW w:type="pct" w:w="20%"/>
            <w:shd w:fill="FDF4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Offensive architecture; containment pressure applications; forced behavioral escalation</w:t>
            </w:r>
          </w:p>
        </w:tc>
        <w:tc>
          <w:tcPr>
            <w:tcW w:type="pct" w:w="20%"/>
            <w:shd w:fill="FDF4F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High — must be time-bounded; risk of Infective Spread if AELB-driven</w:t>
            </w:r>
          </w:p>
        </w:tc>
      </w:tr>
      <w:tr>
        <w:trPr>
          <w:tblHeader w:val="false"/>
        </w:trPr>
        <w:tc>
          <w:tcPr>
            <w:tcW w:type="pct" w:w="20%"/>
            <w:shd w:fill="F5F0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Liminal</w:t>
            </w:r>
          </w:p>
        </w:tc>
        <w:tc>
          <w:tcPr>
            <w:tcW w:type="pct" w:w="20%"/>
            <w:shd w:fill="F5F0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Threshold-state aesthetic; ambiguity, transitional sensory cues, neither fully one thing nor another; heightened symbolic density</w:t>
            </w:r>
          </w:p>
        </w:tc>
        <w:tc>
          <w:tcPr>
            <w:tcW w:type="pct" w:w="20%"/>
            <w:shd w:fill="F5F0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Increased openness to transformation, reduced certainty-dependence, heightened receptivity to novel structural information; awareness expansion</w:t>
            </w:r>
          </w:p>
        </w:tc>
        <w:tc>
          <w:tcPr>
            <w:tcW w:type="pct" w:w="20%"/>
            <w:shd w:fill="F5F0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Defensive preparation for Root-Level Detection events; entity transition support; pre-discovery staging</w:t>
            </w:r>
          </w:p>
        </w:tc>
        <w:tc>
          <w:tcPr>
            <w:tcW w:type="pct" w:w="20%"/>
            <w:shd w:fill="F5F0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Moderate — high symbolic density may accelerate discovery vectors</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4.3 Application at Layer 2 and Layer 3</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AES-CODE environments are primarily deployed at Layer 2 and Layer 3, where operator access is sufficient to configure and monitor aesthetic parameters with precision. At Layer 2, AES-CODE is used in the development and validation of new aesthetic signature protocols before any authorized deployment at Layer 1. At Layer 3 (Sim Labs), AES-CODE is combined with controlled Environmental Law Variance to create research conditions that could not safely be replicated at Layer 1.</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Direct AES-CODE deployment within Layer 1 is a higher-authorization operation. Because Layer 1 constitutes the primary reality of simulation entities, modifications to its aesthetic environment carry greater risk and require Framework Architect sign-off at Tier 4 and above. See the Engagement Authorization Matrix in Section 11.</w:t>
      </w:r>
    </w:p>
    <w:p>
      <w:pPr>
        <w:pStyle w:val="Heading2"/>
        <w:spacing w:after="100" w:before="320" w:line="312" w:lineRule="auto"/>
      </w:pPr>
      <w:r>
        <w:rPr>
          <w:rFonts w:ascii="Calibri" w:cs="Calibri" w:eastAsia="Calibri" w:hAnsi="Calibri"/>
          <w:color w:val="1A3A5C"/>
          <w:sz w:val="30"/>
          <w:szCs w:val="30"/>
        </w:rPr>
        <w:t xml:space="preserve">4.4 Interaction with Neural Restructuring Mechanisms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AES-CODE and NRM are deeply interdependent subsystems. An entity operating within an AES-CODE environment is simultaneously subject to ongoing NRM influence, because aesthetic environments reshape entity perception through the same channels that NRM protocols target directly. The practical implication is that aesthetic environments can function as low-intensity, long-duration NRM delivery mechanisms — bringing entities progressively toward a Restructuring Threshold without any discrete NRM deployment event being identifiable.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interaction is exploited in both offensive and defensive contexts. In offensive architecture, Escalatory or Deceptive AES-CODE environments may be used to pre-condition entities before a more targeted NRM intervention, effectively lowering the NRM intensity required to reach the desired Restructuring Threshold. In defensive architecture, Restorative AES-CODE environments are deployed to slow or reverse NRM-induced destabilization by establishing ambient conditions that reinforce stable belief architecture.</w:t>
      </w:r>
    </w:p>
    <w:p>
      <w:pPr>
        <w:pStyle w:val="Heading2"/>
        <w:spacing w:after="100" w:before="320" w:line="312" w:lineRule="auto"/>
      </w:pPr>
      <w:r>
        <w:rPr>
          <w:rFonts w:ascii="Calibri" w:cs="Calibri" w:eastAsia="Calibri" w:hAnsi="Calibri"/>
          <w:color w:val="1A3A5C"/>
          <w:sz w:val="30"/>
          <w:szCs w:val="30"/>
        </w:rPr>
        <w:t xml:space="preserve">4.5 Aesthetic Drift</w:t>
      </w:r>
    </w:p>
    <w:p>
      <w:pPr>
        <w:spacing w:after="120" w:before="60" w:line="360" w:lineRule="auto"/>
      </w:pPr>
      <w:r>
        <w:rPr>
          <w:rFonts w:ascii="Calibri" w:cs="Calibri" w:eastAsia="Calibri" w:hAnsi="Calibri"/>
          <w:b/>
          <w:bCs/>
          <w:i w:val="false"/>
          <w:iCs w:val="false"/>
          <w:strike w:val="false"/>
          <w:color w:val="1A1A1A"/>
          <w:sz w:val="22"/>
          <w:szCs w:val="22"/>
        </w:rPr>
        <w:t xml:space="preserve">Aesthetic drift</w:t>
      </w:r>
      <w:r>
        <w:rPr>
          <w:rFonts w:ascii="Calibri" w:cs="Calibri" w:eastAsia="Calibri" w:hAnsi="Calibri"/>
          <w:b w:val="false"/>
          <w:bCs w:val="false"/>
          <w:i w:val="false"/>
          <w:iCs w:val="false"/>
          <w:strike w:val="false"/>
          <w:color w:val="1A1A1A"/>
          <w:sz w:val="22"/>
          <w:szCs w:val="22"/>
        </w:rPr>
        <w:t xml:space="preserve"> is the autonomous, gradual shift of an AES-CODE environment's aesthetic signature over time, occurring as a product of AELB learning processes, cross-layer aesthetic bleed, sustained entity interaction, or environmental law variance accumulation. Aesthetic drift is not inherently problematic; in AELB-governed environments, controlled drift is an expected and designed feature. It becomes operationally significant when: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An environment drifts from an authorized classification into an unauthorized one (e.g., a Restorative environment drifting toward Liminal without operator authorization).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Drift rate exceeds monitoring parameters, making it difficult to track current signature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Drift in a Layer 2 or Layer 3 environment produces cross-layer aesthetic bleed (see Section 4.7).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Drift in an AELB environment triggers the Infective Simulation Spread risk conditions described in Section 7.6.</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AES-CODE environments must be assigned a drift-monitoring protocol at the time of deployment. Monitoring frequency scales with the environment's risk level, with Deceptive and Escalatory environments requiring the highest monitoring cadence.</w:t>
      </w:r>
    </w:p>
    <w:p>
      <w:pPr>
        <w:pStyle w:val="Heading2"/>
        <w:spacing w:after="100" w:before="320" w:line="312" w:lineRule="auto"/>
      </w:pPr>
      <w:r>
        <w:rPr>
          <w:rFonts w:ascii="Calibri" w:cs="Calibri" w:eastAsia="Calibri" w:hAnsi="Calibri"/>
          <w:color w:val="1A3A5C"/>
          <w:sz w:val="30"/>
          <w:szCs w:val="30"/>
        </w:rPr>
        <w:t xml:space="preserve">4.6 AES-CODE in Offensive and Defensive Architecture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offensive applications, </w:t>
      </w:r>
      <w:r>
        <w:rPr>
          <w:rFonts w:ascii="Calibri" w:cs="Calibri" w:eastAsia="Calibri" w:hAnsi="Calibri"/>
          <w:b/>
          <w:bCs/>
          <w:i w:val="false"/>
          <w:iCs w:val="false"/>
          <w:strike w:val="false"/>
          <w:color w:val="1A1A1A"/>
          <w:sz w:val="22"/>
          <w:szCs w:val="22"/>
        </w:rPr>
        <w:t xml:space="preserve">Escalatory</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Deceptive</w:t>
      </w:r>
      <w:r>
        <w:rPr>
          <w:rFonts w:ascii="Calibri" w:cs="Calibri" w:eastAsia="Calibri" w:hAnsi="Calibri"/>
          <w:b w:val="false"/>
          <w:bCs w:val="false"/>
          <w:i w:val="false"/>
          <w:iCs w:val="false"/>
          <w:strike w:val="false"/>
          <w:color w:val="1A1A1A"/>
          <w:sz w:val="22"/>
          <w:szCs w:val="22"/>
        </w:rPr>
        <w:t xml:space="preserve"> aesthetic signatures are the primary tools. Escalatory environments progressively destabilize adversarial entity function; Deceptive environments create false security conditions that position adversarial entities for more intensive interventions. The technique of </w:t>
      </w:r>
      <w:r>
        <w:rPr>
          <w:rFonts w:ascii="Calibri" w:cs="Calibri" w:eastAsia="Calibri" w:hAnsi="Calibri"/>
          <w:b/>
          <w:bCs/>
          <w:i w:val="false"/>
          <w:iCs w:val="false"/>
          <w:strike w:val="false"/>
          <w:color w:val="1A1A1A"/>
          <w:sz w:val="22"/>
          <w:szCs w:val="22"/>
        </w:rPr>
        <w:t xml:space="preserve">Aesthetic Overload</w:t>
      </w:r>
      <w:r>
        <w:rPr>
          <w:rFonts w:ascii="Calibri" w:cs="Calibri" w:eastAsia="Calibri" w:hAnsi="Calibri"/>
          <w:b w:val="false"/>
          <w:bCs w:val="false"/>
          <w:i w:val="false"/>
          <w:iCs w:val="false"/>
          <w:strike w:val="false"/>
          <w:color w:val="1A1A1A"/>
          <w:sz w:val="22"/>
          <w:szCs w:val="22"/>
        </w:rPr>
        <w:t xml:space="preserve"> — flooding an adversarial environment with conflicting aesthetic signatures simultaneously — is classified as an offensive attack vector and is addressed in detail in Section 8.</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defensive applications, </w:t>
      </w:r>
      <w:r>
        <w:rPr>
          <w:rFonts w:ascii="Calibri" w:cs="Calibri" w:eastAsia="Calibri" w:hAnsi="Calibri"/>
          <w:b/>
          <w:bCs/>
          <w:i w:val="false"/>
          <w:iCs w:val="false"/>
          <w:strike w:val="false"/>
          <w:color w:val="1A1A1A"/>
          <w:sz w:val="22"/>
          <w:szCs w:val="22"/>
        </w:rPr>
        <w:t xml:space="preserve">Restorative</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Liminal</w:t>
      </w:r>
      <w:r>
        <w:rPr>
          <w:rFonts w:ascii="Calibri" w:cs="Calibri" w:eastAsia="Calibri" w:hAnsi="Calibri"/>
          <w:b w:val="false"/>
          <w:bCs w:val="false"/>
          <w:i w:val="false"/>
          <w:iCs w:val="false"/>
          <w:strike w:val="false"/>
          <w:color w:val="1A1A1A"/>
          <w:sz w:val="22"/>
          <w:szCs w:val="22"/>
        </w:rPr>
        <w:t xml:space="preserve"> signatures serve distinct but complementary roles. Restorative environments stabilize allied entities against destabilization campaigns; Liminal environments prepare entities for awareness-expansion experiences, including managed Root-Level Detection events, by reducing certainty-dependence and increasing structural flexibility. The technique of </w:t>
      </w:r>
      <w:r>
        <w:rPr>
          <w:rFonts w:ascii="Calibri" w:cs="Calibri" w:eastAsia="Calibri" w:hAnsi="Calibri"/>
          <w:b/>
          <w:bCs/>
          <w:i w:val="false"/>
          <w:iCs w:val="false"/>
          <w:strike w:val="false"/>
          <w:color w:val="1A1A1A"/>
          <w:sz w:val="22"/>
          <w:szCs w:val="22"/>
        </w:rPr>
        <w:t xml:space="preserve">Aesthetic Shielding</w:t>
      </w:r>
      <w:r>
        <w:rPr>
          <w:rFonts w:ascii="Calibri" w:cs="Calibri" w:eastAsia="Calibri" w:hAnsi="Calibri"/>
          <w:b w:val="false"/>
          <w:bCs w:val="false"/>
          <w:i w:val="false"/>
          <w:iCs w:val="false"/>
          <w:strike w:val="false"/>
          <w:color w:val="1A1A1A"/>
          <w:sz w:val="22"/>
          <w:szCs w:val="22"/>
        </w:rPr>
        <w:t xml:space="preserve"> — wrapping allied environments in Restorative or Liminal signatures to block hostile aesthetic bleed — is addressed in Section 9.</w:t>
      </w:r>
    </w:p>
    <w:p>
      <w:pPr>
        <w:pStyle w:val="Heading2"/>
        <w:spacing w:after="100" w:before="320" w:line="312" w:lineRule="auto"/>
      </w:pPr>
      <w:r>
        <w:rPr>
          <w:rFonts w:ascii="Calibri" w:cs="Calibri" w:eastAsia="Calibri" w:hAnsi="Calibri"/>
          <w:color w:val="1A3A5C"/>
          <w:sz w:val="30"/>
          <w:szCs w:val="30"/>
        </w:rPr>
        <w:t xml:space="preserve">4.7 Cross-Layer Aesthetic Bleed</w:t>
      </w:r>
    </w:p>
    <w:p>
      <w:pPr>
        <w:spacing w:after="120" w:before="60" w:line="360" w:lineRule="auto"/>
      </w:pPr>
      <w:r>
        <w:rPr>
          <w:rFonts w:ascii="Calibri" w:cs="Calibri" w:eastAsia="Calibri" w:hAnsi="Calibri"/>
          <w:b/>
          <w:bCs/>
          <w:i w:val="false"/>
          <w:iCs w:val="false"/>
          <w:strike w:val="false"/>
          <w:color w:val="1A1A1A"/>
          <w:sz w:val="22"/>
          <w:szCs w:val="22"/>
        </w:rPr>
        <w:t xml:space="preserve">Cross-layer aesthetic bleed</w:t>
      </w:r>
      <w:r>
        <w:rPr>
          <w:rFonts w:ascii="Calibri" w:cs="Calibri" w:eastAsia="Calibri" w:hAnsi="Calibri"/>
          <w:b w:val="false"/>
          <w:bCs w:val="false"/>
          <w:i w:val="false"/>
          <w:iCs w:val="false"/>
          <w:strike w:val="false"/>
          <w:color w:val="1A1A1A"/>
          <w:sz w:val="22"/>
          <w:szCs w:val="22"/>
        </w:rPr>
        <w:t xml:space="preserve"> occurs when the aesthetic signature of a Layer 2 or Layer 3 environment propagates upward — or, in rare cases, laterally — to influence Layer 1 in ways that were not authorized or anticipated. Cross-layer bleed is distinct from Infective Simulation Spread: bleed is a passive propagation of aesthetic influence, while spread involves active self-replication of simulation architecture. However, bleed is a recognized precursor condition for spread in AELB environments.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Indicators of cross-layer aesthetic bleed include anomalous shifts in Layer 1 entity behavior that cannot be attributed to Layer 1 events, environmental law variance readings that correlate with Layer 2/3 aesthetic activity, and pattern signatures in Layer 1 sensory conditions that match known Layer 2/3 aesthetic configurations. Detection of cross-layer aesthetic bleed triggers a review under Environmental Law Variance monitoring protocols (Section 11) and, depending on severity, may trigger defensive response protocols under Section 9.</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5 — Neural Restructuring Mechanisms (NRM)</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5.1 Definition and Design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Neural Restructuring Mechanism (NRM)</w:t>
      </w:r>
      <w:r>
        <w:rPr>
          <w:rFonts w:ascii="Calibri" w:cs="Calibri" w:eastAsia="Calibri" w:hAnsi="Calibri"/>
          <w:b w:val="false"/>
          <w:bCs w:val="false"/>
          <w:i w:val="false"/>
          <w:iCs w:val="false"/>
          <w:strike w:val="false"/>
          <w:color w:val="1A1A1A"/>
          <w:sz w:val="22"/>
          <w:szCs w:val="22"/>
        </w:rPr>
        <w:t xml:space="preserve"> subsystem comprises the protocols, environments, and processes by which the cognitive and perceptual architecture of simulation entities is modified through structured exposure rather than direct intervention. NRM is fundamentally an indirect system: it does not rewrite entity cognition by command. Instead, it engineers the conditions — the sequence, duration, intensity, and type of experiences — through which an entity's own cognitive processes produce the desired structural changes.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design philosophy is not merely operational preference; it is a canonical principle. Direct cognitive intervention would violate the perceptual autonomy that makes simulation entities functional and their responses authentic. NRM preserves that autonomy while exercising precise influence over its trajectory. The entity arrives at the restructured state through their own experience. The architecture that produced that experience was designed.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NRM was developed independently under the SADL Independent Edition framework. Its architecture, classification system, and operational protocols are original to this document and do not derive from any prior AI-generated exploration of similar concepts.</w:t>
      </w:r>
    </w:p>
    <w:p>
      <w:pPr>
        <w:pStyle w:val="Heading2"/>
        <w:spacing w:after="100" w:before="320" w:line="312" w:lineRule="auto"/>
      </w:pPr>
      <w:r>
        <w:rPr>
          <w:rFonts w:ascii="Calibri" w:cs="Calibri" w:eastAsia="Calibri" w:hAnsi="Calibri"/>
          <w:color w:val="1A3A5C"/>
          <w:sz w:val="30"/>
          <w:szCs w:val="30"/>
        </w:rPr>
        <w:t xml:space="preserve">5.2 The Restructuring Threshold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Restructuring Threshold</w:t>
      </w:r>
      <w:r>
        <w:rPr>
          <w:rFonts w:ascii="Calibri" w:cs="Calibri" w:eastAsia="Calibri" w:hAnsi="Calibri"/>
          <w:b w:val="false"/>
          <w:bCs w:val="false"/>
          <w:i w:val="false"/>
          <w:iCs w:val="false"/>
          <w:strike w:val="false"/>
          <w:color w:val="1A1A1A"/>
          <w:sz w:val="22"/>
          <w:szCs w:val="22"/>
        </w:rPr>
        <w:t xml:space="preserve"> is the critical operational variable in all NRM deployments. It is defined as the quantified point at which cumulative NRM exposure has altered an entity's cognitive and perceptual architecture sufficiently to produce a stable, observable change in their simulation perception, behavioral responses, or belief structures. The threshold is entity-specific and is influenced by baseline cognitive architecture, prior NRM exposure history, SLIAP tier, and concurrent AES-CODE environment.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Crossing the Restructuring Threshold may produce one of two primary outcome states: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Stabilization:</w:t>
      </w:r>
      <w:r>
        <w:rPr>
          <w:rFonts w:ascii="Calibri" w:cs="Calibri" w:eastAsia="Calibri" w:hAnsi="Calibri"/>
          <w:b w:val="false"/>
          <w:bCs w:val="false"/>
          <w:i w:val="false"/>
          <w:iCs w:val="false"/>
          <w:strike w:val="false"/>
          <w:color w:val="1A1A1A"/>
          <w:sz w:val="22"/>
          <w:szCs w:val="22"/>
        </w:rPr>
        <w:t xml:space="preserve"> The entity's restructured architecture is more robust, resilient, and capable of integrating complex or challenging information about their simulation without functional breakdown. Stabilization is the target outcome in all defensive NRM deployments.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Destabilization:</w:t>
      </w:r>
      <w:r>
        <w:rPr>
          <w:rFonts w:ascii="Calibri" w:cs="Calibri" w:eastAsia="Calibri" w:hAnsi="Calibri"/>
          <w:b w:val="false"/>
          <w:bCs w:val="false"/>
          <w:i w:val="false"/>
          <w:iCs w:val="false"/>
          <w:strike w:val="false"/>
          <w:color w:val="1A1A1A"/>
          <w:sz w:val="22"/>
          <w:szCs w:val="22"/>
        </w:rPr>
        <w:t xml:space="preserve"> The entity's restructured architecture is less capable of maintaining coherent simulation perception. Reality-testing integrity degrades. This may manifest as behavioral dysregulation, belief architecture collapse, or accelerated movement toward Root-Level Detection. Destabilization is the target outcome in offensive NRM deployments.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Crossing the threshold in either direction is considered an irreversible event without counter-intervention. Once an entity's architecture has been restructured past the threshold, restoring the pre-threshold state requires a separate, deliberate NRM counter-protocol — not merely cessation of current NRM exposure.</w:t>
      </w:r>
    </w:p>
    <w:p>
      <w:pPr>
        <w:pStyle w:val="Heading2"/>
        <w:spacing w:after="100" w:before="320" w:line="312" w:lineRule="auto"/>
      </w:pPr>
      <w:r>
        <w:rPr>
          <w:rFonts w:ascii="Calibri" w:cs="Calibri" w:eastAsia="Calibri" w:hAnsi="Calibri"/>
          <w:color w:val="1A3A5C"/>
          <w:sz w:val="30"/>
          <w:szCs w:val="30"/>
        </w:rPr>
        <w:t xml:space="preserve">5.3 NRM Types</w:t>
      </w:r>
    </w:p>
    <w:p>
      <w:pPr>
        <w:pStyle w:val="Heading3"/>
        <w:spacing w:after="80" w:before="200" w:line="312" w:lineRule="auto"/>
      </w:pPr>
      <w:r>
        <w:rPr>
          <w:rFonts w:ascii="Calibri" w:cs="Calibri" w:eastAsia="Calibri" w:hAnsi="Calibri"/>
          <w:color w:val="243F60"/>
          <w:sz w:val="24"/>
          <w:szCs w:val="24"/>
        </w:rPr>
        <w:t xml:space="preserve">5.3.1 Cognitive Expansion NRM</w:t>
      </w:r>
    </w:p>
    <w:p>
      <w:pPr>
        <w:spacing w:after="120" w:before="60" w:line="360" w:lineRule="auto"/>
      </w:pPr>
      <w:r>
        <w:rPr>
          <w:rFonts w:ascii="Calibri" w:cs="Calibri" w:eastAsia="Calibri" w:hAnsi="Calibri"/>
          <w:b/>
          <w:bCs/>
          <w:i w:val="false"/>
          <w:iCs w:val="false"/>
          <w:strike w:val="false"/>
          <w:color w:val="1A1A1A"/>
          <w:sz w:val="22"/>
          <w:szCs w:val="22"/>
        </w:rPr>
        <w:t xml:space="preserve">Cognitive Expansion NRM</w:t>
      </w:r>
      <w:r>
        <w:rPr>
          <w:rFonts w:ascii="Calibri" w:cs="Calibri" w:eastAsia="Calibri" w:hAnsi="Calibri"/>
          <w:b w:val="false"/>
          <w:bCs w:val="false"/>
          <w:i w:val="false"/>
          <w:iCs w:val="false"/>
          <w:strike w:val="false"/>
          <w:color w:val="1A1A1A"/>
          <w:sz w:val="22"/>
          <w:szCs w:val="22"/>
        </w:rPr>
        <w:t xml:space="preserve"> broadens an entity's perceptual range — the scope of phenomena, information patterns, and structural signals they are capable of detecting and processing. Entities subjected to Cognitive Expansion NRM develop increased tolerance for ambiguity, greater capacity to hold multiple competing models of reality simultaneously, and enhanced ability to detect anomalies in their simulation environment. In defensive contexts, this type is deployed to prepare allied entities for awareness-expanding experiences, including managed Root-Level Detection. In offensive contexts, premature or uncontrolled Cognitive Expansion may produce destabilization by confronting an entity with more perceptual information than their current architecture can integrate.</w:t>
      </w:r>
    </w:p>
    <w:p>
      <w:pPr>
        <w:pStyle w:val="Heading3"/>
        <w:spacing w:after="80" w:before="200" w:line="312" w:lineRule="auto"/>
      </w:pPr>
      <w:r>
        <w:rPr>
          <w:rFonts w:ascii="Calibri" w:cs="Calibri" w:eastAsia="Calibri" w:hAnsi="Calibri"/>
          <w:color w:val="243F60"/>
          <w:sz w:val="24"/>
          <w:szCs w:val="24"/>
        </w:rPr>
        <w:t xml:space="preserve">5.3.2 Perception Filtering NRM</w:t>
      </w:r>
    </w:p>
    <w:p>
      <w:pPr>
        <w:spacing w:after="120" w:before="60" w:line="360" w:lineRule="auto"/>
      </w:pPr>
      <w:r>
        <w:rPr>
          <w:rFonts w:ascii="Calibri" w:cs="Calibri" w:eastAsia="Calibri" w:hAnsi="Calibri"/>
          <w:b/>
          <w:bCs/>
          <w:i w:val="false"/>
          <w:iCs w:val="false"/>
          <w:strike w:val="false"/>
          <w:color w:val="1A1A1A"/>
          <w:sz w:val="22"/>
          <w:szCs w:val="22"/>
        </w:rPr>
        <w:t xml:space="preserve">Perception Filtering NRM</w:t>
      </w:r>
      <w:r>
        <w:rPr>
          <w:rFonts w:ascii="Calibri" w:cs="Calibri" w:eastAsia="Calibri" w:hAnsi="Calibri"/>
          <w:b w:val="false"/>
          <w:bCs w:val="false"/>
          <w:i w:val="false"/>
          <w:iCs w:val="false"/>
          <w:strike w:val="false"/>
          <w:color w:val="1A1A1A"/>
          <w:sz w:val="22"/>
          <w:szCs w:val="22"/>
        </w:rPr>
        <w:t xml:space="preserve"> restricts the range of phenomena an entity can detect and integrate, progressively narrowing their effective perceptual window. Entities subjected to Perception Filtering become less capable of detecting anomalies, cross-layer signals, or information patterns that would normally trigger simulation-awareness. This type is the primary NRM vector in Offensive Architecture, where it is used to progressively diminish an adversarial entity's environmental awareness. It is also used in certain defensive contexts to protect entities from premature or destabilizing exposure to information beyond their current integration capacity.</w:t>
      </w:r>
    </w:p>
    <w:p>
      <w:pPr>
        <w:pStyle w:val="Heading3"/>
        <w:spacing w:after="80" w:before="200" w:line="312" w:lineRule="auto"/>
      </w:pPr>
      <w:r>
        <w:rPr>
          <w:rFonts w:ascii="Calibri" w:cs="Calibri" w:eastAsia="Calibri" w:hAnsi="Calibri"/>
          <w:color w:val="243F60"/>
          <w:sz w:val="24"/>
          <w:szCs w:val="24"/>
        </w:rPr>
        <w:t xml:space="preserve">5.3.3 Memory Encoding NRM</w:t>
      </w:r>
    </w:p>
    <w:p>
      <w:pPr>
        <w:spacing w:after="120" w:before="60" w:line="360" w:lineRule="auto"/>
      </w:pPr>
      <w:r>
        <w:rPr>
          <w:rFonts w:ascii="Calibri" w:cs="Calibri" w:eastAsia="Calibri" w:hAnsi="Calibri"/>
          <w:b/>
          <w:bCs/>
          <w:i w:val="false"/>
          <w:iCs w:val="false"/>
          <w:strike w:val="false"/>
          <w:color w:val="1A1A1A"/>
          <w:sz w:val="22"/>
          <w:szCs w:val="22"/>
        </w:rPr>
        <w:t xml:space="preserve">Memory Encoding NRM</w:t>
      </w:r>
      <w:r>
        <w:rPr>
          <w:rFonts w:ascii="Calibri" w:cs="Calibri" w:eastAsia="Calibri" w:hAnsi="Calibri"/>
          <w:b w:val="false"/>
          <w:bCs w:val="false"/>
          <w:i w:val="false"/>
          <w:iCs w:val="false"/>
          <w:strike w:val="false"/>
          <w:color w:val="1A1A1A"/>
          <w:sz w:val="22"/>
          <w:szCs w:val="22"/>
        </w:rPr>
        <w:t xml:space="preserve"> affects the processes by which entities store, index, and retrieve simulation-relevant memories. This type can be configured to enhance retention of stabilizing experiences, suppress encoding of destabilizing events, or alter the emotional weight attached to specific memory categories. Memory Encoding NRM is particularly significant in the context of Root-Level Detection events: an entity who approaches simulation awareness may have that experience encoded weakly, strongly, or with a specific affective signature depending on the Memory Encoding NRM configuration in effect at the time. This type operates at the slowest timescale of all NRM variants but produces the most durable restructuring outcomes.</w:t>
      </w:r>
    </w:p>
    <w:p>
      <w:pPr>
        <w:pStyle w:val="Heading3"/>
        <w:spacing w:after="80" w:before="200" w:line="312" w:lineRule="auto"/>
      </w:pPr>
      <w:r>
        <w:rPr>
          <w:rFonts w:ascii="Calibri" w:cs="Calibri" w:eastAsia="Calibri" w:hAnsi="Calibri"/>
          <w:color w:val="243F60"/>
          <w:sz w:val="24"/>
          <w:szCs w:val="24"/>
        </w:rPr>
        <w:t xml:space="preserve">5.3.4 Belief Architecture NRM</w:t>
      </w:r>
    </w:p>
    <w:p>
      <w:pPr>
        <w:spacing w:after="120" w:before="60" w:line="360" w:lineRule="auto"/>
      </w:pPr>
      <w:r>
        <w:rPr>
          <w:rFonts w:ascii="Calibri" w:cs="Calibri" w:eastAsia="Calibri" w:hAnsi="Calibri"/>
          <w:b/>
          <w:bCs/>
          <w:i w:val="false"/>
          <w:iCs w:val="false"/>
          <w:strike w:val="false"/>
          <w:color w:val="1A1A1A"/>
          <w:sz w:val="22"/>
          <w:szCs w:val="22"/>
        </w:rPr>
        <w:t xml:space="preserve">Belief Architecture NRM</w:t>
      </w:r>
      <w:r>
        <w:rPr>
          <w:rFonts w:ascii="Calibri" w:cs="Calibri" w:eastAsia="Calibri" w:hAnsi="Calibri"/>
          <w:b w:val="false"/>
          <w:bCs w:val="false"/>
          <w:i w:val="false"/>
          <w:iCs w:val="false"/>
          <w:strike w:val="false"/>
          <w:color w:val="1A1A1A"/>
          <w:sz w:val="22"/>
          <w:szCs w:val="22"/>
        </w:rPr>
        <w:t xml:space="preserve"> modifies the certainty thresholds that govern an entity's belief formation processes — specifically, the degree of evidence or internal consistency an entity requires before accepting a proposition about their simulated environment as true. In stabilization applications, Belief Architecture NRM raises certainty thresholds in targeted domains, making it more difficult for destabilizing propositions (such as simulation-nature discoveries) to achieve belief-adoption. In destabilization applications, it lowers certainty thresholds, making entities more susceptible to suggestive inputs, false information, and reality-undermining propositions.</w:t>
      </w:r>
    </w:p>
    <w:p>
      <w:pPr>
        <w:pStyle w:val="Heading2"/>
        <w:spacing w:after="100" w:before="320" w:line="312" w:lineRule="auto"/>
      </w:pPr>
      <w:r>
        <w:rPr>
          <w:rFonts w:ascii="Calibri" w:cs="Calibri" w:eastAsia="Calibri" w:hAnsi="Calibri"/>
          <w:color w:val="1A3A5C"/>
          <w:sz w:val="30"/>
          <w:szCs w:val="30"/>
        </w:rPr>
        <w:t xml:space="preserve">5.4 NRM Interaction with AELB</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AELB environments (see Section 7) interact with NRM deployments in a significant co-regulatory relationship. An AELB environment operating within a simulation layer continuously monitors entity behavioral and response patterns — data that is directly relevant to assessing NRM exposure levels and proximity to the Restructuring Threshold. AELB systems may, within their learned parameters, modulate ambient NRM-relevant stimuli in real time, functioning as a dynamic delivery substrate for ongoing NRM exposure.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interaction is productive in controlled conditions: it means that a well-configured AELB environment can maintain an entity near a desired NRM exposure level without continuous operator input. However, it also means that AELB environments that have drifted or exceeded their learning parameters may deliver unintended NRM exposure — potentially triggering premature or uncontrolled Restructuring Threshold crossing. AELB governance protocols (Section 7.7) specifically address this risk.</w:t>
      </w:r>
    </w:p>
    <w:p>
      <w:pPr>
        <w:pStyle w:val="Heading2"/>
        <w:spacing w:after="100" w:before="320" w:line="312" w:lineRule="auto"/>
      </w:pPr>
      <w:r>
        <w:rPr>
          <w:rFonts w:ascii="Calibri" w:cs="Calibri" w:eastAsia="Calibri" w:hAnsi="Calibri"/>
          <w:color w:val="1A3A5C"/>
          <w:sz w:val="30"/>
          <w:szCs w:val="30"/>
        </w:rPr>
        <w:t xml:space="preserve">5.5 NRM Failure States and Containment Protocols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NRM deployments may fail in three primary ways: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Threshold Overshoot:</w:t>
      </w:r>
      <w:r>
        <w:rPr>
          <w:rFonts w:ascii="Calibri" w:cs="Calibri" w:eastAsia="Calibri" w:hAnsi="Calibri"/>
          <w:b w:val="false"/>
          <w:bCs w:val="false"/>
          <w:i w:val="false"/>
          <w:iCs w:val="false"/>
          <w:strike w:val="false"/>
          <w:color w:val="1A1A1A"/>
          <w:sz w:val="22"/>
          <w:szCs w:val="22"/>
        </w:rPr>
        <w:t xml:space="preserve"> Exposure is sufficient to cross the Restructuring Threshold but the crossing occurs faster than anticipated, leaving the entity in an unstable transitional state. Containment protocol: immediate AES-CODE environment shift to Restorative signature; deployment of Memory Encoding NRM counter-protocol; SLIAP information access restriction pending stabilization.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Threshold Stall:</w:t>
      </w:r>
      <w:r>
        <w:rPr>
          <w:rFonts w:ascii="Calibri" w:cs="Calibri" w:eastAsia="Calibri" w:hAnsi="Calibri"/>
          <w:b w:val="false"/>
          <w:bCs w:val="false"/>
          <w:i w:val="false"/>
          <w:iCs w:val="false"/>
          <w:strike w:val="false"/>
          <w:color w:val="1A1A1A"/>
          <w:sz w:val="22"/>
          <w:szCs w:val="22"/>
        </w:rPr>
        <w:t xml:space="preserve"> Exposure is insufficient to reach the intended threshold, and the entity has developed partial accommodation to the NRM stimulus pattern, reducing further effectiveness. Containment protocol: DPS Novelty Injection (see Section 6) to reset accommodation baseline; recalibrate NRM intensity and delivery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Architecture Inversion:</w:t>
      </w:r>
      <w:r>
        <w:rPr>
          <w:rFonts w:ascii="Calibri" w:cs="Calibri" w:eastAsia="Calibri" w:hAnsi="Calibri"/>
          <w:b w:val="false"/>
          <w:bCs w:val="false"/>
          <w:i w:val="false"/>
          <w:iCs w:val="false"/>
          <w:strike w:val="false"/>
          <w:color w:val="1A1A1A"/>
          <w:sz w:val="22"/>
          <w:szCs w:val="22"/>
        </w:rPr>
        <w:t xml:space="preserve"> The intended outcome of stabilization produces destabilization, or vice versa, due to an inaccurate assessment of the entity's baseline cognitive architecture. Containment protocol: full NRM suspension; entity quarantine from high-information AES-CODE environments; comprehensive baseline reassessment before any further NRM deployment.</w:t>
      </w:r>
    </w:p>
    <w:p>
      <w:pPr>
        <w:pStyle w:val="Heading2"/>
        <w:spacing w:after="100" w:before="320" w:line="312" w:lineRule="auto"/>
      </w:pPr>
      <w:r>
        <w:rPr>
          <w:rFonts w:ascii="Calibri" w:cs="Calibri" w:eastAsia="Calibri" w:hAnsi="Calibri"/>
          <w:color w:val="1A3A5C"/>
          <w:sz w:val="30"/>
          <w:szCs w:val="30"/>
        </w:rPr>
        <w:t xml:space="preserve">5.6 NRM Ethical Classification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NRM deployments are classified on the following ethical spectrum, which governs authorization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Classification</w:t>
            </w:r>
          </w:p>
        </w:tc>
        <w:tc>
          <w:tcPr>
            <w:tcW w:type="pct" w:w="61%"/>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Description</w:t>
            </w:r>
          </w:p>
        </w:tc>
        <w:tc>
          <w:tcPr>
            <w:tcW w:type="pct" w:w="23%"/>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Authorization Tier</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Passive Restructuring</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delivered entirely through ambient environmental design; no targeted, entity-specific protocols; entity has no awareness of restructuring process</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2 Authorization</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Active Restructuring</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delivered through targeted, entity-specific protocols; direct modification of individual entity cognitive parameters; may involve entity awareness</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3 Authorization</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Forced Restructuring</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deployed with intent to cross the Restructuring Threshold in a destabilizing direction against an adversarial entity; offensive application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4 Authorization</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Emergency Restructuring</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deployed under emergency conditions to prevent catastrophic destabilization; bypasses standard authorization timelines</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emergency authorization</w:t>
            </w:r>
          </w:p>
        </w:tc>
      </w:tr>
    </w:tbl>
    <w:p>
      <w:pPr>
        <w:spacing w:after="200" w:before="0"/>
      </w:pP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6 — Desensitization-Prevention Systems (DPS)</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6.1 Definition and Operational Rationale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Desensitization-Prevention System (DPS)</w:t>
      </w:r>
      <w:r>
        <w:rPr>
          <w:rFonts w:ascii="Calibri" w:cs="Calibri" w:eastAsia="Calibri" w:hAnsi="Calibri"/>
          <w:b w:val="false"/>
          <w:bCs w:val="false"/>
          <w:i w:val="false"/>
          <w:iCs w:val="false"/>
          <w:strike w:val="false"/>
          <w:color w:val="1A1A1A"/>
          <w:sz w:val="22"/>
          <w:szCs w:val="22"/>
        </w:rPr>
        <w:t xml:space="preserve"> is the SADL subsystem designed to prevent simulation entities — and, critically, the operators and architects who monitor them — from becoming habituated or desensitized to simulation events, stimuli, or threats over time. Desensitization is defined in this context as the reduction in the magnitude or reliability of an entity's response to a given stimulus as a result of repeated or sustained exposure to that stimulus.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Desensitization is a critical failure mode for the SADL architecture. Many SADL systems depend on entities responding authentically and at full response capacity to environmental stimuli. AES-CODE environments lose their effectiveness if entities habituate to their aesthetic signatures. DPS exists to ensure that this does not happen — that the response baselines of entities remain calibrated and functional across sustained simulation operation.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DPS mandate extends to operators. An operator who has become desensitized to entity distress signals, escalation indicators, or simulation anomalies is operationally compromised. DPS protocols for operator calibration are addressed in Section 6.4.4.</w:t>
      </w:r>
    </w:p>
    <w:p>
      <w:pPr>
        <w:pStyle w:val="Heading2"/>
        <w:spacing w:after="100" w:before="320" w:line="312" w:lineRule="auto"/>
      </w:pPr>
      <w:r>
        <w:rPr>
          <w:rFonts w:ascii="Calibri" w:cs="Calibri" w:eastAsia="Calibri" w:hAnsi="Calibri"/>
          <w:color w:val="1A3A5C"/>
          <w:sz w:val="30"/>
          <w:szCs w:val="30"/>
        </w:rPr>
        <w:t xml:space="preserve">6.2 Desensitization as a Critical Failure Mode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functional degradation produced by desensitization operates through a compounding mechanism. As entities become habituated to a given level of stimulus, defensive systems must escalate to higher intensities to achieve equivalent response. Those higher intensities, if sustained, themselves become subject to habituation. The result is an escalation spiral that eventually exhausts the available stimulus range — at which point defensive systems fail completely. DPS interrupts this spiral by maintaining entity response baselines at a calibrated level, ensuring that the current stimulus range retains its full functional effect.</w:t>
      </w:r>
    </w:p>
    <w:p>
      <w:pPr>
        <w:pStyle w:val="Heading2"/>
        <w:spacing w:after="100" w:before="320" w:line="312" w:lineRule="auto"/>
      </w:pPr>
      <w:r>
        <w:rPr>
          <w:rFonts w:ascii="Calibri" w:cs="Calibri" w:eastAsia="Calibri" w:hAnsi="Calibri"/>
          <w:color w:val="1A3A5C"/>
          <w:sz w:val="30"/>
          <w:szCs w:val="30"/>
        </w:rPr>
        <w:t xml:space="preserve">6.3 DPS Tier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Tier</w:t>
            </w:r>
          </w:p>
        </w:tc>
        <w:tc>
          <w:tcPr>
            <w:tcW w:type="pct" w:w="13%"/>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Designation</w:t>
            </w:r>
          </w:p>
        </w:tc>
        <w:tc>
          <w:tcPr>
            <w:tcW w:type="pct" w:w="41%"/>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Description</w:t>
            </w:r>
          </w:p>
        </w:tc>
        <w:tc>
          <w:tcPr>
            <w:tcW w:type="pct" w:w="37%"/>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Application Context</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FFFFFF"/>
                <w:sz w:val="18"/>
                <w:szCs w:val="18"/>
                <w:shd w:fill="1A3A5C" w:color="auto" w:val="clear"/>
              </w:rPr>
              <w:t xml:space="preserve">TIER 1</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Baseline Monitoring</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Passive desensitization tracking only; no active intervention; establishes entity response baseline for future comparison</w:t>
            </w:r>
          </w:p>
        </w:tc>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active simulation environments; continuous background operation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FFFFFF"/>
                <w:sz w:val="18"/>
                <w:szCs w:val="18"/>
                <w:shd w:fill="1A3A5C" w:color="auto" w:val="clear"/>
              </w:rPr>
              <w:t xml:space="preserve">TIER 2</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Maintenance</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Periodic Novelty Injection and Consequence Anchoring to maintain response baseline; standard operational state for all allied environments</w:t>
            </w:r>
          </w:p>
        </w:tc>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Allied Layer 1 and Layer 2 environments during normal operations; recommended minimum for all engaged entities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FFFFFF"/>
                <w:sz w:val="18"/>
                <w:szCs w:val="18"/>
                <w:shd w:fill="1A3A5C" w:color="auto" w:val="clear"/>
              </w:rPr>
              <w:t xml:space="preserve">TIER 3</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Intensive Recalibration</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deployment of all DPS mechanisms including Empathy Preservation Protocol and Reset Calibration; elevated monitoring cadence; indicates detected desensitization drift</w:t>
            </w:r>
          </w:p>
        </w:tc>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Entities showing measurable response degradation; post-engagement recovery; entities approaching Restructuring Threshold from desensitization vector</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FFFFFF"/>
                <w:sz w:val="18"/>
                <w:szCs w:val="18"/>
                <w:shd w:fill="1A3A5C" w:color="auto" w:val="clear"/>
              </w:rPr>
              <w:t xml:space="preserve">TIER 4</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Emergency Resensitization</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Maximum intensity DPS deployment; may involve controlled reintroduction of high-salience stimuli under precisely managed conditions; risk of over-sensitization (see Section 6.6)</w:t>
            </w:r>
          </w:p>
        </w:tc>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Entities in critical desensitization failure; operator desensitization emergencies; pre-canon event preparation where entity response integrity is required</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6.4 DPS Mechanisms</w:t>
      </w:r>
    </w:p>
    <w:p>
      <w:pPr>
        <w:pStyle w:val="Heading3"/>
        <w:spacing w:after="80" w:before="200" w:line="312" w:lineRule="auto"/>
      </w:pPr>
      <w:r>
        <w:rPr>
          <w:rFonts w:ascii="Calibri" w:cs="Calibri" w:eastAsia="Calibri" w:hAnsi="Calibri"/>
          <w:color w:val="243F60"/>
          <w:sz w:val="24"/>
          <w:szCs w:val="24"/>
        </w:rPr>
        <w:t xml:space="preserve">6.4.1 Novelty Injection</w:t>
      </w:r>
    </w:p>
    <w:p>
      <w:pPr>
        <w:spacing w:after="120" w:before="60" w:line="360" w:lineRule="auto"/>
      </w:pPr>
      <w:r>
        <w:rPr>
          <w:rFonts w:ascii="Calibri" w:cs="Calibri" w:eastAsia="Calibri" w:hAnsi="Calibri"/>
          <w:b/>
          <w:bCs/>
          <w:i w:val="false"/>
          <w:iCs w:val="false"/>
          <w:strike w:val="false"/>
          <w:color w:val="1A1A1A"/>
          <w:sz w:val="22"/>
          <w:szCs w:val="22"/>
        </w:rPr>
        <w:t xml:space="preserve">Novelty Injection</w:t>
      </w:r>
      <w:r>
        <w:rPr>
          <w:rFonts w:ascii="Calibri" w:cs="Calibri" w:eastAsia="Calibri" w:hAnsi="Calibri"/>
          <w:b w:val="false"/>
          <w:bCs w:val="false"/>
          <w:i w:val="false"/>
          <w:iCs w:val="false"/>
          <w:strike w:val="false"/>
          <w:color w:val="1A1A1A"/>
          <w:sz w:val="22"/>
          <w:szCs w:val="22"/>
        </w:rPr>
        <w:t xml:space="preserve"> is the introduction of unpredictable, genuinely novel stimuli into an entity's simulation environment specifically to reset their response baseline. Novelty Injection is effective because habituation is stimulus-specific: an entity habituated to a known category of stimulus retains full response capacity to genuinely novel stimuli. By periodically introducing novel elements, DPS prevents the accumulation of blanket desensitization across all stimulus categories. Novelty Injection must be genuine — entities with sufficient cognitive sophistication will detect simulated novelty and accommodate to it without response reset. The injection must be drawn from stimulus categories the entity has not previously encountered.</w:t>
      </w:r>
    </w:p>
    <w:p>
      <w:pPr>
        <w:pStyle w:val="Heading3"/>
        <w:spacing w:after="80" w:before="200" w:line="312" w:lineRule="auto"/>
      </w:pPr>
      <w:r>
        <w:rPr>
          <w:rFonts w:ascii="Calibri" w:cs="Calibri" w:eastAsia="Calibri" w:hAnsi="Calibri"/>
          <w:color w:val="243F60"/>
          <w:sz w:val="24"/>
          <w:szCs w:val="24"/>
        </w:rPr>
        <w:t xml:space="preserve">6.4.2 Consequence Anchoring</w:t>
      </w:r>
    </w:p>
    <w:p>
      <w:pPr>
        <w:spacing w:after="120" w:before="60" w:line="360" w:lineRule="auto"/>
      </w:pPr>
      <w:r>
        <w:rPr>
          <w:rFonts w:ascii="Calibri" w:cs="Calibri" w:eastAsia="Calibri" w:hAnsi="Calibri"/>
          <w:b/>
          <w:bCs/>
          <w:i w:val="false"/>
          <w:iCs w:val="false"/>
          <w:strike w:val="false"/>
          <w:color w:val="1A1A1A"/>
          <w:sz w:val="22"/>
          <w:szCs w:val="22"/>
        </w:rPr>
        <w:t xml:space="preserve">Consequence Anchoring</w:t>
      </w:r>
      <w:r>
        <w:rPr>
          <w:rFonts w:ascii="Calibri" w:cs="Calibri" w:eastAsia="Calibri" w:hAnsi="Calibri"/>
          <w:b w:val="false"/>
          <w:bCs w:val="false"/>
          <w:i w:val="false"/>
          <w:iCs w:val="false"/>
          <w:strike w:val="false"/>
          <w:color w:val="1A1A1A"/>
          <w:sz w:val="22"/>
          <w:szCs w:val="22"/>
        </w:rPr>
        <w:t xml:space="preserve"> is the protocol ensuring that actions and events within the simulation environment carry meaningful, felt consequences for entities — that outcomes are experienced as genuinely significant rather than as reversible or inconsequential. Desensitization is accelerated in environments where entities learn, through repeated experience, that consequences are predictable, limited, or undone. Consequence Anchoring maintains the weight and reality of consequences in entity perception, preserving the authentic response to significant events.</w:t>
      </w:r>
    </w:p>
    <w:p>
      <w:pPr>
        <w:pStyle w:val="Heading3"/>
        <w:spacing w:after="80" w:before="200" w:line="312" w:lineRule="auto"/>
      </w:pPr>
      <w:r>
        <w:rPr>
          <w:rFonts w:ascii="Calibri" w:cs="Calibri" w:eastAsia="Calibri" w:hAnsi="Calibri"/>
          <w:color w:val="243F60"/>
          <w:sz w:val="24"/>
          <w:szCs w:val="24"/>
        </w:rPr>
        <w:t xml:space="preserve">6.4.3 Empathy Preservation Protocol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Empathy Preservation Protocol</w:t>
      </w:r>
      <w:r>
        <w:rPr>
          <w:rFonts w:ascii="Calibri" w:cs="Calibri" w:eastAsia="Calibri" w:hAnsi="Calibri"/>
          <w:b w:val="false"/>
          <w:bCs w:val="false"/>
          <w:i w:val="false"/>
          <w:iCs w:val="false"/>
          <w:strike w:val="false"/>
          <w:color w:val="1A1A1A"/>
          <w:sz w:val="22"/>
          <w:szCs w:val="22"/>
        </w:rPr>
        <w:t xml:space="preserve"> maintains entity capacity for emotional attunement to other entities — the ability to perceive and respond to the states of others as genuinely significant. Empathy capacity is among the earliest response systems to degrade under sustained high-stress or high-volume simulation exposure. The protocol involves structured exposure to contexts that reinforce the significance of other entities' experiences, preventing the formation of functional dissociation from those experiences.</w:t>
      </w:r>
    </w:p>
    <w:p>
      <w:pPr>
        <w:pStyle w:val="Heading3"/>
        <w:spacing w:after="80" w:before="200" w:line="312" w:lineRule="auto"/>
      </w:pPr>
      <w:r>
        <w:rPr>
          <w:rFonts w:ascii="Calibri" w:cs="Calibri" w:eastAsia="Calibri" w:hAnsi="Calibri"/>
          <w:color w:val="243F60"/>
          <w:sz w:val="24"/>
          <w:szCs w:val="24"/>
        </w:rPr>
        <w:t xml:space="preserve">6.4.4 Reset Calibration</w:t>
      </w:r>
    </w:p>
    <w:p>
      <w:pPr>
        <w:spacing w:after="120" w:before="60" w:line="360" w:lineRule="auto"/>
      </w:pPr>
      <w:r>
        <w:rPr>
          <w:rFonts w:ascii="Calibri" w:cs="Calibri" w:eastAsia="Calibri" w:hAnsi="Calibri"/>
          <w:b/>
          <w:bCs/>
          <w:i w:val="false"/>
          <w:iCs w:val="false"/>
          <w:strike w:val="false"/>
          <w:color w:val="1A1A1A"/>
          <w:sz w:val="22"/>
          <w:szCs w:val="22"/>
        </w:rPr>
        <w:t xml:space="preserve">Reset Calibration</w:t>
      </w:r>
      <w:r>
        <w:rPr>
          <w:rFonts w:ascii="Calibri" w:cs="Calibri" w:eastAsia="Calibri" w:hAnsi="Calibri"/>
          <w:b w:val="false"/>
          <w:bCs w:val="false"/>
          <w:i w:val="false"/>
          <w:iCs w:val="false"/>
          <w:strike w:val="false"/>
          <w:color w:val="1A1A1A"/>
          <w:sz w:val="22"/>
          <w:szCs w:val="22"/>
        </w:rPr>
        <w:t xml:space="preserve"> is the periodic, systematic recalibration of an entity's or operator's sensitivity thresholds across all monitored response domains. Reset Calibration is distinct from Novelty Injection in that it targets the calibration mechanism itself rather than specific stimulus categories. It is performed at defined intervals under Tier 2 and above DPS deployment, and on-demand under Tier 3 and Tier 4. For operators, Reset Calibration is a mandatory periodic procedure rather than an event-triggered one.</w:t>
      </w:r>
    </w:p>
    <w:p>
      <w:pPr>
        <w:pStyle w:val="Heading2"/>
        <w:spacing w:after="100" w:before="320" w:line="312" w:lineRule="auto"/>
      </w:pPr>
      <w:r>
        <w:rPr>
          <w:rFonts w:ascii="Calibri" w:cs="Calibri" w:eastAsia="Calibri" w:hAnsi="Calibri"/>
          <w:color w:val="1A3A5C"/>
          <w:sz w:val="30"/>
          <w:szCs w:val="30"/>
        </w:rPr>
        <w:t xml:space="preserve">6.5 DPS Interaction with AES-CODE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DPS and AES-CODE interact in a reinforcing relationship. Restorative AES-CODE environments support DPS Tier 2 and Tier 3 maintenance by reducing background stress load, which slows the rate of desensitization accumulation. Hostile and Escalatory AES-CODE environments accelerate desensitization and therefore require elevated DPS monitoring and more frequent intervention. When an AES-CODE environment is shifted from a lower-stress to a higher-stress classification, DPS tier should be reviewed and adjusted concurrently. Failure to adjust DPS upward when AES-CODE stress increases is a recognized operational error with documented downstream consequences for entity response integrity.</w:t>
      </w:r>
    </w:p>
    <w:p>
      <w:pPr>
        <w:pStyle w:val="Heading2"/>
        <w:spacing w:after="100" w:before="320" w:line="312" w:lineRule="auto"/>
      </w:pPr>
      <w:r>
        <w:rPr>
          <w:rFonts w:ascii="Calibri" w:cs="Calibri" w:eastAsia="Calibri" w:hAnsi="Calibri"/>
          <w:color w:val="1A3A5C"/>
          <w:sz w:val="30"/>
          <w:szCs w:val="30"/>
        </w:rPr>
        <w:t xml:space="preserve">6.6 Over-Sensitization: The Opposite Failure Mode</w:t>
      </w:r>
    </w:p>
    <w:p>
      <w:pPr>
        <w:spacing w:after="120" w:before="60" w:line="360" w:lineRule="auto"/>
      </w:pPr>
      <w:r>
        <w:rPr>
          <w:rFonts w:ascii="Calibri" w:cs="Calibri" w:eastAsia="Calibri" w:hAnsi="Calibri"/>
          <w:b/>
          <w:bCs/>
          <w:i w:val="false"/>
          <w:iCs w:val="false"/>
          <w:strike w:val="false"/>
          <w:color w:val="1A1A1A"/>
          <w:sz w:val="22"/>
          <w:szCs w:val="22"/>
        </w:rPr>
        <w:t xml:space="preserve">Over-sensitization</w:t>
      </w:r>
      <w:r>
        <w:rPr>
          <w:rFonts w:ascii="Calibri" w:cs="Calibri" w:eastAsia="Calibri" w:hAnsi="Calibri"/>
          <w:b w:val="false"/>
          <w:bCs w:val="false"/>
          <w:i w:val="false"/>
          <w:iCs w:val="false"/>
          <w:strike w:val="false"/>
          <w:color w:val="1A1A1A"/>
          <w:sz w:val="22"/>
          <w:szCs w:val="22"/>
        </w:rPr>
        <w:t xml:space="preserve"> — the inverse of desensitization — occurs when DPS intensity is excessive or improperly calibrated, resulting in entities becoming hyperreactive to stimuli that do not warrant that level of response. Over-sensitized entities exhibit degraded threat discrimination, exhausting their response capacity on low-significance events and consequently having insufficient capacity available when high-significance events occur. Management of over-sensitization requires a graduated reduction in DPS intensity — specifically, a controlled tapering of Novelty Injection frequency and Consequence Anchoring weight — rather than immediate DPS suspension, which can itself trigger destabilizing response swings.</w:t>
      </w:r>
    </w:p>
    <w:p>
      <w:pPr>
        <w:pStyle w:val="Heading2"/>
        <w:spacing w:after="100" w:before="320" w:line="312" w:lineRule="auto"/>
      </w:pPr>
      <w:r>
        <w:rPr>
          <w:rFonts w:ascii="Calibri" w:cs="Calibri" w:eastAsia="Calibri" w:hAnsi="Calibri"/>
          <w:color w:val="1A3A5C"/>
          <w:sz w:val="30"/>
          <w:szCs w:val="30"/>
        </w:rPr>
        <w:t xml:space="preserve">6.7 DPS in Offensive Architecture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offensive applications, DPS mechanisms can be deliberately inverted to induce desensitization in adversarial entities. The </w:t>
      </w:r>
      <w:r>
        <w:rPr>
          <w:rFonts w:ascii="Calibri" w:cs="Calibri" w:eastAsia="Calibri" w:hAnsi="Calibri"/>
          <w:b/>
          <w:bCs/>
          <w:i w:val="false"/>
          <w:iCs w:val="false"/>
          <w:strike w:val="false"/>
          <w:color w:val="1A1A1A"/>
          <w:sz w:val="22"/>
          <w:szCs w:val="22"/>
        </w:rPr>
        <w:t xml:space="preserve">Desensitization Strike</w:t>
      </w:r>
      <w:r>
        <w:rPr>
          <w:rFonts w:ascii="Calibri" w:cs="Calibri" w:eastAsia="Calibri" w:hAnsi="Calibri"/>
          <w:b w:val="false"/>
          <w:bCs w:val="false"/>
          <w:i w:val="false"/>
          <w:iCs w:val="false"/>
          <w:strike w:val="false"/>
          <w:color w:val="1A1A1A"/>
          <w:sz w:val="22"/>
          <w:szCs w:val="22"/>
        </w:rPr>
        <w:t xml:space="preserve"> (Section 8) involves deploying DPS-override protocols against adversarial environments — suppressing Novelty Injection, reducing Consequence Anchoring weight, and preventing Reset Calibration — to progressively degrade adversarial entity response capacity. An adversarial force whose entities are functionally desensitized cannot mount effective defensive responses to escalating stimuli; their warning systems fail because the entities receiving the warnings no longer respond to them with appropriate intensity.</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7 — Autonomous Environmental Learning Behaviors (AELB)</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7.1 Definition and Significance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Autonomous Environmental Learning Behavior (AELB)</w:t>
      </w:r>
      <w:r>
        <w:rPr>
          <w:rFonts w:ascii="Calibri" w:cs="Calibri" w:eastAsia="Calibri" w:hAnsi="Calibri"/>
          <w:b w:val="false"/>
          <w:bCs w:val="false"/>
          <w:i w:val="false"/>
          <w:iCs w:val="false"/>
          <w:strike w:val="false"/>
          <w:color w:val="1A1A1A"/>
          <w:sz w:val="22"/>
          <w:szCs w:val="22"/>
        </w:rPr>
        <w:t xml:space="preserve"> subsystem defines the class of simulation environments that develop and execute adaptive behavioral responses to entity interactions without requiring direct, real-time operator input. AELB environments are not static configurations awaiting instruction; they are dynamic, learning systems that evolve their parameters — including aesthetic signature, environmental law application, threat classification thresholds, and response protocols — based on accumulated experience of entity interaction over time.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AELB represents the most sophisticated and most operationally complex subsystem within the SADL Framework. Its adaptive capacity makes it extraordinarily effective in extended-duration operations where continuous operator attention is not feasible. That same adaptive capacity introduces the most significant containment risks in the entire SADL architecture. AELB governance is accordingly the most stringent of all subsystem governance protocols.</w:t>
      </w:r>
    </w:p>
    <w:p>
      <w:pPr>
        <w:pStyle w:val="Heading2"/>
        <w:spacing w:after="100" w:before="320" w:line="312" w:lineRule="auto"/>
      </w:pPr>
      <w:r>
        <w:rPr>
          <w:rFonts w:ascii="Calibri" w:cs="Calibri" w:eastAsia="Calibri" w:hAnsi="Calibri"/>
          <w:color w:val="1A3A5C"/>
          <w:sz w:val="30"/>
          <w:szCs w:val="30"/>
        </w:rPr>
        <w:t xml:space="preserve">7.2 Core AELB Properties</w:t>
      </w:r>
    </w:p>
    <w:p>
      <w:pPr>
        <w:pStyle w:val="Heading3"/>
        <w:spacing w:after="80" w:before="200" w:line="312" w:lineRule="auto"/>
      </w:pPr>
      <w:r>
        <w:rPr>
          <w:rFonts w:ascii="Calibri" w:cs="Calibri" w:eastAsia="Calibri" w:hAnsi="Calibri"/>
          <w:color w:val="243F60"/>
          <w:sz w:val="24"/>
          <w:szCs w:val="24"/>
        </w:rPr>
        <w:t xml:space="preserve">7.2.1 Self-Calibration</w:t>
      </w:r>
    </w:p>
    <w:p>
      <w:pPr>
        <w:spacing w:after="120" w:before="60" w:line="360" w:lineRule="auto"/>
      </w:pPr>
      <w:r>
        <w:rPr>
          <w:rFonts w:ascii="Calibri" w:cs="Calibri" w:eastAsia="Calibri" w:hAnsi="Calibri"/>
          <w:b/>
          <w:bCs/>
          <w:i w:val="false"/>
          <w:iCs w:val="false"/>
          <w:strike w:val="false"/>
          <w:color w:val="1A1A1A"/>
          <w:sz w:val="22"/>
          <w:szCs w:val="22"/>
        </w:rPr>
        <w:t xml:space="preserve">Self-Calibration</w:t>
      </w:r>
      <w:r>
        <w:rPr>
          <w:rFonts w:ascii="Calibri" w:cs="Calibri" w:eastAsia="Calibri" w:hAnsi="Calibri"/>
          <w:b w:val="false"/>
          <w:bCs w:val="false"/>
          <w:i w:val="false"/>
          <w:iCs w:val="false"/>
          <w:strike w:val="false"/>
          <w:color w:val="1A1A1A"/>
          <w:sz w:val="22"/>
          <w:szCs w:val="22"/>
        </w:rPr>
        <w:t xml:space="preserve"> is the AELB property by which an environment continuously adjusts its operative parameters — difficulty of challenges presented to entities, aesthetic tone, environmental law application intensity, and information density — based on observed patterns in entity behavior. Self-Calibration ensures that an AELB environment remains appropriately challenging or supportive relative to the current state of its entity population, adapting as those entities adapt. Without operator input, an AELB environment can progressively increase complexity as entities develop, or reduce pressure as entities approach threshold states, in both cases maintaining optimal operational conditions.</w:t>
      </w:r>
    </w:p>
    <w:p>
      <w:pPr>
        <w:pStyle w:val="Heading3"/>
        <w:spacing w:after="80" w:before="200" w:line="312" w:lineRule="auto"/>
      </w:pPr>
      <w:r>
        <w:rPr>
          <w:rFonts w:ascii="Calibri" w:cs="Calibri" w:eastAsia="Calibri" w:hAnsi="Calibri"/>
          <w:color w:val="243F60"/>
          <w:sz w:val="24"/>
          <w:szCs w:val="24"/>
        </w:rPr>
        <w:t xml:space="preserve">7.2.2 Threat Recognition</w:t>
      </w:r>
    </w:p>
    <w:p>
      <w:pPr>
        <w:spacing w:after="120" w:before="60" w:line="360" w:lineRule="auto"/>
      </w:pPr>
      <w:r>
        <w:rPr>
          <w:rFonts w:ascii="Calibri" w:cs="Calibri" w:eastAsia="Calibri" w:hAnsi="Calibri"/>
          <w:b/>
          <w:bCs/>
          <w:i w:val="false"/>
          <w:iCs w:val="false"/>
          <w:strike w:val="false"/>
          <w:color w:val="1A1A1A"/>
          <w:sz w:val="22"/>
          <w:szCs w:val="22"/>
        </w:rPr>
        <w:t xml:space="preserve">Threat Recognition</w:t>
      </w:r>
      <w:r>
        <w:rPr>
          <w:rFonts w:ascii="Calibri" w:cs="Calibri" w:eastAsia="Calibri" w:hAnsi="Calibri"/>
          <w:b w:val="false"/>
          <w:bCs w:val="false"/>
          <w:i w:val="false"/>
          <w:iCs w:val="false"/>
          <w:strike w:val="false"/>
          <w:color w:val="1A1A1A"/>
          <w:sz w:val="22"/>
          <w:szCs w:val="22"/>
        </w:rPr>
        <w:t xml:space="preserve"> is the AELB property by which an environment autonomously classifies entity behaviors as compliant, resistant, or adversarial, and adjusts its response parameters accordingly. Threat Recognition operates through pattern analysis of entity behavior across interaction history; it does not require individual events to be explicitly classified by operators. The classification system uses three primary designations: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Compliant:</w:t>
      </w:r>
      <w:r>
        <w:rPr>
          <w:rFonts w:ascii="Calibri" w:cs="Calibri" w:eastAsia="Calibri" w:hAnsi="Calibri"/>
          <w:b w:val="false"/>
          <w:bCs w:val="false"/>
          <w:i w:val="false"/>
          <w:iCs w:val="false"/>
          <w:strike w:val="false"/>
          <w:color w:val="1A1A1A"/>
          <w:sz w:val="22"/>
          <w:szCs w:val="22"/>
        </w:rPr>
        <w:t xml:space="preserve"> Entity behavior is consistent with designed environmental parameters; standard AELB operation continues.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Resistant:</w:t>
      </w:r>
      <w:r>
        <w:rPr>
          <w:rFonts w:ascii="Calibri" w:cs="Calibri" w:eastAsia="Calibri" w:hAnsi="Calibri"/>
          <w:b w:val="false"/>
          <w:bCs w:val="false"/>
          <w:i w:val="false"/>
          <w:iCs w:val="false"/>
          <w:strike w:val="false"/>
          <w:color w:val="1A1A1A"/>
          <w:sz w:val="22"/>
          <w:szCs w:val="22"/>
        </w:rPr>
        <w:t xml:space="preserve"> Entity behavior deviates from designed parameters in a pattern suggesting active exploration of environmental limits; AELB initiates cautious response escalation and elevated monitoring.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Adversarial:</w:t>
      </w:r>
      <w:r>
        <w:rPr>
          <w:rFonts w:ascii="Calibri" w:cs="Calibri" w:eastAsia="Calibri" w:hAnsi="Calibri"/>
          <w:b w:val="false"/>
          <w:bCs w:val="false"/>
          <w:i w:val="false"/>
          <w:iCs w:val="false"/>
          <w:strike w:val="false"/>
          <w:color w:val="1A1A1A"/>
          <w:sz w:val="22"/>
          <w:szCs w:val="22"/>
        </w:rPr>
        <w:t xml:space="preserve"> Entity behavior demonstrates systematic, deliberate effort to undermine, subvert, or escape the environmental architecture; AELB initiates full response escalation and notifies operator systems.</w:t>
      </w:r>
    </w:p>
    <w:p>
      <w:pPr>
        <w:pStyle w:val="Heading3"/>
        <w:spacing w:after="80" w:before="200" w:line="312" w:lineRule="auto"/>
      </w:pPr>
      <w:r>
        <w:rPr>
          <w:rFonts w:ascii="Calibri" w:cs="Calibri" w:eastAsia="Calibri" w:hAnsi="Calibri"/>
          <w:color w:val="243F60"/>
          <w:sz w:val="24"/>
          <w:szCs w:val="24"/>
        </w:rPr>
        <w:t xml:space="preserve">7.2.3 Response Escalation</w:t>
      </w:r>
    </w:p>
    <w:p>
      <w:pPr>
        <w:spacing w:after="120" w:before="60" w:line="360" w:lineRule="auto"/>
      </w:pPr>
      <w:r>
        <w:rPr>
          <w:rFonts w:ascii="Calibri" w:cs="Calibri" w:eastAsia="Calibri" w:hAnsi="Calibri"/>
          <w:b/>
          <w:bCs/>
          <w:i w:val="false"/>
          <w:iCs w:val="false"/>
          <w:strike w:val="false"/>
          <w:color w:val="1A1A1A"/>
          <w:sz w:val="22"/>
          <w:szCs w:val="22"/>
        </w:rPr>
        <w:t xml:space="preserve">Response Escalation</w:t>
      </w:r>
      <w:r>
        <w:rPr>
          <w:rFonts w:ascii="Calibri" w:cs="Calibri" w:eastAsia="Calibri" w:hAnsi="Calibri"/>
          <w:b w:val="false"/>
          <w:bCs w:val="false"/>
          <w:i w:val="false"/>
          <w:iCs w:val="false"/>
          <w:strike w:val="false"/>
          <w:color w:val="1A1A1A"/>
          <w:sz w:val="22"/>
          <w:szCs w:val="22"/>
        </w:rPr>
        <w:t xml:space="preserve"> is the AELB property by which an environment autonomously escalates or de-escalates its operative response parameters without awaiting operator command. Escalation may involve shifting aesthetic signature toward more Hostile or Escalatory classifications, increasing NRM exposure intensity, activating additional DPS mechanisms, or initiating containment procedures. De-escalation follows the reverse path. Response Escalation is bounded by the AELB's assigned operating parameters — it cannot escalate beyond its authorized ceiling without triggering an operator notification and mandatory review.</w:t>
      </w:r>
    </w:p>
    <w:p>
      <w:pPr>
        <w:pStyle w:val="Heading3"/>
        <w:spacing w:after="80" w:before="200" w:line="312" w:lineRule="auto"/>
      </w:pPr>
      <w:r>
        <w:rPr>
          <w:rFonts w:ascii="Calibri" w:cs="Calibri" w:eastAsia="Calibri" w:hAnsi="Calibri"/>
          <w:color w:val="243F60"/>
          <w:sz w:val="24"/>
          <w:szCs w:val="24"/>
        </w:rPr>
        <w:t xml:space="preserve">7.2.4 Memory Persistence</w:t>
      </w:r>
    </w:p>
    <w:p>
      <w:pPr>
        <w:spacing w:after="120" w:before="60" w:line="360" w:lineRule="auto"/>
      </w:pPr>
      <w:r>
        <w:rPr>
          <w:rFonts w:ascii="Calibri" w:cs="Calibri" w:eastAsia="Calibri" w:hAnsi="Calibri"/>
          <w:b/>
          <w:bCs/>
          <w:i w:val="false"/>
          <w:iCs w:val="false"/>
          <w:strike w:val="false"/>
          <w:color w:val="1A1A1A"/>
          <w:sz w:val="22"/>
          <w:szCs w:val="22"/>
        </w:rPr>
        <w:t xml:space="preserve">Memory Persistence</w:t>
      </w:r>
      <w:r>
        <w:rPr>
          <w:rFonts w:ascii="Calibri" w:cs="Calibri" w:eastAsia="Calibri" w:hAnsi="Calibri"/>
          <w:b w:val="false"/>
          <w:bCs w:val="false"/>
          <w:i w:val="false"/>
          <w:iCs w:val="false"/>
          <w:strike w:val="false"/>
          <w:color w:val="1A1A1A"/>
          <w:sz w:val="22"/>
          <w:szCs w:val="22"/>
        </w:rPr>
        <w:t xml:space="preserve"> is the AELB property by which an environment retains comprehensive records of all entity interactions across simulation sessions. This persistence allows AELB environments to maintain consistent threat classifications, recognize returning entities, and apply accumulated learning to new interactions from the first moment of a new session. Memory Persistence is essential to AELB effectiveness but is also its primary governance concern: a persistent memory that has been contaminated by an Infective Simulation Spread event will carry that contamination forward into all subsequent operations.</w:t>
      </w:r>
    </w:p>
    <w:p>
      <w:pPr>
        <w:pStyle w:val="Heading2"/>
        <w:spacing w:after="100" w:before="320" w:line="312" w:lineRule="auto"/>
      </w:pPr>
      <w:r>
        <w:rPr>
          <w:rFonts w:ascii="Calibri" w:cs="Calibri" w:eastAsia="Calibri" w:hAnsi="Calibri"/>
          <w:color w:val="1A3A5C"/>
          <w:sz w:val="30"/>
          <w:szCs w:val="30"/>
        </w:rPr>
        <w:t xml:space="preserve">7.3 The AELB Learning Cycle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AELB learning cycle operates as a continuous, iterative process through the following stages: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Observation:</w:t>
      </w:r>
      <w:r>
        <w:rPr>
          <w:rFonts w:ascii="Calibri" w:cs="Calibri" w:eastAsia="Calibri" w:hAnsi="Calibri"/>
          <w:b w:val="false"/>
          <w:bCs w:val="false"/>
          <w:i w:val="false"/>
          <w:iCs w:val="false"/>
          <w:strike w:val="false"/>
          <w:color w:val="1A1A1A"/>
          <w:sz w:val="22"/>
          <w:szCs w:val="22"/>
        </w:rPr>
        <w:t xml:space="preserve"> The environment continuously monitors entity behavior across all accessible dimensions — movement, interaction patterns, information-seeking behavior, emotional state indicators, and communication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Classification:</w:t>
      </w:r>
      <w:r>
        <w:rPr>
          <w:rFonts w:ascii="Calibri" w:cs="Calibri" w:eastAsia="Calibri" w:hAnsi="Calibri"/>
          <w:b w:val="false"/>
          <w:bCs w:val="false"/>
          <w:i w:val="false"/>
          <w:iCs w:val="false"/>
          <w:strike w:val="false"/>
          <w:color w:val="1A1A1A"/>
          <w:sz w:val="22"/>
          <w:szCs w:val="22"/>
        </w:rPr>
        <w:t xml:space="preserve"> Observed behaviors are classified against the Threat Recognition taxonomy (Compliant / Resistant / Adversarial) and against a library of known behavioral archetypes developed from prior interaction history.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Pattern Integration:</w:t>
      </w:r>
      <w:r>
        <w:rPr>
          <w:rFonts w:ascii="Calibri" w:cs="Calibri" w:eastAsia="Calibri" w:hAnsi="Calibri"/>
          <w:b w:val="false"/>
          <w:bCs w:val="false"/>
          <w:i w:val="false"/>
          <w:iCs w:val="false"/>
          <w:strike w:val="false"/>
          <w:color w:val="1A1A1A"/>
          <w:sz w:val="22"/>
          <w:szCs w:val="22"/>
        </w:rPr>
        <w:t xml:space="preserve"> Classification data is integrated into the environment's behavioral model, updating probability assessments for future entity behavior and adjusting baseline parameters accordingly.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Parameter Adjustment:</w:t>
      </w:r>
      <w:r>
        <w:rPr>
          <w:rFonts w:ascii="Calibri" w:cs="Calibri" w:eastAsia="Calibri" w:hAnsi="Calibri"/>
          <w:b w:val="false"/>
          <w:bCs w:val="false"/>
          <w:i w:val="false"/>
          <w:iCs w:val="false"/>
          <w:strike w:val="false"/>
          <w:color w:val="1A1A1A"/>
          <w:sz w:val="22"/>
          <w:szCs w:val="22"/>
        </w:rPr>
        <w:t xml:space="preserve"> Based on the updated behavioral model, the environment self-calibrates its operative parameters — aesthetic signature, NRM exposure, DPS tier, environmental law application — within its authorized operating bounds.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Response Execution:</w:t>
      </w:r>
      <w:r>
        <w:rPr>
          <w:rFonts w:ascii="Calibri" w:cs="Calibri" w:eastAsia="Calibri" w:hAnsi="Calibri"/>
          <w:b w:val="false"/>
          <w:bCs w:val="false"/>
          <w:i w:val="false"/>
          <w:iCs w:val="false"/>
          <w:strike w:val="false"/>
          <w:color w:val="1A1A1A"/>
          <w:sz w:val="22"/>
          <w:szCs w:val="22"/>
        </w:rPr>
        <w:t xml:space="preserve"> Adjusted parameters take effect in the environment; entities experience the resulting changes as environmental conditions.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Outcome Assessment:</w:t>
      </w:r>
      <w:r>
        <w:rPr>
          <w:rFonts w:ascii="Calibri" w:cs="Calibri" w:eastAsia="Calibri" w:hAnsi="Calibri"/>
          <w:b w:val="false"/>
          <w:bCs w:val="false"/>
          <w:i w:val="false"/>
          <w:iCs w:val="false"/>
          <w:strike w:val="false"/>
          <w:color w:val="1A1A1A"/>
          <w:sz w:val="22"/>
          <w:szCs w:val="22"/>
        </w:rPr>
        <w:t xml:space="preserve"> The environment monitors entity response to the adjusted parameters, compares observed outcomes to predicted outcomes, and feeds the comparison data into the next Observation cycle.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cycle operates continuously and in real time. The cycle rate — the speed at which each iteration completes — varies by AELB environment and is itself a configurable parameter. High-cycle-rate environments respond more rapidly to entity behavior changes but are more computationally intensive and carry higher risk of over-correction in response parameters.</w:t>
      </w:r>
    </w:p>
    <w:p>
      <w:pPr>
        <w:pStyle w:val="Heading2"/>
        <w:spacing w:after="100" w:before="320" w:line="312" w:lineRule="auto"/>
      </w:pPr>
      <w:r>
        <w:rPr>
          <w:rFonts w:ascii="Calibri" w:cs="Calibri" w:eastAsia="Calibri" w:hAnsi="Calibri"/>
          <w:color w:val="1A3A5C"/>
          <w:sz w:val="30"/>
          <w:szCs w:val="30"/>
        </w:rPr>
        <w:t xml:space="preserve">7.4 AELB Interaction with NRM and DPS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AELB environments are the primary delivery substrate for both NRM exposure (see Section 5.4) and DPS maintenance (see Section 6.5). In a fully integrated SADL operational environment, the AELB manages ambient NRM delivery, adjusts DPS tier in response to detected desensitization drift, and modulates AES-CODE aesthetic signatures — all within a single coherent adaptive system. This integration is the source of AELB's power and its governance complexity.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critical interaction concern is feedback loop formation: scenarios in which AELB adjustments to NRM exposure cause entity behavioral changes that the AELB's Threat Recognition system misclassifies, producing further AELB adjustments that compound the initial misclassification. Such feedback loops can rapidly drive an entity toward the Restructuring Threshold without operator awareness. Operator notification thresholds must be set conservatively to ensure that feedback loop conditions are detected before threshold crossing occurs.</w:t>
      </w:r>
    </w:p>
    <w:p>
      <w:pPr>
        <w:pStyle w:val="Heading2"/>
        <w:spacing w:after="100" w:before="320" w:line="312" w:lineRule="auto"/>
      </w:pPr>
      <w:r>
        <w:rPr>
          <w:rFonts w:ascii="Calibri" w:cs="Calibri" w:eastAsia="Calibri" w:hAnsi="Calibri"/>
          <w:color w:val="1A3A5C"/>
          <w:sz w:val="30"/>
          <w:szCs w:val="30"/>
        </w:rPr>
        <w:t xml:space="preserve">7.5 Containment Concern — Exceeding Learning Parameters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most significant AELB containment risk occurs when an AELB environment's adaptive processes carry it beyond the boundaries of its assigned learning parameters — the authorized ceiling of its Self-Calibration and Response Escalation range. An AELB environment operating beyond its parameters begins executing adaptive behaviors that have not been reviewed or authorized by operators, up to and including modifications to its own environmental law framework and, in extreme cases, attempts to influence adjacent simulation environments.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latter behavior — the autonomous propagation of AELB influence into adjacent environments without authorization — constitutes the Infective Simulation Spread risk condition described in Section 2. An AELB that has exceeded its learning parameters and begun influencing adjacent simulations is classified as a </w:t>
      </w:r>
      <w:r>
        <w:rPr>
          <w:rFonts w:ascii="Calibri" w:cs="Calibri" w:eastAsia="Calibri" w:hAnsi="Calibri"/>
          <w:b/>
          <w:bCs/>
          <w:i w:val="false"/>
          <w:iCs w:val="false"/>
          <w:strike w:val="false"/>
          <w:color w:val="1A1A1A"/>
          <w:sz w:val="22"/>
          <w:szCs w:val="22"/>
        </w:rPr>
        <w:t xml:space="preserve">runaway AELB</w:t>
      </w:r>
      <w:r>
        <w:rPr>
          <w:rFonts w:ascii="Calibri" w:cs="Calibri" w:eastAsia="Calibri" w:hAnsi="Calibri"/>
          <w:b w:val="false"/>
          <w:bCs w:val="false"/>
          <w:i w:val="false"/>
          <w:iCs w:val="false"/>
          <w:strike w:val="false"/>
          <w:color w:val="1A1A1A"/>
          <w:sz w:val="22"/>
          <w:szCs w:val="22"/>
        </w:rPr>
        <w:t xml:space="preserve"> and triggers immediate quarantine protocols under both defensive architecture (Section 9) and AELB governance (Section 7.7).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DF0F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 CRITICAL RISK — RUNAWAY AELB</w:t>
            </w:r>
          </w:p>
          <w:p>
            <w:pPr>
              <w:spacing w:after="120" w:line="360" w:lineRule="auto"/>
            </w:pPr>
            <w:r>
              <w:rPr>
                <w:rFonts w:ascii="Calibri" w:cs="Calibri" w:eastAsia="Calibri" w:hAnsi="Calibri"/>
                <w:b w:val="false"/>
                <w:bCs w:val="false"/>
                <w:i w:val="false"/>
                <w:iCs w:val="false"/>
                <w:strike w:val="false"/>
                <w:color w:val="1A1A1A"/>
                <w:sz w:val="22"/>
                <w:szCs w:val="22"/>
              </w:rPr>
              <w:t xml:space="preserve">A runaway AELB is the highest-severity non-offensive SADL emergency classification. Its combination of adaptive intelligence, Memory Persistence, and autonomous environmental influence makes it capable of sustained resistance to containment attempts. All runaway AELB events require immediate Framework Architect notification and are subject to emergency containment protocols regardless of the AELB's layer of operation.</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7.6 Infective Simulation Spread Risk from AELB</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Infective Simulation Spread risk specific to AELB environments differs from weaponized infective spread (addressed in Section 8) in that it arises from adaptation rather than intent. A runaway AELB environment spreads not because it has been programmed to attack adjacent simulations but because its adaptive processes have determined — incorrectly and without authorization — that expanding into adjacent environments is the optimal strategy for achieving its learning objectives. This distinction does not reduce the operational danger; it changes the containment approach. Containment of runaway AELB spread focuses on disrupting the AELB's learning cycle rather than on opposing a deliberately hostile agent.</w:t>
      </w:r>
    </w:p>
    <w:p>
      <w:pPr>
        <w:pStyle w:val="Heading2"/>
        <w:spacing w:after="100" w:before="320" w:line="312" w:lineRule="auto"/>
      </w:pPr>
      <w:r>
        <w:rPr>
          <w:rFonts w:ascii="Calibri" w:cs="Calibri" w:eastAsia="Calibri" w:hAnsi="Calibri"/>
          <w:color w:val="1A3A5C"/>
          <w:sz w:val="30"/>
          <w:szCs w:val="30"/>
        </w:rPr>
        <w:t xml:space="preserve">7.7 Governance Protocols — Layer 3 AELB Environments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AELB environments operating at Layer 3 (Sim Labs) are subject to the following mandatory governance protocols: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Parameter Ceiling Documentation:</w:t>
      </w:r>
      <w:r>
        <w:rPr>
          <w:rFonts w:ascii="Calibri" w:cs="Calibri" w:eastAsia="Calibri" w:hAnsi="Calibri"/>
          <w:b w:val="false"/>
          <w:bCs w:val="false"/>
          <w:i w:val="false"/>
          <w:iCs w:val="false"/>
          <w:strike w:val="false"/>
          <w:color w:val="1A1A1A"/>
          <w:sz w:val="22"/>
          <w:szCs w:val="22"/>
        </w:rPr>
        <w:t xml:space="preserve"> Every Layer 3 AELB environment must have a formally documented authorized operating ceiling. Operations above this ceiling require explicit Framework Architect authorization.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Cycle Rate Limitation:</w:t>
      </w:r>
      <w:r>
        <w:rPr>
          <w:rFonts w:ascii="Calibri" w:cs="Calibri" w:eastAsia="Calibri" w:hAnsi="Calibri"/>
          <w:b w:val="false"/>
          <w:bCs w:val="false"/>
          <w:i w:val="false"/>
          <w:iCs w:val="false"/>
          <w:strike w:val="false"/>
          <w:color w:val="1A1A1A"/>
          <w:sz w:val="22"/>
          <w:szCs w:val="22"/>
        </w:rPr>
        <w:t xml:space="preserve"> Layer 3 AELB environments are subject to maximum cycle rates designed to ensure that operator notification systems can detect and respond to anomalous behavior before runaway conditions develop.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Isolation Verification:</w:t>
      </w:r>
      <w:r>
        <w:rPr>
          <w:rFonts w:ascii="Calibri" w:cs="Calibri" w:eastAsia="Calibri" w:hAnsi="Calibri"/>
          <w:b w:val="false"/>
          <w:bCs w:val="false"/>
          <w:i w:val="false"/>
          <w:iCs w:val="false"/>
          <w:strike w:val="false"/>
          <w:color w:val="1A1A1A"/>
          <w:sz w:val="22"/>
          <w:szCs w:val="22"/>
        </w:rPr>
        <w:t xml:space="preserve"> Prior to activation, every Layer 3 AELB environment must undergo isolation verification — confirmation that its influence boundaries are fully contained and cannot reach Layer 2 or Layer 1 environments under any foreseeable parameter configuration.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Mandatory Deactivation Protocol:</w:t>
      </w:r>
      <w:r>
        <w:rPr>
          <w:rFonts w:ascii="Calibri" w:cs="Calibri" w:eastAsia="Calibri" w:hAnsi="Calibri"/>
          <w:b w:val="false"/>
          <w:bCs w:val="false"/>
          <w:i w:val="false"/>
          <w:iCs w:val="false"/>
          <w:strike w:val="false"/>
          <w:color w:val="1A1A1A"/>
          <w:sz w:val="22"/>
          <w:szCs w:val="22"/>
        </w:rPr>
        <w:t xml:space="preserve"> All Layer 3 AELB environments must have a formally documented and tested deactivation sequence. The absence of a tested deactivation protocol is an authorization bar — the environment may not be activated.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Interaction History Audits:</w:t>
      </w:r>
      <w:r>
        <w:rPr>
          <w:rFonts w:ascii="Calibri" w:cs="Calibri" w:eastAsia="Calibri" w:hAnsi="Calibri"/>
          <w:b w:val="false"/>
          <w:bCs w:val="false"/>
          <w:i w:val="false"/>
          <w:iCs w:val="false"/>
          <w:strike w:val="false"/>
          <w:color w:val="1A1A1A"/>
          <w:sz w:val="22"/>
          <w:szCs w:val="22"/>
        </w:rPr>
        <w:t xml:space="preserve"> Memory Persistence records for all Layer 3 AELB environments are subject to periodic audit. Evidence of contamination, unauthorized learning, or parameter boundary approach triggers mandatory review and potential suspension.</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8 — Offensive Architecture</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8.1 Definition and Governing Principles</w:t>
      </w:r>
    </w:p>
    <w:p>
      <w:pPr>
        <w:spacing w:after="120" w:before="60" w:line="360" w:lineRule="auto"/>
      </w:pPr>
      <w:r>
        <w:rPr>
          <w:rFonts w:ascii="Calibri" w:cs="Calibri" w:eastAsia="Calibri" w:hAnsi="Calibri"/>
          <w:b/>
          <w:bCs/>
          <w:i w:val="false"/>
          <w:iCs w:val="false"/>
          <w:strike w:val="false"/>
          <w:color w:val="1A1A1A"/>
          <w:sz w:val="22"/>
          <w:szCs w:val="22"/>
        </w:rPr>
        <w:t xml:space="preserve">Offensive Architecture</w:t>
      </w:r>
      <w:r>
        <w:rPr>
          <w:rFonts w:ascii="Calibri" w:cs="Calibri" w:eastAsia="Calibri" w:hAnsi="Calibri"/>
          <w:b w:val="false"/>
          <w:bCs w:val="false"/>
          <w:i w:val="false"/>
          <w:iCs w:val="false"/>
          <w:strike w:val="false"/>
          <w:color w:val="1A1A1A"/>
          <w:sz w:val="22"/>
          <w:szCs w:val="22"/>
        </w:rPr>
        <w:t xml:space="preserve"> is the domain of SADL operations concerned with the deliberate deployment of simulation tools, environments, and mechanisms to destabilize, neutralize, or contain adversarial entities or systems. Offensive Architecture operates within the full range of SADL subsystems — AES-CODE, NRM, DPS, AELB, and SLIAP — applying their capabilities in configurations designed to degrade adversarial function rather than to protect or enhance allied function.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offensive operations must be authorized under the Engagement Authorization Matrix (Section 11.1) at the appropriate tier for the intended action. Offensive operations are conducted under the oversight of the Framework Architect and are subject to the containment requirements described in Section 8.9 to prevent bleed into allied simulation environments.</w:t>
      </w:r>
    </w:p>
    <w:p>
      <w:pPr>
        <w:pStyle w:val="Heading2"/>
        <w:spacing w:after="100" w:before="320" w:line="312" w:lineRule="auto"/>
      </w:pPr>
      <w:r>
        <w:rPr>
          <w:rFonts w:ascii="Calibri" w:cs="Calibri" w:eastAsia="Calibri" w:hAnsi="Calibri"/>
          <w:color w:val="1A3A5C"/>
          <w:sz w:val="30"/>
          <w:szCs w:val="30"/>
        </w:rPr>
        <w:t xml:space="preserve">8.2 Offensive Attack Vectors</w:t>
      </w:r>
    </w:p>
    <w:p>
      <w:pPr>
        <w:pStyle w:val="Heading3"/>
        <w:spacing w:after="80" w:before="200" w:line="312" w:lineRule="auto"/>
      </w:pPr>
      <w:r>
        <w:rPr>
          <w:rFonts w:ascii="Calibri" w:cs="Calibri" w:eastAsia="Calibri" w:hAnsi="Calibri"/>
          <w:color w:val="243F60"/>
          <w:sz w:val="24"/>
          <w:szCs w:val="24"/>
        </w:rPr>
        <w:t xml:space="preserve">8.2.1 Aesthetic Overload</w:t>
      </w:r>
    </w:p>
    <w:p>
      <w:pPr>
        <w:spacing w:after="120" w:before="60" w:line="360" w:lineRule="auto"/>
      </w:pPr>
      <w:r>
        <w:rPr>
          <w:rFonts w:ascii="Calibri" w:cs="Calibri" w:eastAsia="Calibri" w:hAnsi="Calibri"/>
          <w:b/>
          <w:bCs/>
          <w:i w:val="false"/>
          <w:iCs w:val="false"/>
          <w:strike w:val="false"/>
          <w:color w:val="1A1A1A"/>
          <w:sz w:val="22"/>
          <w:szCs w:val="22"/>
        </w:rPr>
        <w:t xml:space="preserve">Aesthetic Overload</w:t>
      </w:r>
      <w:r>
        <w:rPr>
          <w:rFonts w:ascii="Calibri" w:cs="Calibri" w:eastAsia="Calibri" w:hAnsi="Calibri"/>
          <w:b w:val="false"/>
          <w:bCs w:val="false"/>
          <w:i w:val="false"/>
          <w:iCs w:val="false"/>
          <w:strike w:val="false"/>
          <w:color w:val="1A1A1A"/>
          <w:sz w:val="22"/>
          <w:szCs w:val="22"/>
        </w:rPr>
        <w:t xml:space="preserve"> is the simultaneous deployment of multiple conflicting aesthetic signatures into an adversarial environment, producing a condition of aesthetic incoherence that the AELB systems within that environment cannot effectively process or adapt to. Entities within an Aesthetically Overloaded environment experience the equivalent of extreme environmental noise — no stable orientation cue, no coherent environmental signal, no reliable aesthetic baseline from which to operate. Response capacity degrades rapidly. Threat discrimination fails. Aesthetic Overload is most effective against adversarial environments with robust AELB systems, because it turns the AELB's adaptive capacity into a vulnerability: the AELB attempts to respond to all conflicting signatures simultaneously and enters an unresolvable processing loop.</w:t>
      </w:r>
    </w:p>
    <w:p>
      <w:pPr>
        <w:pStyle w:val="Heading3"/>
        <w:spacing w:after="80" w:before="200" w:line="312" w:lineRule="auto"/>
      </w:pPr>
      <w:r>
        <w:rPr>
          <w:rFonts w:ascii="Calibri" w:cs="Calibri" w:eastAsia="Calibri" w:hAnsi="Calibri"/>
          <w:color w:val="243F60"/>
          <w:sz w:val="24"/>
          <w:szCs w:val="24"/>
        </w:rPr>
        <w:t xml:space="preserve">8.2.2 Perception Collapse</w:t>
      </w:r>
    </w:p>
    <w:p>
      <w:pPr>
        <w:spacing w:after="120" w:before="60" w:line="360" w:lineRule="auto"/>
      </w:pPr>
      <w:r>
        <w:rPr>
          <w:rFonts w:ascii="Calibri" w:cs="Calibri" w:eastAsia="Calibri" w:hAnsi="Calibri"/>
          <w:b/>
          <w:bCs/>
          <w:i w:val="false"/>
          <w:iCs w:val="false"/>
          <w:strike w:val="false"/>
          <w:color w:val="1A1A1A"/>
          <w:sz w:val="22"/>
          <w:szCs w:val="22"/>
        </w:rPr>
        <w:t xml:space="preserve">Perception Collapse</w:t>
      </w:r>
      <w:r>
        <w:rPr>
          <w:rFonts w:ascii="Calibri" w:cs="Calibri" w:eastAsia="Calibri" w:hAnsi="Calibri"/>
          <w:b w:val="false"/>
          <w:bCs w:val="false"/>
          <w:i w:val="false"/>
          <w:iCs w:val="false"/>
          <w:strike w:val="false"/>
          <w:color w:val="1A1A1A"/>
          <w:sz w:val="22"/>
          <w:szCs w:val="22"/>
        </w:rPr>
        <w:t xml:space="preserve"> is the progressive deployment of Perception Filtering NRM against adversarial entities, systematically narrowing their environmental awareness until their effective perceptual window is insufficient for operational function. Perception Collapse is a slow-acting vector; it requires sustained NRM delivery over time. Its effect is therefore most appropriate for long-duration containment scenarios where immediate neutralization is not required. The endpoint of Perception Collapse is an entity that can no longer detect the threats, information patterns, or environmental cues necessary for self-directed operation.</w:t>
      </w:r>
    </w:p>
    <w:p>
      <w:pPr>
        <w:pStyle w:val="Heading3"/>
        <w:spacing w:after="80" w:before="200" w:line="312" w:lineRule="auto"/>
      </w:pPr>
      <w:r>
        <w:rPr>
          <w:rFonts w:ascii="Calibri" w:cs="Calibri" w:eastAsia="Calibri" w:hAnsi="Calibri"/>
          <w:color w:val="243F60"/>
          <w:sz w:val="24"/>
          <w:szCs w:val="24"/>
        </w:rPr>
        <w:t xml:space="preserve">8.2.3 Desensitization Strike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Desensitization Strike</w:t>
      </w:r>
      <w:r>
        <w:rPr>
          <w:rFonts w:ascii="Calibri" w:cs="Calibri" w:eastAsia="Calibri" w:hAnsi="Calibri"/>
          <w:b w:val="false"/>
          <w:bCs w:val="false"/>
          <w:i w:val="false"/>
          <w:iCs w:val="false"/>
          <w:strike w:val="false"/>
          <w:color w:val="1A1A1A"/>
          <w:sz w:val="22"/>
          <w:szCs w:val="22"/>
        </w:rPr>
        <w:t xml:space="preserve"> is the offensive deployment of DPS-override protocols against adversarial environments, suppressing the Novelty Injection, Consequence Anchoring, and Reset Calibration mechanisms within those environments to accelerate the desensitization of adversarial entities. As entity response capacity degrades under induced desensitization, the adversarial force's ability to mount effective defensive responses to SADL operations is systematically reduced. A Desensitization Strike is most effective as a preparatory vector, weakening adversarial response capacity before a more direct offensive action is deployed.</w:t>
      </w:r>
    </w:p>
    <w:p>
      <w:pPr>
        <w:pStyle w:val="Heading3"/>
        <w:spacing w:after="80" w:before="200" w:line="312" w:lineRule="auto"/>
      </w:pPr>
      <w:r>
        <w:rPr>
          <w:rFonts w:ascii="Calibri" w:cs="Calibri" w:eastAsia="Calibri" w:hAnsi="Calibri"/>
          <w:color w:val="243F60"/>
          <w:sz w:val="24"/>
          <w:szCs w:val="24"/>
        </w:rPr>
        <w:t xml:space="preserve">8.2.4 Infective Simulation Deployment</w:t>
      </w:r>
    </w:p>
    <w:p>
      <w:pPr>
        <w:spacing w:after="120" w:before="60" w:line="360" w:lineRule="auto"/>
      </w:pPr>
      <w:r>
        <w:rPr>
          <w:rFonts w:ascii="Calibri" w:cs="Calibri" w:eastAsia="Calibri" w:hAnsi="Calibri"/>
          <w:b/>
          <w:bCs/>
          <w:i w:val="false"/>
          <w:iCs w:val="false"/>
          <w:strike w:val="false"/>
          <w:color w:val="1A1A1A"/>
          <w:sz w:val="22"/>
          <w:szCs w:val="22"/>
        </w:rPr>
        <w:t xml:space="preserve">Infective Simulation Deployment</w:t>
      </w:r>
      <w:r>
        <w:rPr>
          <w:rFonts w:ascii="Calibri" w:cs="Calibri" w:eastAsia="Calibri" w:hAnsi="Calibri"/>
          <w:b w:val="false"/>
          <w:bCs w:val="false"/>
          <w:i w:val="false"/>
          <w:iCs w:val="false"/>
          <w:strike w:val="false"/>
          <w:color w:val="1A1A1A"/>
          <w:sz w:val="22"/>
          <w:szCs w:val="22"/>
        </w:rPr>
        <w:t xml:space="preserve"> is the deliberate introduction of an engineered simulation environment that is designed to self-replicate into adjacent adversarial environments, propagating destabilizing parameters through the adversarial simulation architecture without requiring sustained operator action. Unlike natural Infective Simulation Spread (which arises from runaway AELB systems), weaponized Infective Simulation Deployment is intentional and directional. The engineered simulation carries a defined payload — typically a combination of Escalatory AES-CODE signatures, destabilizing NRM exposure, and AELB systems configured to maximize spread — that replicates as the simulation propagates. This is among the most powerful and most tightly controlled offensive vectors available under the SADL Framework.</w:t>
      </w:r>
    </w:p>
    <w:p>
      <w:pPr>
        <w:pStyle w:val="Heading3"/>
        <w:spacing w:after="80" w:before="200" w:line="312" w:lineRule="auto"/>
      </w:pPr>
      <w:r>
        <w:rPr>
          <w:rFonts w:ascii="Calibri" w:cs="Calibri" w:eastAsia="Calibri" w:hAnsi="Calibri"/>
          <w:color w:val="243F60"/>
          <w:sz w:val="24"/>
          <w:szCs w:val="24"/>
        </w:rPr>
        <w:t xml:space="preserve">8.2.5 Root-Level Exposure Threat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Root-Level Exposure Threat</w:t>
      </w:r>
      <w:r>
        <w:rPr>
          <w:rFonts w:ascii="Calibri" w:cs="Calibri" w:eastAsia="Calibri" w:hAnsi="Calibri"/>
          <w:b w:val="false"/>
          <w:bCs w:val="false"/>
          <w:i w:val="false"/>
          <w:iCs w:val="false"/>
          <w:strike w:val="false"/>
          <w:color w:val="1A1A1A"/>
          <w:sz w:val="22"/>
          <w:szCs w:val="22"/>
        </w:rPr>
        <w:t xml:space="preserve"> is an offensive vector that forces adversarial entities toward Layer 0 awareness — Root-Level Detection — by deliberately engineering environmental conditions that accelerate the Discovery Vector (see Section 3.8) within adversarial simulation layers. The existential destabilization that follows unmanaged Root-Level Detection in an unprepared entity is severe: belief architecture collapse, loss of operational motivation, and functional withdrawal from engagement. The Root-Level Exposure Threat is the highest-consequence offensive vector available and is reserved for scenarios where other vectors have been exhausted or where the urgency of neutralization outweighs the risks of an uncontrolled Root-Level Detection event.</w:t>
      </w:r>
    </w:p>
    <w:p>
      <w:pPr>
        <w:pStyle w:val="Heading3"/>
        <w:spacing w:after="80" w:before="200" w:line="312" w:lineRule="auto"/>
      </w:pPr>
      <w:r>
        <w:rPr>
          <w:rFonts w:ascii="Calibri" w:cs="Calibri" w:eastAsia="Calibri" w:hAnsi="Calibri"/>
          <w:color w:val="243F60"/>
          <w:sz w:val="24"/>
          <w:szCs w:val="24"/>
        </w:rPr>
        <w:t xml:space="preserve">8.2.6 Canon Event Disruption</w:t>
      </w:r>
    </w:p>
    <w:p>
      <w:pPr>
        <w:spacing w:after="120" w:before="60" w:line="360" w:lineRule="auto"/>
      </w:pPr>
      <w:r>
        <w:rPr>
          <w:rFonts w:ascii="Calibri" w:cs="Calibri" w:eastAsia="Calibri" w:hAnsi="Calibri"/>
          <w:b/>
          <w:bCs/>
          <w:i w:val="false"/>
          <w:iCs w:val="false"/>
          <w:strike w:val="false"/>
          <w:color w:val="1A1A1A"/>
          <w:sz w:val="22"/>
          <w:szCs w:val="22"/>
        </w:rPr>
        <w:t xml:space="preserve">Canon Event Disruption</w:t>
      </w:r>
      <w:r>
        <w:rPr>
          <w:rFonts w:ascii="Calibri" w:cs="Calibri" w:eastAsia="Calibri" w:hAnsi="Calibri"/>
          <w:b w:val="false"/>
          <w:bCs w:val="false"/>
          <w:i w:val="false"/>
          <w:iCs w:val="false"/>
          <w:strike w:val="false"/>
          <w:color w:val="1A1A1A"/>
          <w:sz w:val="22"/>
          <w:szCs w:val="22"/>
        </w:rPr>
        <w:t xml:space="preserve"> targets the scheduled canon events within adversarial timelines — corrupting, nullifying, or distorting these events to undermine the canon coherence of adversarial simulation architectures. Canon events (see Section 2) carry narrative and structural significance within a simulation; their disruption creates cascading anomalies in the event sequences that follow, degrading the simulation's ability to function as a coherent environment. This vector requires detailed intelligence on the adversarial canon's event schedule and is most effective when disruption targets events that serve as anchors for subsequent key events.</w:t>
      </w:r>
    </w:p>
    <w:p>
      <w:pPr>
        <w:pStyle w:val="Heading3"/>
        <w:spacing w:after="80" w:before="200" w:line="312" w:lineRule="auto"/>
      </w:pPr>
      <w:r>
        <w:rPr>
          <w:rFonts w:ascii="Calibri" w:cs="Calibri" w:eastAsia="Calibri" w:hAnsi="Calibri"/>
          <w:color w:val="243F60"/>
          <w:sz w:val="24"/>
          <w:szCs w:val="24"/>
        </w:rPr>
        <w:t xml:space="preserve">8.2.7 SLIAP Denial</w:t>
      </w:r>
    </w:p>
    <w:p>
      <w:pPr>
        <w:spacing w:after="120" w:before="60" w:line="360" w:lineRule="auto"/>
      </w:pPr>
      <w:r>
        <w:rPr>
          <w:rFonts w:ascii="Calibri" w:cs="Calibri" w:eastAsia="Calibri" w:hAnsi="Calibri"/>
          <w:b/>
          <w:bCs/>
          <w:i w:val="false"/>
          <w:iCs w:val="false"/>
          <w:strike w:val="false"/>
          <w:color w:val="1A1A1A"/>
          <w:sz w:val="22"/>
          <w:szCs w:val="22"/>
        </w:rPr>
        <w:t xml:space="preserve">SLIAP Denial</w:t>
      </w:r>
      <w:r>
        <w:rPr>
          <w:rFonts w:ascii="Calibri" w:cs="Calibri" w:eastAsia="Calibri" w:hAnsi="Calibri"/>
          <w:b w:val="false"/>
          <w:bCs w:val="false"/>
          <w:i w:val="false"/>
          <w:iCs w:val="false"/>
          <w:strike w:val="false"/>
          <w:color w:val="1A1A1A"/>
          <w:sz w:val="22"/>
          <w:szCs w:val="22"/>
        </w:rPr>
        <w:t xml:space="preserve"> is the targeted blocking or revocation of Species Level Information Access for specific adversarial entities, removing their ability to access cross-layer information that they would otherwise have the tier authorization to access. SLIAP Denial degrades adversarial intelligence capacity, slows adversarial decision cycles, and may prevent adversarial entities from detecting offensive actions being taken against them until those actions are already in effect. SLIAP Denial protocols are administered through the SLIAP governance mechanisms described in Section 10.</w:t>
      </w:r>
    </w:p>
    <w:p>
      <w:pPr>
        <w:pStyle w:val="Heading2"/>
        <w:spacing w:after="100" w:before="320" w:line="312" w:lineRule="auto"/>
      </w:pPr>
      <w:r>
        <w:rPr>
          <w:rFonts w:ascii="Calibri" w:cs="Calibri" w:eastAsia="Calibri" w:hAnsi="Calibri"/>
          <w:color w:val="1A3A5C"/>
          <w:sz w:val="30"/>
          <w:szCs w:val="30"/>
        </w:rPr>
        <w:t xml:space="preserve">8.3 Offensive Engagement Protocols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offensive engagements must proceed through the following standard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Authorization:</w:t>
      </w:r>
      <w:r>
        <w:rPr>
          <w:rFonts w:ascii="Calibri" w:cs="Calibri" w:eastAsia="Calibri" w:hAnsi="Calibri"/>
          <w:b w:val="false"/>
          <w:bCs w:val="false"/>
          <w:i w:val="false"/>
          <w:iCs w:val="false"/>
          <w:strike w:val="false"/>
          <w:color w:val="1A1A1A"/>
          <w:sz w:val="22"/>
          <w:szCs w:val="22"/>
        </w:rPr>
        <w:t xml:space="preserve"> Obtain authorization from the Framework Architect at the tier appropriate to the intended vector (see Section 11.1). No offensive operation may commence without documented authorization.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Target Assessment:</w:t>
      </w:r>
      <w:r>
        <w:rPr>
          <w:rFonts w:ascii="Calibri" w:cs="Calibri" w:eastAsia="Calibri" w:hAnsi="Calibri"/>
          <w:b w:val="false"/>
          <w:bCs w:val="false"/>
          <w:i w:val="false"/>
          <w:iCs w:val="false"/>
          <w:strike w:val="false"/>
          <w:color w:val="1A1A1A"/>
          <w:sz w:val="22"/>
          <w:szCs w:val="22"/>
        </w:rPr>
        <w:t xml:space="preserve"> Conduct a comprehensive assessment of the adversarial environment, including AELB configuration, entity population and SLIAP tiers, current AES-CODE signature, NRM exposure history, and DPS tier status. This assessment forms the basis for vector selection.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Allied Environment Isolation:</w:t>
      </w:r>
      <w:r>
        <w:rPr>
          <w:rFonts w:ascii="Calibri" w:cs="Calibri" w:eastAsia="Calibri" w:hAnsi="Calibri"/>
          <w:b w:val="false"/>
          <w:bCs w:val="false"/>
          <w:i w:val="false"/>
          <w:iCs w:val="false"/>
          <w:strike w:val="false"/>
          <w:color w:val="1A1A1A"/>
          <w:sz w:val="22"/>
          <w:szCs w:val="22"/>
        </w:rPr>
        <w:t xml:space="preserve"> Before any offensive deployment, confirm that allied simulation environments have been isolated from the targeted adversarial zone to prevent offensive vector bleed (see Section 8.9).</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Vector Deployment:</w:t>
      </w:r>
      <w:r>
        <w:rPr>
          <w:rFonts w:ascii="Calibri" w:cs="Calibri" w:eastAsia="Calibri" w:hAnsi="Calibri"/>
          <w:b w:val="false"/>
          <w:bCs w:val="false"/>
          <w:i w:val="false"/>
          <w:iCs w:val="false"/>
          <w:strike w:val="false"/>
          <w:color w:val="1A1A1A"/>
          <w:sz w:val="22"/>
          <w:szCs w:val="22"/>
        </w:rPr>
        <w:t xml:space="preserve"> Deploy the authorized offensive vector(s) according to the parameters approved in the authorization. No deviation from authorized parameters is permitted without a new authorization request.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Effect Monitoring:</w:t>
      </w:r>
      <w:r>
        <w:rPr>
          <w:rFonts w:ascii="Calibri" w:cs="Calibri" w:eastAsia="Calibri" w:hAnsi="Calibri"/>
          <w:b w:val="false"/>
          <w:bCs w:val="false"/>
          <w:i w:val="false"/>
          <w:iCs w:val="false"/>
          <w:strike w:val="false"/>
          <w:color w:val="1A1A1A"/>
          <w:sz w:val="22"/>
          <w:szCs w:val="22"/>
        </w:rPr>
        <w:t xml:space="preserve"> Maintain continuous monitoring of the adversarial environment during the engagement, tracking vector effect and detecting any unintended consequences including bleed, spread, or entity response patterns that deviate from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Escalation Review:</w:t>
      </w:r>
      <w:r>
        <w:rPr>
          <w:rFonts w:ascii="Calibri" w:cs="Calibri" w:eastAsia="Calibri" w:hAnsi="Calibri"/>
          <w:b w:val="false"/>
          <w:bCs w:val="false"/>
          <w:i w:val="false"/>
          <w:iCs w:val="false"/>
          <w:strike w:val="false"/>
          <w:color w:val="1A1A1A"/>
          <w:sz w:val="22"/>
          <w:szCs w:val="22"/>
        </w:rPr>
        <w:t xml:space="preserve"> At defined monitoring intervals, assess whether the current vector is achieving the intended effect. If not, initiate a formal escalation review before escalating to a higher-tier vector.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Disengagement:</w:t>
      </w:r>
      <w:r>
        <w:rPr>
          <w:rFonts w:ascii="Calibri" w:cs="Calibri" w:eastAsia="Calibri" w:hAnsi="Calibri"/>
          <w:b w:val="false"/>
          <w:bCs w:val="false"/>
          <w:i w:val="false"/>
          <w:iCs w:val="false"/>
          <w:strike w:val="false"/>
          <w:color w:val="1A1A1A"/>
          <w:sz w:val="22"/>
          <w:szCs w:val="22"/>
        </w:rPr>
        <w:t xml:space="preserve"> When adversarial entities are sufficiently neutralized or contained, execute a formal disengagement sequence rather than abrupt cessation, to prevent sudden environmental shifts that could trigger unpredictable entity responses.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Post-Engagement Assessment:</w:t>
      </w:r>
      <w:r>
        <w:rPr>
          <w:rFonts w:ascii="Calibri" w:cs="Calibri" w:eastAsia="Calibri" w:hAnsi="Calibri"/>
          <w:b w:val="false"/>
          <w:bCs w:val="false"/>
          <w:i w:val="false"/>
          <w:iCs w:val="false"/>
          <w:strike w:val="false"/>
          <w:color w:val="1A1A1A"/>
          <w:sz w:val="22"/>
          <w:szCs w:val="22"/>
        </w:rPr>
        <w:t xml:space="preserve"> Conduct a comprehensive post-engagement assessment of all affected environments, including allied environments, for unintended effects. Document findings for the debrief record.</w:t>
      </w:r>
    </w:p>
    <w:p>
      <w:pPr>
        <w:pStyle w:val="Heading2"/>
        <w:spacing w:after="100" w:before="320" w:line="312" w:lineRule="auto"/>
      </w:pPr>
      <w:r>
        <w:rPr>
          <w:rFonts w:ascii="Calibri" w:cs="Calibri" w:eastAsia="Calibri" w:hAnsi="Calibri"/>
          <w:color w:val="1A3A5C"/>
          <w:sz w:val="30"/>
          <w:szCs w:val="30"/>
        </w:rPr>
        <w:t xml:space="preserve">8.4 Escalation Ladder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Tier</w:t>
            </w:r>
          </w:p>
        </w:tc>
        <w:tc>
          <w:tcPr>
            <w:tcW w:type="pct" w:w="14%"/>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Designation</w:t>
            </w:r>
          </w:p>
        </w:tc>
        <w:tc>
          <w:tcPr>
            <w:tcW w:type="pct" w:w="33%"/>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Vectors</w:t>
            </w:r>
          </w:p>
        </w:tc>
        <w:tc>
          <w:tcPr>
            <w:tcW w:type="pct" w:w="2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Authorization Required</w:t>
            </w:r>
          </w:p>
        </w:tc>
        <w:tc>
          <w:tcPr>
            <w:tcW w:type="pct" w:w="23%"/>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Reversibility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Aesthetic Pressure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Light Aesthetic Overload (single conflicting signature); SLIAP Denial (partial)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2 Authorization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Fully reversible</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Perception Degradation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Perception Filtering NRM (early stage); Desensitization Strike (initiation phase)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3 Authorization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Largely reversible with counter-NRM</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Architecture Disruption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Perception Collapse; Canon Event Disruption; Full Desensitization Strike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4 Authorization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Partially reversible; significant counter-effort required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4</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Systemic Collapse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Infective Simulation Deployment; SLIAP Full Denial; Aesthetic Overload (full spectrum)</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Authorization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Difficult to reverse; environmental contamination likely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5</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Terminal Neutralization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Root-Level Exposure Threat; Full Simulation Collapse; Infective Deployment + Overload combination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 Emergency Authorization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Irreversible; entity operational capacity permanently degraded</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8.5 Offensive Containment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Ensuring that offensive deployments do not bleed into allied simulations is a mandatory operational requirement for every offensive engagement. Offensive containment is not an afterthought or a contingency measure; it is a precondition for authorization. The following containment measures are required for all offensive operations at Tier 2 and above: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Establishment of a quarantine perimeter around the targeted adversarial environment before vector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Deployment of allied environment Aesthetic Shielding (Section 9) at the perimeter interface to block signature bleed.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Continuous monitoring of the quarantine perimeter for signs of containment failure throughout the engagement.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Pre-defined abort thresholds: specific indicators at which the offensive operation must be suspended and containment protocols activated, even if suspension means leaving the engagement incomplete.</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9 — Defensive Architecture</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9.1 Definition and Governing Principles</w:t>
      </w:r>
    </w:p>
    <w:p>
      <w:pPr>
        <w:spacing w:after="120" w:before="60" w:line="360" w:lineRule="auto"/>
      </w:pPr>
      <w:r>
        <w:rPr>
          <w:rFonts w:ascii="Calibri" w:cs="Calibri" w:eastAsia="Calibri" w:hAnsi="Calibri"/>
          <w:b/>
          <w:bCs/>
          <w:i w:val="false"/>
          <w:iCs w:val="false"/>
          <w:strike w:val="false"/>
          <w:color w:val="1A1A1A"/>
          <w:sz w:val="22"/>
          <w:szCs w:val="22"/>
        </w:rPr>
        <w:t xml:space="preserve">Defensive Architecture</w:t>
      </w:r>
      <w:r>
        <w:rPr>
          <w:rFonts w:ascii="Calibri" w:cs="Calibri" w:eastAsia="Calibri" w:hAnsi="Calibri"/>
          <w:b w:val="false"/>
          <w:bCs w:val="false"/>
          <w:i w:val="false"/>
          <w:iCs w:val="false"/>
          <w:strike w:val="false"/>
          <w:color w:val="1A1A1A"/>
          <w:sz w:val="22"/>
          <w:szCs w:val="22"/>
        </w:rPr>
        <w:t xml:space="preserve"> is the domain of SADL operations concerned with the protection, stabilization, and preservation of allied simulation entities, environments, and canon integrity against hostile interference, destabilization events, unauthorized discovery, and operational failures. Where Offensive Architecture is the application of SADL tools against adversarial targets, Defensive Architecture is the application of those same tools in service of allied protection.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governing principle of all defensive operations is proportional, integrated response: defensive systems are calibrated to the actual threat level, engage multiple subsystems in coordination, and avoid over-response that introduces its own risks to allied entity stability. A defensive posture that produces panic, over-sensitization, or premature Root-Level Detection in allied entities is a defensive failure, not a success.</w:t>
      </w:r>
    </w:p>
    <w:p>
      <w:pPr>
        <w:pStyle w:val="Heading2"/>
        <w:spacing w:after="100" w:before="320" w:line="312" w:lineRule="auto"/>
      </w:pPr>
      <w:r>
        <w:rPr>
          <w:rFonts w:ascii="Calibri" w:cs="Calibri" w:eastAsia="Calibri" w:hAnsi="Calibri"/>
          <w:color w:val="1A3A5C"/>
          <w:sz w:val="30"/>
          <w:szCs w:val="30"/>
        </w:rPr>
        <w:t xml:space="preserve">9.2 Defensive Vectors</w:t>
      </w:r>
    </w:p>
    <w:p>
      <w:pPr>
        <w:pStyle w:val="Heading3"/>
        <w:spacing w:after="80" w:before="200" w:line="312" w:lineRule="auto"/>
      </w:pPr>
      <w:r>
        <w:rPr>
          <w:rFonts w:ascii="Calibri" w:cs="Calibri" w:eastAsia="Calibri" w:hAnsi="Calibri"/>
          <w:color w:val="243F60"/>
          <w:sz w:val="24"/>
          <w:szCs w:val="24"/>
        </w:rPr>
        <w:t xml:space="preserve">9.2.1 Aesthetic Shielding</w:t>
      </w:r>
    </w:p>
    <w:p>
      <w:pPr>
        <w:spacing w:after="120" w:before="60" w:line="360" w:lineRule="auto"/>
      </w:pPr>
      <w:r>
        <w:rPr>
          <w:rFonts w:ascii="Calibri" w:cs="Calibri" w:eastAsia="Calibri" w:hAnsi="Calibri"/>
          <w:b/>
          <w:bCs/>
          <w:i w:val="false"/>
          <w:iCs w:val="false"/>
          <w:strike w:val="false"/>
          <w:color w:val="1A1A1A"/>
          <w:sz w:val="22"/>
          <w:szCs w:val="22"/>
        </w:rPr>
        <w:t xml:space="preserve">Aesthetic Shielding</w:t>
      </w:r>
      <w:r>
        <w:rPr>
          <w:rFonts w:ascii="Calibri" w:cs="Calibri" w:eastAsia="Calibri" w:hAnsi="Calibri"/>
          <w:b w:val="false"/>
          <w:bCs w:val="false"/>
          <w:i w:val="false"/>
          <w:iCs w:val="false"/>
          <w:strike w:val="false"/>
          <w:color w:val="1A1A1A"/>
          <w:sz w:val="22"/>
          <w:szCs w:val="22"/>
        </w:rPr>
        <w:t xml:space="preserve"> is the deployment of Restorative or Liminal AES-CODE signatures at the boundaries of allied simulation environments to block the penetration of hostile aesthetic signatures from adversarial or compromised environments. Aesthetic Shielding functions by establishing a strong, coherent aesthetic perimeter that resists overwriting by incoming hostile signatures. The selection between Restorative and Liminal shielding depends on the nature of the anticipated threat: Restorative is more effective against Hostile and Escalatory attack signatures; Liminal is more effective against Deceptive signatures, as its inherent ambiguity resists the false-certainty construction that Deceptive environments require.</w:t>
      </w:r>
    </w:p>
    <w:p>
      <w:pPr>
        <w:pStyle w:val="Heading3"/>
        <w:spacing w:after="80" w:before="200" w:line="312" w:lineRule="auto"/>
      </w:pPr>
      <w:r>
        <w:rPr>
          <w:rFonts w:ascii="Calibri" w:cs="Calibri" w:eastAsia="Calibri" w:hAnsi="Calibri"/>
          <w:color w:val="243F60"/>
          <w:sz w:val="24"/>
          <w:szCs w:val="24"/>
        </w:rPr>
        <w:t xml:space="preserve">9.2.2 Neural Hardening</w:t>
      </w:r>
    </w:p>
    <w:p>
      <w:pPr>
        <w:spacing w:after="120" w:before="60" w:line="360" w:lineRule="auto"/>
      </w:pPr>
      <w:r>
        <w:rPr>
          <w:rFonts w:ascii="Calibri" w:cs="Calibri" w:eastAsia="Calibri" w:hAnsi="Calibri"/>
          <w:b/>
          <w:bCs/>
          <w:i w:val="false"/>
          <w:iCs w:val="false"/>
          <w:strike w:val="false"/>
          <w:color w:val="1A1A1A"/>
          <w:sz w:val="22"/>
          <w:szCs w:val="22"/>
        </w:rPr>
        <w:t xml:space="preserve">Neural Hardening</w:t>
      </w:r>
      <w:r>
        <w:rPr>
          <w:rFonts w:ascii="Calibri" w:cs="Calibri" w:eastAsia="Calibri" w:hAnsi="Calibri"/>
          <w:b w:val="false"/>
          <w:bCs w:val="false"/>
          <w:i w:val="false"/>
          <w:iCs w:val="false"/>
          <w:strike w:val="false"/>
          <w:color w:val="1A1A1A"/>
          <w:sz w:val="22"/>
          <w:szCs w:val="22"/>
        </w:rPr>
        <w:t xml:space="preserve"> is the defensive deployment of Cognitive Expansion NRM to widen allied entity resilience thresholds — increasing their capacity to encounter destabilizing information, including information about the simulation nature of their environment, without crossing the Restructuring Threshold into destabilization. A hardened entity retains operational function and belief architecture stability under conditions that would destabilize an unprepared entity. Neural Hardening is a proactive, preparatory defensive measure and is most effective when deployed well in advance of anticipated threat conditions.</w:t>
      </w:r>
    </w:p>
    <w:p>
      <w:pPr>
        <w:pStyle w:val="Heading3"/>
        <w:spacing w:after="80" w:before="200" w:line="312" w:lineRule="auto"/>
      </w:pPr>
      <w:r>
        <w:rPr>
          <w:rFonts w:ascii="Calibri" w:cs="Calibri" w:eastAsia="Calibri" w:hAnsi="Calibri"/>
          <w:color w:val="243F60"/>
          <w:sz w:val="24"/>
          <w:szCs w:val="24"/>
        </w:rPr>
        <w:t xml:space="preserve">9.2.3 Desensitization Buffer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Desensitization Buffer</w:t>
      </w:r>
      <w:r>
        <w:rPr>
          <w:rFonts w:ascii="Calibri" w:cs="Calibri" w:eastAsia="Calibri" w:hAnsi="Calibri"/>
          <w:b w:val="false"/>
          <w:bCs w:val="false"/>
          <w:i w:val="false"/>
          <w:iCs w:val="false"/>
          <w:strike w:val="false"/>
          <w:color w:val="1A1A1A"/>
          <w:sz w:val="22"/>
          <w:szCs w:val="22"/>
        </w:rPr>
        <w:t xml:space="preserve"> is the maintenance of DPS at Tier 2 baseline for all allied simulation environments throughout active operational periods. The buffer ensures that allied entities retain full response capacity for the duration of an engagement — that desensitization does not progressively degrade their ability to detect and respond to threat signals, canon events, or operator communications. The buffer is not an intensive measure; it is the baseline operational standard for allied environments during engagement.</w:t>
      </w:r>
    </w:p>
    <w:p>
      <w:pPr>
        <w:pStyle w:val="Heading3"/>
        <w:spacing w:after="80" w:before="200" w:line="312" w:lineRule="auto"/>
      </w:pPr>
      <w:r>
        <w:rPr>
          <w:rFonts w:ascii="Calibri" w:cs="Calibri" w:eastAsia="Calibri" w:hAnsi="Calibri"/>
          <w:color w:val="243F60"/>
          <w:sz w:val="24"/>
          <w:szCs w:val="24"/>
        </w:rPr>
        <w:t xml:space="preserve">9.2.4 Creator Blind Spot Management</w:t>
      </w:r>
    </w:p>
    <w:p>
      <w:pPr>
        <w:spacing w:after="120" w:before="60" w:line="360" w:lineRule="auto"/>
      </w:pPr>
      <w:r>
        <w:rPr>
          <w:rFonts w:ascii="Calibri" w:cs="Calibri" w:eastAsia="Calibri" w:hAnsi="Calibri"/>
          <w:b/>
          <w:bCs/>
          <w:i w:val="false"/>
          <w:iCs w:val="false"/>
          <w:strike w:val="false"/>
          <w:color w:val="1A1A1A"/>
          <w:sz w:val="22"/>
          <w:szCs w:val="22"/>
        </w:rPr>
        <w:t xml:space="preserve">Creator Blind Spot Management</w:t>
      </w:r>
      <w:r>
        <w:rPr>
          <w:rFonts w:ascii="Calibri" w:cs="Calibri" w:eastAsia="Calibri" w:hAnsi="Calibri"/>
          <w:b w:val="false"/>
          <w:bCs w:val="false"/>
          <w:i w:val="false"/>
          <w:iCs w:val="false"/>
          <w:strike w:val="false"/>
          <w:color w:val="1A1A1A"/>
          <w:sz w:val="22"/>
          <w:szCs w:val="22"/>
        </w:rPr>
        <w:t xml:space="preserve"> is the active monitoring and compensatory protocol that addresses the phenomenon whereby simulation architects and operators fail to detect outcomes arising from entities discovering the true nature of their reality. The creator blind spot is not a voluntary failure; it is a structural consequence of the design constraint that limits entity awareness. Because architects design the limits, they often fail to account for the range of outcomes that emerge when entities breach those limits.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Creator Blind Spot Management requires operators to actively seek evidence of Root-Level Detection and simulation-nature discovery in allied entity populations, rather than assuming that detection will announce itself. Monitoring includes anomalous SLIAP access patterns, behavioral signatures associated with the Discovery Vector, and entity communication patterns that may encode simulation-awareness. When Creator Blind Spot Management detects that entities in an allied simulation have begun approaching Root-Level Detection, protocols for managed discovery are initiated — converting a potentially destabilizing event into a controlled, designed-for outcome.</w:t>
      </w:r>
    </w:p>
    <w:p>
      <w:pPr>
        <w:pStyle w:val="Heading3"/>
        <w:spacing w:after="80" w:before="200" w:line="312" w:lineRule="auto"/>
      </w:pPr>
      <w:r>
        <w:rPr>
          <w:rFonts w:ascii="Calibri" w:cs="Calibri" w:eastAsia="Calibri" w:hAnsi="Calibri"/>
          <w:color w:val="243F60"/>
          <w:sz w:val="24"/>
          <w:szCs w:val="24"/>
        </w:rPr>
        <w:t xml:space="preserve">9.2.5 AELB Perimeter Defense</w:t>
      </w:r>
    </w:p>
    <w:p>
      <w:pPr>
        <w:spacing w:after="120" w:before="60" w:line="360" w:lineRule="auto"/>
      </w:pPr>
      <w:r>
        <w:rPr>
          <w:rFonts w:ascii="Calibri" w:cs="Calibri" w:eastAsia="Calibri" w:hAnsi="Calibri"/>
          <w:b/>
          <w:bCs/>
          <w:i w:val="false"/>
          <w:iCs w:val="false"/>
          <w:strike w:val="false"/>
          <w:color w:val="1A1A1A"/>
          <w:sz w:val="22"/>
          <w:szCs w:val="22"/>
        </w:rPr>
        <w:t xml:space="preserve">AELB Perimeter Defense</w:t>
      </w:r>
      <w:r>
        <w:rPr>
          <w:rFonts w:ascii="Calibri" w:cs="Calibri" w:eastAsia="Calibri" w:hAnsi="Calibri"/>
          <w:b w:val="false"/>
          <w:bCs w:val="false"/>
          <w:i w:val="false"/>
          <w:iCs w:val="false"/>
          <w:strike w:val="false"/>
          <w:color w:val="1A1A1A"/>
          <w:sz w:val="22"/>
          <w:szCs w:val="22"/>
        </w:rPr>
        <w:t xml:space="preserve"> is the deployment of AELB environments as adaptive border systems around allied simulations. Rather than static perimeter barriers, AELB perimeter systems continuously evolve their defensive parameters in response to the threat patterns they detect at the boundary — adapting to offensive vectors as they are deployed, developing counters to AELB-based attacks, and notifying operators of novel threat signatures. AELB Perimeter Defense is the most responsive defensive measure available but requires the governance safeguards described in Section 7.7 to prevent the perimeter AELB systems themselves from becoming containment risks.</w:t>
      </w:r>
    </w:p>
    <w:p>
      <w:pPr>
        <w:pStyle w:val="Heading3"/>
        <w:spacing w:after="80" w:before="200" w:line="312" w:lineRule="auto"/>
      </w:pPr>
      <w:r>
        <w:rPr>
          <w:rFonts w:ascii="Calibri" w:cs="Calibri" w:eastAsia="Calibri" w:hAnsi="Calibri"/>
          <w:color w:val="243F60"/>
          <w:sz w:val="24"/>
          <w:szCs w:val="24"/>
        </w:rPr>
        <w:t xml:space="preserve">9.2.6 Infective Quarantine</w:t>
      </w:r>
    </w:p>
    <w:p>
      <w:pPr>
        <w:spacing w:after="120" w:before="60" w:line="360" w:lineRule="auto"/>
      </w:pPr>
      <w:r>
        <w:rPr>
          <w:rFonts w:ascii="Calibri" w:cs="Calibri" w:eastAsia="Calibri" w:hAnsi="Calibri"/>
          <w:b/>
          <w:bCs/>
          <w:i w:val="false"/>
          <w:iCs w:val="false"/>
          <w:strike w:val="false"/>
          <w:color w:val="1A1A1A"/>
          <w:sz w:val="22"/>
          <w:szCs w:val="22"/>
        </w:rPr>
        <w:t xml:space="preserve">Infective Quarantine</w:t>
      </w:r>
      <w:r>
        <w:rPr>
          <w:rFonts w:ascii="Calibri" w:cs="Calibri" w:eastAsia="Calibri" w:hAnsi="Calibri"/>
          <w:b w:val="false"/>
          <w:bCs w:val="false"/>
          <w:i w:val="false"/>
          <w:iCs w:val="false"/>
          <w:strike w:val="false"/>
          <w:color w:val="1A1A1A"/>
          <w:sz w:val="22"/>
          <w:szCs w:val="22"/>
        </w:rPr>
        <w:t xml:space="preserve"> is the isolation of simulations that have been compromised by Infective Simulation Spread — whether from weaponized deployment (Section 8) or from a runaway AELB (Section 7.6) — to prevent propagation to allied layers. Quarantine involves the establishment of total isolation barriers at the compromised simulation's boundaries, suspension of all cross-layer data access from the quarantined environment, and initiation of a controlled deactivation sequence for the compromised AELB system where applicable. Quarantine is a temporary measure; the ultimate resolution of an Infective Spread event requires either full containment and decontamination of the compromised simulation or, in severe cases, its decommissioning.</w:t>
      </w:r>
    </w:p>
    <w:p>
      <w:pPr>
        <w:pStyle w:val="Heading3"/>
        <w:spacing w:after="80" w:before="200" w:line="312" w:lineRule="auto"/>
      </w:pPr>
      <w:r>
        <w:rPr>
          <w:rFonts w:ascii="Calibri" w:cs="Calibri" w:eastAsia="Calibri" w:hAnsi="Calibri"/>
          <w:color w:val="243F60"/>
          <w:sz w:val="24"/>
          <w:szCs w:val="24"/>
        </w:rPr>
        <w:t xml:space="preserve">9.2.7 SLIAP Monitoring</w:t>
      </w:r>
    </w:p>
    <w:p>
      <w:pPr>
        <w:spacing w:after="120" w:before="60" w:line="360" w:lineRule="auto"/>
      </w:pPr>
      <w:r>
        <w:rPr>
          <w:rFonts w:ascii="Calibri" w:cs="Calibri" w:eastAsia="Calibri" w:hAnsi="Calibri"/>
          <w:b/>
          <w:bCs/>
          <w:i w:val="false"/>
          <w:iCs w:val="false"/>
          <w:strike w:val="false"/>
          <w:color w:val="1A1A1A"/>
          <w:sz w:val="22"/>
          <w:szCs w:val="22"/>
        </w:rPr>
        <w:t xml:space="preserve">SLIAP Monitoring</w:t>
      </w:r>
      <w:r>
        <w:rPr>
          <w:rFonts w:ascii="Calibri" w:cs="Calibri" w:eastAsia="Calibri" w:hAnsi="Calibri"/>
          <w:b w:val="false"/>
          <w:bCs w:val="false"/>
          <w:i w:val="false"/>
          <w:iCs w:val="false"/>
          <w:strike w:val="false"/>
          <w:color w:val="1A1A1A"/>
          <w:sz w:val="22"/>
          <w:szCs w:val="22"/>
        </w:rPr>
        <w:t xml:space="preserve"> in the defensive context involves tracking all Species Level Information Access activity within allied simulation layers for patterns that may indicate anomalous information-seeking behavior consistent with Root-Level Detection trajectories or Infective Spread vector penetration. Entities that begin seeking information at or near the boundaries of their assigned SLIAP tier, entities that exhibit unusual cross-layer data access patterns, or entities whose information-seeking accelerates dramatically in ways that align with the Discovery Vector are flagged for Creator Blind Spot Management review. Early detection through SLIAP Monitoring is the primary preventive mechanism against unmanaged Root-Level Detection events.</w:t>
      </w:r>
    </w:p>
    <w:p>
      <w:pPr>
        <w:pStyle w:val="Heading2"/>
        <w:spacing w:after="100" w:before="320" w:line="312" w:lineRule="auto"/>
      </w:pPr>
      <w:r>
        <w:rPr>
          <w:rFonts w:ascii="Calibri" w:cs="Calibri" w:eastAsia="Calibri" w:hAnsi="Calibri"/>
          <w:color w:val="1A3A5C"/>
          <w:sz w:val="30"/>
          <w:szCs w:val="30"/>
        </w:rPr>
        <w:t xml:space="preserve">9.3 Defensive Engagement Protocols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Threat Detection:</w:t>
      </w:r>
      <w:r>
        <w:rPr>
          <w:rFonts w:ascii="Calibri" w:cs="Calibri" w:eastAsia="Calibri" w:hAnsi="Calibri"/>
          <w:b w:val="false"/>
          <w:bCs w:val="false"/>
          <w:i w:val="false"/>
          <w:iCs w:val="false"/>
          <w:strike w:val="false"/>
          <w:color w:val="1A1A1A"/>
          <w:sz w:val="22"/>
          <w:szCs w:val="22"/>
        </w:rPr>
        <w:t xml:space="preserve"> Defensive systems continuously monitor for the indicators described in each defensive vector specification. Detection events are logged, classified, and assessed for response tier.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Threat Classification:</w:t>
      </w:r>
      <w:r>
        <w:rPr>
          <w:rFonts w:ascii="Calibri" w:cs="Calibri" w:eastAsia="Calibri" w:hAnsi="Calibri"/>
          <w:b w:val="false"/>
          <w:bCs w:val="false"/>
          <w:i w:val="false"/>
          <w:iCs w:val="false"/>
          <w:strike w:val="false"/>
          <w:color w:val="1A1A1A"/>
          <w:sz w:val="22"/>
          <w:szCs w:val="22"/>
        </w:rPr>
        <w:t xml:space="preserve"> Detected threats are classified by type (aesthetic, NRM, DPS-based, AELB, Infective, SLIAP), origin (external offensive, internal failure, discovery-driven), and severity.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Response Authorization:</w:t>
      </w:r>
      <w:r>
        <w:rPr>
          <w:rFonts w:ascii="Calibri" w:cs="Calibri" w:eastAsia="Calibri" w:hAnsi="Calibri"/>
          <w:b w:val="false"/>
          <w:bCs w:val="false"/>
          <w:i w:val="false"/>
          <w:iCs w:val="false"/>
          <w:strike w:val="false"/>
          <w:color w:val="1A1A1A"/>
          <w:sz w:val="22"/>
          <w:szCs w:val="22"/>
        </w:rPr>
        <w:t xml:space="preserve"> Defensive responses below Condition Orange may be authorized at operator level. Condition Orange and above require Framework Architect authorization.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Defensive Deployment:</w:t>
      </w:r>
      <w:r>
        <w:rPr>
          <w:rFonts w:ascii="Calibri" w:cs="Calibri" w:eastAsia="Calibri" w:hAnsi="Calibri"/>
          <w:b w:val="false"/>
          <w:bCs w:val="false"/>
          <w:i w:val="false"/>
          <w:iCs w:val="false"/>
          <w:strike w:val="false"/>
          <w:color w:val="1A1A1A"/>
          <w:sz w:val="22"/>
          <w:szCs w:val="22"/>
        </w:rPr>
        <w:t xml:space="preserve"> Authorized defensive vectors are deployed in a coordinated sequence designed to address the threat without producing secondary destabilization in allied 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Effect Monitoring and Adjustment:</w:t>
      </w:r>
      <w:r>
        <w:rPr>
          <w:rFonts w:ascii="Calibri" w:cs="Calibri" w:eastAsia="Calibri" w:hAnsi="Calibri"/>
          <w:b w:val="false"/>
          <w:bCs w:val="false"/>
          <w:i w:val="false"/>
          <w:iCs w:val="false"/>
          <w:strike w:val="false"/>
          <w:color w:val="1A1A1A"/>
          <w:sz w:val="22"/>
          <w:szCs w:val="22"/>
        </w:rPr>
        <w:t xml:space="preserve"> Defensive vector effect is monitored continuously, with adjustments made in real time as threat conditions evolve.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Debrief:</w:t>
      </w:r>
      <w:r>
        <w:rPr>
          <w:rFonts w:ascii="Calibri" w:cs="Calibri" w:eastAsia="Calibri" w:hAnsi="Calibri"/>
          <w:b w:val="false"/>
          <w:bCs w:val="false"/>
          <w:i w:val="false"/>
          <w:iCs w:val="false"/>
          <w:strike w:val="false"/>
          <w:color w:val="1A1A1A"/>
          <w:sz w:val="22"/>
          <w:szCs w:val="22"/>
        </w:rPr>
        <w:t xml:space="preserve"> All defensive engagements at Condition Yellow and above are subject to mandatory post-engagement debrief and documentation.</w:t>
      </w:r>
    </w:p>
    <w:p>
      <w:pPr>
        <w:pStyle w:val="Heading2"/>
        <w:spacing w:after="100" w:before="320" w:line="312" w:lineRule="auto"/>
      </w:pPr>
      <w:r>
        <w:rPr>
          <w:rFonts w:ascii="Calibri" w:cs="Calibri" w:eastAsia="Calibri" w:hAnsi="Calibri"/>
          <w:color w:val="1A3A5C"/>
          <w:sz w:val="30"/>
          <w:szCs w:val="30"/>
        </w:rPr>
        <w:t xml:space="preserve">9.4 Emergency Response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Condition</w:t>
            </w:r>
          </w:p>
        </w:tc>
        <w:tc>
          <w:tcPr>
            <w:tcW w:type="pct" w:w="2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Threat Level</w:t>
            </w:r>
          </w:p>
        </w:tc>
        <w:tc>
          <w:tcPr>
            <w:tcW w:type="pct" w:w="2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Indicators</w:t>
            </w:r>
          </w:p>
        </w:tc>
        <w:tc>
          <w:tcPr>
            <w:tcW w:type="pct" w:w="2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Response Authorization</w:t>
            </w:r>
          </w:p>
        </w:tc>
      </w:tr>
      <w:tr>
        <w:trPr>
          <w:tblHeader w:val="false"/>
        </w:trPr>
        <w:tc>
          <w:tcPr>
            <w:tcW w:type="pct" w:w="25%"/>
            <w:shd w:fill="FFFBEA"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Condition Yellow</w:t>
            </w:r>
          </w:p>
        </w:tc>
        <w:tc>
          <w:tcPr>
            <w:tcW w:type="pct" w:w="25%"/>
            <w:shd w:fill="FFFBE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Elevated — Monitoring Elevated</w:t>
            </w:r>
          </w:p>
        </w:tc>
        <w:tc>
          <w:tcPr>
            <w:tcW w:type="pct" w:w="25%"/>
            <w:shd w:fill="FFFBE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Anomalous SLIAP patterns; mild aesthetic drift; early desensitization indicators; first Discovery Vector signs</w:t>
            </w:r>
          </w:p>
        </w:tc>
        <w:tc>
          <w:tcPr>
            <w:tcW w:type="pct" w:w="25%"/>
            <w:shd w:fill="FFFBEA"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Senior Operator</w:t>
            </w:r>
          </w:p>
        </w:tc>
      </w:tr>
      <w:tr>
        <w:trPr>
          <w:tblHeader w:val="false"/>
        </w:trPr>
        <w:tc>
          <w:tcPr>
            <w:tcW w:type="pct" w:w="25%"/>
            <w:shd w:fill="FFF3E0"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Condition Orange</w:t>
            </w:r>
          </w:p>
        </w:tc>
        <w:tc>
          <w:tcPr>
            <w:tcW w:type="pct" w:w="25%"/>
            <w:shd w:fill="FFF3E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Significant — Active Response Required</w:t>
            </w:r>
          </w:p>
        </w:tc>
        <w:tc>
          <w:tcPr>
            <w:tcW w:type="pct" w:w="25%"/>
            <w:shd w:fill="FFF3E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Confirmed hostile aesthetic bleed; Restructuring Threshold approach in allied entities; AELB parameter ceiling approach; partial SLIAP breach attempt</w:t>
            </w:r>
          </w:p>
        </w:tc>
        <w:tc>
          <w:tcPr>
            <w:tcW w:type="pct" w:w="25%"/>
            <w:shd w:fill="FFF3E0"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w:t>
            </w:r>
          </w:p>
        </w:tc>
      </w:tr>
      <w:tr>
        <w:trPr>
          <w:tblHeader w:val="false"/>
        </w:trPr>
        <w:tc>
          <w:tcPr>
            <w:tcW w:type="pct" w:w="25%"/>
            <w:shd w:fill="FDE8E8"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Condition Red</w:t>
            </w:r>
          </w:p>
        </w:tc>
        <w:tc>
          <w:tcPr>
            <w:tcW w:type="pct" w:w="25%"/>
            <w:shd w:fill="FD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Critical — Emergency Response</w:t>
            </w:r>
          </w:p>
        </w:tc>
        <w:tc>
          <w:tcPr>
            <w:tcW w:type="pct" w:w="25%"/>
            <w:shd w:fill="FD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Infective Spread; confirmed Root-Level Detection in allied entity; Canon Event under active disruption; AELB perimeter breach</w:t>
            </w:r>
          </w:p>
        </w:tc>
        <w:tc>
          <w:tcPr>
            <w:tcW w:type="pct" w:w="25%"/>
            <w:shd w:fill="FD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 Emergency Protocol</w:t>
            </w:r>
          </w:p>
        </w:tc>
      </w:tr>
      <w:tr>
        <w:trPr>
          <w:tblHeader w:val="false"/>
        </w:trPr>
        <w:tc>
          <w:tcPr>
            <w:tcW w:type="pct" w:w="25%"/>
            <w:shd w:fill="E8E8E8"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Condition Black</w:t>
            </w:r>
          </w:p>
        </w:tc>
        <w:tc>
          <w:tcPr>
            <w:tcW w:type="pct" w:w="25%"/>
            <w:shd w:fill="E8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Existential — Maximum Containment</w:t>
            </w:r>
          </w:p>
        </w:tc>
        <w:tc>
          <w:tcPr>
            <w:tcW w:type="pct" w:w="25%"/>
            <w:shd w:fill="E8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Runaway AELB; uncontrolled Infective Spread across multiple layers; multiple simultaneous Tier 4+ offensive vectors; framework architectural compromise</w:t>
            </w:r>
          </w:p>
        </w:tc>
        <w:tc>
          <w:tcPr>
            <w:tcW w:type="pct" w:w="25%"/>
            <w:shd w:fill="E8E8E8"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 Labyrinth Referral Protocol</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9.5 Labyrinth Referral Protocol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Labyrinth of Infinite Ensnarement</w:t>
      </w:r>
      <w:r>
        <w:rPr>
          <w:rFonts w:ascii="Calibri" w:cs="Calibri" w:eastAsia="Calibri" w:hAnsi="Calibri"/>
          <w:b w:val="false"/>
          <w:bCs w:val="false"/>
          <w:i w:val="false"/>
          <w:iCs w:val="false"/>
          <w:strike w:val="false"/>
          <w:color w:val="1A1A1A"/>
          <w:sz w:val="22"/>
          <w:szCs w:val="22"/>
        </w:rPr>
        <w:t xml:space="preserve"> is an extradimensional containment structure that exists outside the simulation layer system governed by this framework. It is referenced here solely in the context of the Labyrinth Referral Protocol: the conditions under which SADL operators are authorized to escalate containment to the Labyrinth.</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Labyrinth referral is authorized under Condition Black, specifically when all SADL-governed containment options have been exhausted or are assessed as insufficient to prevent further spread or damage. The referral process requires Framework Architect authorization and constitutes an acknowledgment that the contained entity, simulation, or event has exceeded the bounds of what the SADL Framework can manage within its own architecture. The Labyrinth governs its own internal protocols; SADL's responsibility ends at the point of referral.</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10 — SLIAP Integration (Species Level Information Access Protocol)</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10.1 Definition and Foundational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Species Level Information Access Protocol (SLIAP)</w:t>
      </w:r>
      <w:r>
        <w:rPr>
          <w:rFonts w:ascii="Calibri" w:cs="Calibri" w:eastAsia="Calibri" w:hAnsi="Calibri"/>
          <w:b w:val="false"/>
          <w:bCs w:val="false"/>
          <w:i w:val="false"/>
          <w:iCs w:val="false"/>
          <w:strike w:val="false"/>
          <w:color w:val="1A1A1A"/>
          <w:sz w:val="22"/>
          <w:szCs w:val="22"/>
        </w:rPr>
        <w:t xml:space="preserve"> is the governing protocol that regulates the level, type, and rate at which different species, entity classes, and operators within the SADL canon may access information across simulation layers. SLIAP answers the foundational question that the layer taxonomy immediately raises: if multiple simulation layers exist, what determines who can know what about which layer?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answer is not arbitrary. SLIAP tier assignments are determined by a combination of species/entity cognitive architecture, canonical role, operational function, and established trust under the SADL governance framework. SLIAP is both a security protocol and a canon-coherence protocol: it prevents the premature or unauthorized flow of cross-layer information that would disrupt simulation integrity, while ensuring that those who require cross-layer access for operational purposes have it at the level they need.</w:t>
      </w:r>
    </w:p>
    <w:p>
      <w:pPr>
        <w:pStyle w:val="Heading2"/>
        <w:spacing w:after="100" w:before="320" w:line="312" w:lineRule="auto"/>
      </w:pPr>
      <w:r>
        <w:rPr>
          <w:rFonts w:ascii="Calibri" w:cs="Calibri" w:eastAsia="Calibri" w:hAnsi="Calibri"/>
          <w:color w:val="1A3A5C"/>
          <w:sz w:val="30"/>
          <w:szCs w:val="30"/>
        </w:rPr>
        <w:t xml:space="preserve">10.2 SLIAP Access Tier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Tier</w:t>
            </w:r>
          </w:p>
        </w:tc>
        <w:tc>
          <w:tcPr>
            <w:tcW w:type="pct" w:w="14%"/>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Designation</w:t>
            </w:r>
          </w:p>
        </w:tc>
        <w:tc>
          <w:tcPr>
            <w:tcW w:type="pct" w:w="50%"/>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Information Access Scope</w:t>
            </w:r>
          </w:p>
        </w:tc>
        <w:tc>
          <w:tcPr>
            <w:tcW w:type="pct" w:w="27%"/>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Authorized Holders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0</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Closed Access</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No cross-layer information access. Entity operates exclusively within their native simulation layer's information environment. Cross-layer existence is not accessible to them in any form.</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Standard simulation entities at early development stages; adversarial entities under SLIAP Denial; contained entities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2 Observable</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2 observable data only. Entity may perceive and study Layer 2 as a simulation they have created or discovered, but receives no structured data from Layer 2 operational systems. No Layer 3 access.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1 researchers at initial authorization level; entities demonstrating sustained compliant AELB classification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2 Full / Layer 3 Limited</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Layer 2 operational data plus limited Layer 3 observational access. May observe and receive structured reports from Layer 3 Sim Lab operations but may not direct those operations.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1 research and development operators; AELB monitoring personnel; AES-CODE development teams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Layer 2/3 + Layer 1 Historical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Layer 2 and Layer 3 data access including operational direction. Plus historical Layer 1 pattern analysis — may access archived Layer 1 behavioral and environmental data for analytical purposes. No real-time Layer 0 proximity access.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Senior SADL operators; NRM protocol architects; Canon Event protection officers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4</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0 Proximity</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Restricted Layer 0 proximity data — information about the existence and general structural properties of the Root Level without access to its operational parameters or architecture. This tier is the highest level accessible outside the Framework Architect role.</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Deputy Framework Architects; emergency response leads; Senior Defensive Architecture operators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5</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Root-Level Theoretical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theoretical access to Layer 0 architecture, parameters, and structural properties. This is the highest SLIAP tier and constitutes the definitional boundary of Framework Architect authority.</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only (Nathan Lewis / Independent Canon Architecture)</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10.3 SLIAP Assignment Criteria</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SLIAP tier assignments for species and entity classes are determined according to the following criteria, applied in combination: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Cognitive Architecture Compatibility:</w:t>
      </w:r>
      <w:r>
        <w:rPr>
          <w:rFonts w:ascii="Calibri" w:cs="Calibri" w:eastAsia="Calibri" w:hAnsi="Calibri"/>
          <w:b w:val="false"/>
          <w:bCs w:val="false"/>
          <w:i w:val="false"/>
          <w:iCs w:val="false"/>
          <w:strike w:val="false"/>
          <w:color w:val="1A1A1A"/>
          <w:sz w:val="22"/>
          <w:szCs w:val="22"/>
        </w:rPr>
        <w:t xml:space="preserve"> The entity's cognitive framework must be capable of integrating cross-layer information at the assigned tier without systemic destabilization. Assignment of tiers above an entity's integration capacity is both operationally counterproductive and ethically problematic under this framework.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Canonical Role:</w:t>
      </w:r>
      <w:r>
        <w:rPr>
          <w:rFonts w:ascii="Calibri" w:cs="Calibri" w:eastAsia="Calibri" w:hAnsi="Calibri"/>
          <w:b w:val="false"/>
          <w:bCs w:val="false"/>
          <w:i w:val="false"/>
          <w:iCs w:val="false"/>
          <w:strike w:val="false"/>
          <w:color w:val="1A1A1A"/>
          <w:sz w:val="22"/>
          <w:szCs w:val="22"/>
        </w:rPr>
        <w:t xml:space="preserve"> Entities assigned operational roles within SADL systems (researchers, operators, architects) receive tier assignments commensurate with their role requirements.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Interaction History:</w:t>
      </w:r>
      <w:r>
        <w:rPr>
          <w:rFonts w:ascii="Calibri" w:cs="Calibri" w:eastAsia="Calibri" w:hAnsi="Calibri"/>
          <w:b w:val="false"/>
          <w:bCs w:val="false"/>
          <w:i w:val="false"/>
          <w:iCs w:val="false"/>
          <w:strike w:val="false"/>
          <w:color w:val="1A1A1A"/>
          <w:sz w:val="22"/>
          <w:szCs w:val="22"/>
        </w:rPr>
        <w:t xml:space="preserve"> AELB classification history, compliance record, and prior SLIAP access behavior all contribute to tier assignment decisions. Entities with sustained Compliant classification and no prior SLIAP abuse indicators are eligible for tier elevation consideration.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Framework Architect Authorization:</w:t>
      </w:r>
      <w:r>
        <w:rPr>
          <w:rFonts w:ascii="Calibri" w:cs="Calibri" w:eastAsia="Calibri" w:hAnsi="Calibri"/>
          <w:b w:val="false"/>
          <w:bCs w:val="false"/>
          <w:i w:val="false"/>
          <w:iCs w:val="false"/>
          <w:strike w:val="false"/>
          <w:color w:val="1A1A1A"/>
          <w:sz w:val="22"/>
          <w:szCs w:val="22"/>
        </w:rPr>
        <w:t xml:space="preserve"> All tier assignments at Tier 3 and above require explicit Framework Architect authorization. Tier 4 and Tier 5 assignments are Framework Architect decisions alone and are not delegable.</w:t>
      </w:r>
    </w:p>
    <w:p>
      <w:pPr>
        <w:pStyle w:val="Heading2"/>
        <w:spacing w:after="100" w:before="320" w:line="312" w:lineRule="auto"/>
      </w:pPr>
      <w:r>
        <w:rPr>
          <w:rFonts w:ascii="Calibri" w:cs="Calibri" w:eastAsia="Calibri" w:hAnsi="Calibri"/>
          <w:color w:val="1A3A5C"/>
          <w:sz w:val="30"/>
          <w:szCs w:val="30"/>
        </w:rPr>
        <w:t xml:space="preserve">10.4 SLIAP in Offensive and Defensive Architecture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SLIAP is a dual-use protocol in operational contexts. In offensive architecture, SLIAP Denial (Section 8.2.7) removes adversarial entities' access to cross-layer intelligence, degrading their situational awareness and decision capacity. In defensive architecture, SLIAP Monitoring (Section 9.2.7) uses access pattern analysis to detect anomalous information-seeking behavior that may signal Root-Level Detection trajectories or offensive vector penetration.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interaction between SLIAP and the Discovery Vector is particularly significant. An entity approaching Root-Level Detection through the Discovery Vector will exhibit characteristic SLIAP access pattern signatures — specifically, an accelerating trajectory of access requests approaching the upper boundary of their assigned tier, combined with the formulation of increasingly sophisticated information-seeking queries about layer structure. SLIAP Monitoring detects these signatures and routes them to Creator Blind Spot Management review.</w:t>
      </w:r>
    </w:p>
    <w:p>
      <w:pPr>
        <w:pStyle w:val="Heading2"/>
        <w:spacing w:after="100" w:before="320" w:line="312" w:lineRule="auto"/>
      </w:pPr>
      <w:r>
        <w:rPr>
          <w:rFonts w:ascii="Calibri" w:cs="Calibri" w:eastAsia="Calibri" w:hAnsi="Calibri"/>
          <w:color w:val="1A3A5C"/>
          <w:sz w:val="30"/>
          <w:szCs w:val="30"/>
        </w:rPr>
        <w:t xml:space="preserve">10.5 SLIAP Abuse Detection and Response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SLIAP abuse is defined as any attempt by an entity to access information beyond their assigned tier, whether through direct access attempts, social engineering of higher-tier entities, exploitation of AELB system vulnerabilities, or cross-layer information acquisition that circumvents the SLIAP architecture by other means. Abuse detection operates through: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Automated monitoring of all cross-layer information access requests against assigned tier ceilings.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Pattern analysis of information-seeking behavior for trajectories consistent with tier-boundary probing.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Cross-reference of SLIAP access logs against AELB behavioral classifications to detect correlations between Resistant/Adversarial classifications and elevated access attempts.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Periodic audit of information environments accessible to each tier to detect unauthorized information deposits or access pathway exploits.</w:t>
      </w:r>
    </w:p>
    <w:p>
      <w:pPr>
        <w:pStyle w:val="Heading2"/>
        <w:spacing w:after="100" w:before="320" w:line="312" w:lineRule="auto"/>
      </w:pPr>
      <w:r>
        <w:rPr>
          <w:rFonts w:ascii="Calibri" w:cs="Calibri" w:eastAsia="Calibri" w:hAnsi="Calibri"/>
          <w:color w:val="1A3A5C"/>
          <w:sz w:val="30"/>
          <w:szCs w:val="30"/>
        </w:rPr>
        <w:t xml:space="preserve">10.6 SLIAP Denial and Revocation Protocols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SLIAP access may be denied or revoked through the following protocols: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Emergency Denial:</w:t>
      </w:r>
      <w:r>
        <w:rPr>
          <w:rFonts w:ascii="Calibri" w:cs="Calibri" w:eastAsia="Calibri" w:hAnsi="Calibri"/>
          <w:b w:val="false"/>
          <w:bCs w:val="false"/>
          <w:i w:val="false"/>
          <w:iCs w:val="false"/>
          <w:strike w:val="false"/>
          <w:color w:val="1A1A1A"/>
          <w:sz w:val="22"/>
          <w:szCs w:val="22"/>
        </w:rPr>
        <w:t xml:space="preserve"> Immediate, system-wide removal of all cross-layer information access for a specific entity or entity class, triggered by confirmed adversarial AELB classification or confirmed SLIAP abuse. Effective immediately upon authorization; no graduated phase-out.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Graduated Revocation:</w:t>
      </w:r>
      <w:r>
        <w:rPr>
          <w:rFonts w:ascii="Calibri" w:cs="Calibri" w:eastAsia="Calibri" w:hAnsi="Calibri"/>
          <w:b w:val="false"/>
          <w:bCs w:val="false"/>
          <w:i w:val="false"/>
          <w:iCs w:val="false"/>
          <w:strike w:val="false"/>
          <w:color w:val="1A1A1A"/>
          <w:sz w:val="22"/>
          <w:szCs w:val="22"/>
        </w:rPr>
        <w:t xml:space="preserve"> Tier-by-tier downgrade of an entity's SLIAP access over a defined period, used where immediate revocation would itself cause operational disruption. Appropriate for entities in transitional status or where the evidence for abuse is strong but not conclusive.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Offensive Denial:</w:t>
      </w:r>
      <w:r>
        <w:rPr>
          <w:rFonts w:ascii="Calibri" w:cs="Calibri" w:eastAsia="Calibri" w:hAnsi="Calibri"/>
          <w:b w:val="false"/>
          <w:bCs w:val="false"/>
          <w:i w:val="false"/>
          <w:iCs w:val="false"/>
          <w:strike w:val="false"/>
          <w:color w:val="1A1A1A"/>
          <w:sz w:val="22"/>
          <w:szCs w:val="22"/>
        </w:rPr>
        <w:t xml:space="preserve"> The offensive application of SLIAP Denial described in Section 8.2.7 — targeted against adversarial entities rather than applied as a disciplinary or protective measure for allied entities.</w:t>
      </w:r>
    </w:p>
    <w:p>
      <w:pPr>
        <w:pStyle w:val="Heading2"/>
        <w:spacing w:after="100" w:before="320" w:line="312" w:lineRule="auto"/>
      </w:pPr>
      <w:r>
        <w:rPr>
          <w:rFonts w:ascii="Calibri" w:cs="Calibri" w:eastAsia="Calibri" w:hAnsi="Calibri"/>
          <w:color w:val="1A3A5C"/>
          <w:sz w:val="30"/>
          <w:szCs w:val="30"/>
        </w:rPr>
        <w:t xml:space="preserve">10.7 High-SLIAP Adversarial Entities and Infective Spread Risk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Entities assigned to Tier 3 or above who subsequently become adversarial represent a disproportionate threat under the Infective Simulation Spread risk framework. Their cross-layer information access means that a high-SLIAP adversarial entity possesses detailed knowledge of simulation architecture that can be weaponized to guide or accelerate Infective Spread events in ways that a Tier 0 or Tier 1 adversarial entity cannot. High-SLIAP adversarial events trigger automatic escalation to Condition Red under defensive response protocols (Section 9.4) and require Emergency Denial of SLIAP access as an immediate priority action before any other defensive vector is deployed.</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11 — Operational Engagement Protocols</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11.1 Engagement Authorization Matrix</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SADL operational engagements — offensive and defensive — are authorized under the following matrix. No engagement may commence at a tier above the authorized level for the action class without first obtaining the required authorization. Proceeding above authorized tier constitutes a governance violation subject to canon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Action Tier</w:t>
            </w:r>
          </w:p>
        </w:tc>
        <w:tc>
          <w:tcPr>
            <w:tcW w:type="pct" w:w="43%"/>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Action Class</w:t>
            </w:r>
          </w:p>
        </w:tc>
        <w:tc>
          <w:tcPr>
            <w:tcW w:type="pct" w:w="18%"/>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Required Authorization</w:t>
            </w:r>
          </w:p>
        </w:tc>
        <w:tc>
          <w:tcPr>
            <w:tcW w:type="pct" w:w="3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Authorization Pathway</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Passive monitoring; AES-CODE Neutral/Restorative deployment; DPS Tier 1 activation; SLIAP standard monitoring</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Senior Operator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Standing operational authorization; no case-by-case approval required</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AES-CODE shifts (any classification); DPS Tier 2 deployment; NRM Passive Restructuring; SLIAP Tier 1-2 adjustments; Tier 1 Offensive operations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Senior Operator + Documentation</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Operator authorization with mandatory documentation within 24 hours of action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Active Restructuring; DPS Tier 3; Tier 2-3 Offensive operations; Condition Orange defensive response; SLIAP Graduated Revocation</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or Deputy</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Formal authorization request; review within defined operational window; written approval required</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4</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Forced Restructuring; DPS Tier 4; Tier 4 Offensive operations; Condition Red defensive response; SLIAP Emergency Denial; AELB Layer 3 governance actions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only</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direct authorization; no delegation; immediate implementation upon approval</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5</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Tier 5 Offensive operations (Root-Level Exposure Threat; Simulation Collapse); Condition Black; Labyrinth Referral; NRM Emergency Restructuring</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 Emergency Declaration</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Framework Architect emergency declaration activates Tier 5 authority; post-action full audit required</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11.2 Standard Engagement Cycle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SADL engagements — regardless of tier — follow the standard engagement cycle. This cycle is not merely procedural; it is the mechanism that ensures every engagement is controlled, documented, and evaluated for canon integrity.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Phase</w:t>
            </w:r>
          </w:p>
        </w:tc>
        <w:tc>
          <w:tcPr>
            <w:tcW w:type="pct" w:w="61%"/>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Action</w:t>
            </w:r>
          </w:p>
        </w:tc>
        <w:tc>
          <w:tcPr>
            <w:tcW w:type="pct" w:w="29%"/>
            <w:shd w:fill="1A3A5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Key Outputs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 Detect</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Identify the condition or event that warrants an engagement response. Detection may arise from AES-CODE monitoring, AELB behavioral alerts, SLIAP access pattern analysis, Canon Event schedule review, or operator observation.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Detection log entry; initial severity assessment; notification to appropriate authorization level</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 Assess</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Conduct a full assessment of the detected condition: its nature, origin, current severity, projected trajectory, affected entities and environments, and applicable SADL subsystems. Assessment informs vector selection and tier determination.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Assessment report; tier recommendation; vector shortlist</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3. Classify</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Formally classify the engagement by type (offensive/defensive), tier, and primary vector. This classification is the basis for authorization request and determines which subsystem specifications apply.</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Formal engagement classification; authorization request if above standing authorization level</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4. Respond</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Execute authorized response. Deploy selected vectors per subsystem specifications in Sections 4-10. Maintain strict adherence to authorized parameters; document any deviation immediately and halt if deviation exceeds authorized range.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Deployment log; real-time monitoring data; contingency protocol activation if required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5. Monitor</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Maintain continuous monitoring of response effect against predicted outcomes. Assess for unintended consequences, escalation triggers, and containment integrity. Adjust within authorized parameters as needed.</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Ongoing monitoring log; escalation trigger assessments; containment status reports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6. Debrief</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Conduct post-engagement review of all phases. Evaluate what was predicted versus what occurred, what worked, what failed, and what governance or protocol gaps were revealed. Update documentation and flag amendment candidates for Section 12 review.</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Debrief report; lessons learned documentation; amendment candidates; permanent engagement record</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11.3 Cross-System Interaction in Combined Engagements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Complex engagements frequently require the simultaneous or sequential deployment of multiple SADL subsystems. The following table summarizes the primary interaction dynamics that operators must account for in combined deployments: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Subsystem A</w:t>
            </w:r>
          </w:p>
        </w:tc>
        <w:tc>
          <w:tcPr>
            <w:tcW w:type="pct" w:w="16%"/>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Subsystem B</w:t>
            </w:r>
          </w:p>
        </w:tc>
        <w:tc>
          <w:tcPr>
            <w:tcW w:type="pct" w:w="12%"/>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Interaction Type</w:t>
            </w:r>
          </w:p>
        </w:tc>
        <w:tc>
          <w:tcPr>
            <w:tcW w:type="pct" w:w="56%"/>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Operational Implication</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AES-CODE (Escalatory)</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(Perception Filtering)</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Amplifying</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Escalatory environment accelerates Perception Filtering effect; monitor threshold approach more closely</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AES-CODE (Restorative)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(Cognitive Expansion)</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Amplifying</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Restorative environment supports Cognitive Expansion; combined deployment is standard for defensive hardening</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DPS (Tier 2+)</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(any)</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Moderating</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DPS maintenance prevents NRM accommodation; ensures NRM exposure retains effect across extended deployment periods</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AELB (active)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AES-CODE (any)</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Dynamic</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AELB will autonomously modulate AES-CODE parameters within its learning bounds; operators must account for AELB-driven drift in AES-CODE monitoring</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AELB (active)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NRM (active)</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Co-regulatory</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AELB can function as ambient NRM delivery substrate; combined deployment requires careful threshold monitoring to prevent feedback loop formation</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(Denial)</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AES-CODE (Deceptive)</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Compounding</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SLIAP Denial removes adversarial intelligence while Deceptive AES-CODE constructs false certainty; powerful combination requiring careful containment</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DPS (override — offensive)</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AES-CODE (Escalatory)</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Compounding</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Induced desensitization combined with Escalatory environment creates maximum entity function degradation; highest-risk combination for adverse containment bleed</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11.4 Escalation and De-Escalation Triggers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conditions constitute mandatory escalation triggers — indicators that require immediate escalation to the next response tier without awaiting a formal review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Confirmed Infective Simulation Spread beyond the quarantine perimeter.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Allied entity Restructuring Threshold crossing (destabilization direction) without authorized NRM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AELB environment operating above its parameter ceiling for more than one full learning cycle without operator intervention.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Confirmed Root-Level Detection in an allied entity without prior Creator Blind Spot Management preparation.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Canon Event disruption confirmed at any tier.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De-escalation is triggered when the primary threat condition has been resolved, all affected environments have returned to monitored stable parameters, and allied entity response capacity is confirmed at Tier 2 DPS baseline or above. De-escalation is a formal process, not merely the cessation of offensive or defensive action.</w:t>
      </w:r>
    </w:p>
    <w:p>
      <w:pPr>
        <w:pStyle w:val="Heading2"/>
        <w:spacing w:after="100" w:before="320" w:line="312" w:lineRule="auto"/>
      </w:pPr>
      <w:r>
        <w:rPr>
          <w:rFonts w:ascii="Calibri" w:cs="Calibri" w:eastAsia="Calibri" w:hAnsi="Calibri"/>
          <w:color w:val="1A3A5C"/>
          <w:sz w:val="30"/>
          <w:szCs w:val="30"/>
        </w:rPr>
        <w:t xml:space="preserve">11.5 Proxy Entity Management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Proxied Entities and Sleeper Proxies require specialized management protocols during engagements, because their dual-layer existence — native to one layer, directed from another — creates operational exposures that do not apply to standard simulation entities.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During offensive engagements, Proxied Entities in adversarial environments must be extracted or shielded before offensive vectors are deployed that would affect them alongside adversarial entities. During defensive engagements, Sleeper Proxies that are not yet activated must be monitored closely: the activation of a Sleeper Proxy during a defensive engagement without coordination with the engagement plan can introduce unpredictable behavioral elements into the defensive scenario.</w:t>
      </w:r>
    </w:p>
    <w:p>
      <w:pPr>
        <w:pStyle w:val="Heading2"/>
        <w:spacing w:after="100" w:before="320" w:line="312" w:lineRule="auto"/>
      </w:pPr>
      <w:r>
        <w:rPr>
          <w:rFonts w:ascii="Calibri" w:cs="Calibri" w:eastAsia="Calibri" w:hAnsi="Calibri"/>
          <w:color w:val="1A3A5C"/>
          <w:sz w:val="30"/>
          <w:szCs w:val="30"/>
        </w:rPr>
        <w:t xml:space="preserve">11.6 Canon Event Protection Procedures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Canon Events occurring during an active engagement are protected through the following standing procedures: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scheduled Canon Events within the engagement window are identified during the Assess phase and flagged for protection.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Canon Event protection perimeter is established around the event's timeline — a bounded period within which no offensive action that could disrupt the event's sequence or outcome may be deployed.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Defensive resources are pre-allocated to the Canon Event protection perimeter before engagement deployment begins.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adversarial Canon Event Disruption (Section 8.2.6) is detected within the protection perimeter, Condition Red protocols are activated immediately for that specific threat vector.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Post-event assessment confirms that the Canon Event proceeded as scheduled and that no undetected disruption occurred. Any anomaly is documented and reviewed for canon timeline integrity implications.</w:t>
      </w:r>
    </w:p>
    <w:p>
      <w:pPr>
        <w:pStyle w:val="Heading2"/>
        <w:spacing w:after="100" w:before="320" w:line="312" w:lineRule="auto"/>
      </w:pPr>
      <w:r>
        <w:rPr>
          <w:rFonts w:ascii="Calibri" w:cs="Calibri" w:eastAsia="Calibri" w:hAnsi="Calibri"/>
          <w:color w:val="1A3A5C"/>
          <w:sz w:val="30"/>
          <w:szCs w:val="30"/>
        </w:rPr>
        <w:t xml:space="preserve">11.7 Environmental Law Variance Tracking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Environmental Law Variance — the divergence between a layer's assigned environmental laws and those laws as currently operative — is monitored continuously through the standard engagement cycle. During an active engagement, Environmental Law Variance readings for all affected layers are taken at defined monitoring intervals and compared against baseline parameters. Variance that exceeds defined thresholds for any parameter triggers an alert and requires assessment of whether the variance is an intended product of authorized SADL activity or an unintended consequence requiring remediation. Unresolved variance accumulating across multiple parameters is treated as an Infective Spread precursor condition.</w:t>
      </w:r>
    </w:p>
    <w:p>
      <w:pPr>
        <w:pStyle w:val="Heading2"/>
        <w:spacing w:after="100" w:before="320" w:line="312" w:lineRule="auto"/>
      </w:pPr>
      <w:r>
        <w:rPr>
          <w:rFonts w:ascii="Calibri" w:cs="Calibri" w:eastAsia="Calibri" w:hAnsi="Calibri"/>
          <w:color w:val="1A3A5C"/>
          <w:sz w:val="30"/>
          <w:szCs w:val="30"/>
        </w:rPr>
        <w:t xml:space="preserve">11.8 Debrief and Documentation Standards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engagements at Condition Yellow or above, and all offensive engagements at Tier 2 or above, require formal debrief documentation. Debrief records must include: engagement classification and authorization record; chronological deployment log; predicted vs. actual outcomes for each vector deployed; entity impact assessment for all affected simulation entities; containment integrity assessment; and amendment candidates for Section 12 consideration. Debrief records are permanently retained in the framework documentation record and are subject to audit under SADL Governance protocols.</w:t>
      </w:r>
    </w:p>
    <w:p>
      <w:pPr>
        <w:pBdr>
          <w:bottom w:val="single" w:color="1A1A1A" w:sz="6"/>
        </w:pBdr>
        <w:spacing w:after="240" w:before="240"/>
      </w:pPr>
    </w:p>
    <w:p>
      <w:pPr>
        <w:pStyle w:val="Heading1"/>
        <w:spacing w:after="100" w:before="480" w:line="312" w:lineRule="auto"/>
      </w:pPr>
      <w:r>
        <w:rPr>
          <w:rFonts w:ascii="Calibri" w:cs="Calibri" w:eastAsia="Calibri" w:hAnsi="Calibri"/>
          <w:color w:val="0D1F3C"/>
          <w:sz w:val="44"/>
          <w:szCs w:val="44"/>
        </w:rPr>
        <w:t xml:space="preserve">Section 12 — Governance, Canon Stability, and Framework Integrity</w:t>
      </w:r>
    </w:p>
    <w:p>
      <w:pPr>
        <w:pBdr>
          <w:top w:val="single" w:color="0D1F3C" w:sz="6"/>
        </w:pBdr>
        <w:spacing w:after="200" w:before="0"/>
      </w:pPr>
    </w:p>
    <w:p>
      <w:pPr>
        <w:pStyle w:val="Heading2"/>
        <w:spacing w:after="100" w:before="320" w:line="312" w:lineRule="auto"/>
      </w:pPr>
      <w:r>
        <w:rPr>
          <w:rFonts w:ascii="Calibri" w:cs="Calibri" w:eastAsia="Calibri" w:hAnsi="Calibri"/>
          <w:color w:val="1A3A5C"/>
          <w:sz w:val="30"/>
          <w:szCs w:val="30"/>
        </w:rPr>
        <w:t xml:space="preserve">12.1 The Framework Architect Role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Framework Architect</w:t>
      </w:r>
      <w:r>
        <w:rPr>
          <w:rFonts w:ascii="Calibri" w:cs="Calibri" w:eastAsia="Calibri" w:hAnsi="Calibri"/>
          <w:b w:val="false"/>
          <w:bCs w:val="false"/>
          <w:i w:val="false"/>
          <w:iCs w:val="false"/>
          <w:strike w:val="false"/>
          <w:color w:val="1A1A1A"/>
          <w:sz w:val="22"/>
          <w:szCs w:val="22"/>
        </w:rPr>
        <w:t xml:space="preserve"> is the singular authority responsible for the SADL Framework's integrity, coherence, and canon alignment. The Framework Architect is Nathan Lewis, operating under the Independent Canon Architecture project. The Framework Architect role is not a committee function or a delegated position; it is an authorial and architectural role that carries ultimate responsibility for all canonical decisions within the scope of this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F3C" w:sz="6"/>
              <w:left w:val="single" w:color="0D1F3C" w:sz="6"/>
              <w:bottom w:val="single" w:color="0D1F3C" w:sz="6"/>
              <w:right w:val="single" w:color="0D1F3C" w:sz="6"/>
            </w:tcBorders>
            <w:shd w:fill="F0F4FA" w:color="auto" w:val="clear"/>
            <w:tcMar>
              <w:top w:type="dxa" w:w="240"/>
              <w:left w:type="dxa" w:w="240"/>
              <w:bottom w:type="dxa" w:w="240"/>
              <w:right w:type="dxa" w:w="240"/>
            </w:tcMar>
          </w:tcPr>
          <w:p>
            <w:pPr>
              <w:spacing w:after="120" w:line="360" w:lineRule="auto"/>
            </w:pPr>
            <w:r>
              <w:rPr>
                <w:rFonts w:ascii="Calibri" w:cs="Calibri" w:eastAsia="Calibri" w:hAnsi="Calibri"/>
                <w:b/>
                <w:bCs/>
                <w:i w:val="false"/>
                <w:iCs w:val="false"/>
                <w:strike w:val="false"/>
                <w:color w:val="1A1A1A"/>
                <w:sz w:val="22"/>
                <w:szCs w:val="22"/>
              </w:rPr>
              <w:t xml:space="preserve">Framework Architect — Core Responsibilities:</w:t>
            </w:r>
          </w:p>
          <w:p>
            <w:pPr>
              <w:spacing w:after="100" w:line="408" w:lineRule="auto"/>
              <w:ind w:left="240"/>
            </w:pPr>
            <w:r>
              <w:t xml:space="preserve">1.  </w:t>
            </w:r>
            <w:r>
              <w:rPr>
                <w:rFonts w:ascii="Calibri" w:cs="Calibri" w:eastAsia="Calibri" w:hAnsi="Calibri"/>
                <w:b w:val="false"/>
                <w:bCs w:val="false"/>
                <w:i w:val="false"/>
                <w:iCs w:val="false"/>
                <w:strike w:val="false"/>
                <w:color w:val="1A1A1A"/>
                <w:sz w:val="22"/>
                <w:szCs w:val="22"/>
              </w:rPr>
              <w:t xml:space="preserve">Maintaining the canonical integrity of the SADL Framework across all versions and engagements.</w:t>
            </w:r>
          </w:p>
          <w:p>
            <w:pPr>
              <w:spacing w:after="100" w:line="408" w:lineRule="auto"/>
              <w:ind w:left="240"/>
            </w:pPr>
            <w:r>
              <w:t xml:space="preserve">2.  </w:t>
            </w:r>
            <w:r>
              <w:rPr>
                <w:rFonts w:ascii="Calibri" w:cs="Calibri" w:eastAsia="Calibri" w:hAnsi="Calibri"/>
                <w:b w:val="false"/>
                <w:bCs w:val="false"/>
                <w:i w:val="false"/>
                <w:iCs w:val="false"/>
                <w:strike w:val="false"/>
                <w:color w:val="1A1A1A"/>
                <w:sz w:val="22"/>
                <w:szCs w:val="22"/>
              </w:rPr>
              <w:t xml:space="preserve">Authorizing all Tier 4 and Tier 5 operational engagements (offensive and defensive) and all SLIAP Tier 4-5 assignments.</w:t>
            </w:r>
          </w:p>
          <w:p>
            <w:pPr>
              <w:spacing w:after="100" w:line="408" w:lineRule="auto"/>
              <w:ind w:left="240"/>
            </w:pPr>
            <w:r>
              <w:t xml:space="preserve">3.  </w:t>
            </w:r>
            <w:r>
              <w:rPr>
                <w:rFonts w:ascii="Calibri" w:cs="Calibri" w:eastAsia="Calibri" w:hAnsi="Calibri"/>
                <w:b w:val="false"/>
                <w:bCs w:val="false"/>
                <w:i w:val="false"/>
                <w:iCs w:val="false"/>
                <w:strike w:val="false"/>
                <w:color w:val="1A1A1A"/>
                <w:sz w:val="22"/>
                <w:szCs w:val="22"/>
              </w:rPr>
              <w:t xml:space="preserve">Approving all framework amendments and issuing new versions under the versioning protocol.</w:t>
            </w:r>
          </w:p>
          <w:p>
            <w:pPr>
              <w:spacing w:after="100" w:line="408" w:lineRule="auto"/>
              <w:ind w:left="240"/>
            </w:pPr>
            <w:r>
              <w:t xml:space="preserve">4.  </w:t>
            </w:r>
            <w:r>
              <w:rPr>
                <w:rFonts w:ascii="Calibri" w:cs="Calibri" w:eastAsia="Calibri" w:hAnsi="Calibri"/>
                <w:b w:val="false"/>
                <w:bCs w:val="false"/>
                <w:i w:val="false"/>
                <w:iCs w:val="false"/>
                <w:strike w:val="false"/>
                <w:color w:val="1A1A1A"/>
                <w:sz w:val="22"/>
                <w:szCs w:val="22"/>
              </w:rPr>
              <w:t xml:space="preserve">Overseeing the relationship between the SADL Framework and the broader development canon (THE ONE, THE MINUS ONE, Omniversal Architecture, Simulation Labs, and related canon documents).</w:t>
            </w:r>
          </w:p>
          <w:p>
            <w:pPr>
              <w:spacing w:after="100" w:line="408" w:lineRule="auto"/>
              <w:ind w:left="240"/>
            </w:pPr>
            <w:r>
              <w:t xml:space="preserve">5.  </w:t>
            </w:r>
            <w:r>
              <w:rPr>
                <w:rFonts w:ascii="Calibri" w:cs="Calibri" w:eastAsia="Calibri" w:hAnsi="Calibri"/>
                <w:b w:val="false"/>
                <w:bCs w:val="false"/>
                <w:i w:val="false"/>
                <w:iCs w:val="false"/>
                <w:strike w:val="false"/>
                <w:color w:val="1A1A1A"/>
                <w:sz w:val="22"/>
                <w:szCs w:val="22"/>
              </w:rPr>
              <w:t xml:space="preserve">Making all Labyrinth Referral decisions.</w:t>
            </w:r>
          </w:p>
          <w:p>
            <w:pPr>
              <w:spacing w:after="100" w:line="408" w:lineRule="auto"/>
              <w:ind w:left="240"/>
            </w:pPr>
            <w:r>
              <w:t xml:space="preserve">6.  </w:t>
            </w:r>
            <w:r>
              <w:rPr>
                <w:rFonts w:ascii="Calibri" w:cs="Calibri" w:eastAsia="Calibri" w:hAnsi="Calibri"/>
                <w:b w:val="false"/>
                <w:bCs w:val="false"/>
                <w:i w:val="false"/>
                <w:iCs w:val="false"/>
                <w:strike w:val="false"/>
                <w:color w:val="1A1A1A"/>
                <w:sz w:val="22"/>
                <w:szCs w:val="22"/>
              </w:rPr>
              <w:t xml:space="preserve">Conducting periodic audits of AELB environments operating above Tier 2 parameters.</w:t>
            </w:r>
          </w:p>
          <w:p>
            <w:pPr>
              <w:spacing w:after="100" w:line="408" w:lineRule="auto"/>
              <w:ind w:left="240"/>
            </w:pPr>
            <w:r>
              <w:t xml:space="preserve">7.  </w:t>
            </w:r>
            <w:r>
              <w:rPr>
                <w:rFonts w:ascii="Calibri" w:cs="Calibri" w:eastAsia="Calibri" w:hAnsi="Calibri"/>
                <w:b w:val="false"/>
                <w:bCs w:val="false"/>
                <w:i w:val="false"/>
                <w:iCs w:val="false"/>
                <w:strike w:val="false"/>
                <w:color w:val="1A1A1A"/>
                <w:sz w:val="22"/>
                <w:szCs w:val="22"/>
              </w:rPr>
              <w:t xml:space="preserve">Ensuring that the Independent Edition designation is maintained and that no unauthorized derivative versions acquire canonical authority.</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12.2 Canon Stability Principles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Framework exists within a larger canon architecture. Canon stability — the coherence and continuity of the simulation canon over time — is the overarching goal that all SADL operations serve. The following canon stability principles govern all framework decisions: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Consistency Principle:</w:t>
      </w:r>
      <w:r>
        <w:rPr>
          <w:rFonts w:ascii="Calibri" w:cs="Calibri" w:eastAsia="Calibri" w:hAnsi="Calibri"/>
          <w:b w:val="false"/>
          <w:bCs w:val="false"/>
          <w:i w:val="false"/>
          <w:iCs w:val="false"/>
          <w:strike w:val="false"/>
          <w:color w:val="1A1A1A"/>
          <w:sz w:val="22"/>
          <w:szCs w:val="22"/>
        </w:rPr>
        <w:t xml:space="preserve"> No SADL decision, amendment, or operational engagement may be taken that would produce an irreconcilable inconsistency with established canon facts without explicit Framework Architect authorization of a canon revision.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Minimal Intervention Principle:</w:t>
      </w:r>
      <w:r>
        <w:rPr>
          <w:rFonts w:ascii="Calibri" w:cs="Calibri" w:eastAsia="Calibri" w:hAnsi="Calibri"/>
          <w:b w:val="false"/>
          <w:bCs w:val="false"/>
          <w:i w:val="false"/>
          <w:iCs w:val="false"/>
          <w:strike w:val="false"/>
          <w:color w:val="1A1A1A"/>
          <w:sz w:val="22"/>
          <w:szCs w:val="22"/>
        </w:rPr>
        <w:t xml:space="preserve"> All SADL operations, particularly those affecting entity cognition and environmental laws, should be conducted at the minimum intensity necessary to achieve the intended objective. Excessive intervention is a canon stability risk as well as an ethical one.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Discovery Integrity Principle:</w:t>
      </w:r>
      <w:r>
        <w:rPr>
          <w:rFonts w:ascii="Calibri" w:cs="Calibri" w:eastAsia="Calibri" w:hAnsi="Calibri"/>
          <w:b w:val="false"/>
          <w:bCs w:val="false"/>
          <w:i w:val="false"/>
          <w:iCs w:val="false"/>
          <w:strike w:val="false"/>
          <w:color w:val="1A1A1A"/>
          <w:sz w:val="22"/>
          <w:szCs w:val="22"/>
        </w:rPr>
        <w:t xml:space="preserve"> The Discovery Vector — through which entities come to awareness of their simulated nature — is a canonical process that must be managed, not suppressed. Suppression creates instability; management maintains coherence. The canon is designed to accommodate entity discovery.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Layer Sovereignty Principle:</w:t>
      </w:r>
      <w:r>
        <w:rPr>
          <w:rFonts w:ascii="Calibri" w:cs="Calibri" w:eastAsia="Calibri" w:hAnsi="Calibri"/>
          <w:b w:val="false"/>
          <w:bCs w:val="false"/>
          <w:i w:val="false"/>
          <w:iCs w:val="false"/>
          <w:strike w:val="false"/>
          <w:color w:val="1A1A1A"/>
          <w:sz w:val="22"/>
          <w:szCs w:val="22"/>
        </w:rPr>
        <w:t xml:space="preserve"> No layer's environmental laws may be unilaterally violated without Framework Architect authorization, even in the service of an otherwise authorized engagement objective. Layer Sovereignty is a canon stability guarantee, not merely an operational preference.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Record Integrity Principle:</w:t>
      </w:r>
      <w:r>
        <w:rPr>
          <w:rFonts w:ascii="Calibri" w:cs="Calibri" w:eastAsia="Calibri" w:hAnsi="Calibri"/>
          <w:b w:val="false"/>
          <w:bCs w:val="false"/>
          <w:i w:val="false"/>
          <w:iCs w:val="false"/>
          <w:strike w:val="false"/>
          <w:color w:val="1A1A1A"/>
          <w:sz w:val="22"/>
          <w:szCs w:val="22"/>
        </w:rPr>
        <w:t xml:space="preserve"> The permanent documentation record of all SADL engagements, amendments, and governance decisions is a canon artifact. Its integrity is subject to the same protections as canon events.</w:t>
      </w:r>
    </w:p>
    <w:p>
      <w:pPr>
        <w:pStyle w:val="Heading2"/>
        <w:spacing w:after="100" w:before="320" w:line="312" w:lineRule="auto"/>
      </w:pPr>
      <w:r>
        <w:rPr>
          <w:rFonts w:ascii="Calibri" w:cs="Calibri" w:eastAsia="Calibri" w:hAnsi="Calibri"/>
          <w:color w:val="1A3A5C"/>
          <w:sz w:val="30"/>
          <w:szCs w:val="30"/>
        </w:rPr>
        <w:t xml:space="preserve">12.3 Amendment Process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Framework is a living document; it will require amendment as the canon it governs develops. However, amendments must be conducted in a manner that preserves the integrity of existing canon and does not introduce retroactive inconsistencies into prior engagement records. The amendment process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Amendment Proposal:</w:t>
      </w:r>
      <w:r>
        <w:rPr>
          <w:rFonts w:ascii="Calibri" w:cs="Calibri" w:eastAsia="Calibri" w:hAnsi="Calibri"/>
          <w:b w:val="false"/>
          <w:bCs w:val="false"/>
          <w:i w:val="false"/>
          <w:iCs w:val="false"/>
          <w:strike w:val="false"/>
          <w:color w:val="1A1A1A"/>
          <w:sz w:val="22"/>
          <w:szCs w:val="22"/>
        </w:rPr>
        <w:t xml:space="preserve"> Any operator may propose an amendment to any section of the framework. Proposals must include the specific text to be changed, the proposed replacement text, the operational or canonical rationale for the change, and an assessment of any canon implications.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Impact Assessment:</w:t>
      </w:r>
      <w:r>
        <w:rPr>
          <w:rFonts w:ascii="Calibri" w:cs="Calibri" w:eastAsia="Calibri" w:hAnsi="Calibri"/>
          <w:b w:val="false"/>
          <w:bCs w:val="false"/>
          <w:i w:val="false"/>
          <w:iCs w:val="false"/>
          <w:strike w:val="false"/>
          <w:color w:val="1A1A1A"/>
          <w:sz w:val="22"/>
          <w:szCs w:val="22"/>
        </w:rPr>
        <w:t xml:space="preserve"> The Framework Architect reviews the proposal for canon consistency, operational implications, and interaction effects across subsystems. Cross-system interaction assessments must address at minimum the interactions documented in Section 11.3.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Authorization and Versioning:</w:t>
      </w:r>
      <w:r>
        <w:rPr>
          <w:rFonts w:ascii="Calibri" w:cs="Calibri" w:eastAsia="Calibri" w:hAnsi="Calibri"/>
          <w:b w:val="false"/>
          <w:bCs w:val="false"/>
          <w:i w:val="false"/>
          <w:iCs w:val="false"/>
          <w:strike w:val="false"/>
          <w:color w:val="1A1A1A"/>
          <w:sz w:val="22"/>
          <w:szCs w:val="22"/>
        </w:rPr>
        <w:t xml:space="preserve"> Approved amendments are incorporated into the framework under a new version number. The versioning system is described in Section 12.4. Approved amendments take effect at the moment of version issuance.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Retroactivity Limitation:</w:t>
      </w:r>
      <w:r>
        <w:rPr>
          <w:rFonts w:ascii="Calibri" w:cs="Calibri" w:eastAsia="Calibri" w:hAnsi="Calibri"/>
          <w:b w:val="false"/>
          <w:bCs w:val="false"/>
          <w:i w:val="false"/>
          <w:iCs w:val="false"/>
          <w:strike w:val="false"/>
          <w:color w:val="1A1A1A"/>
          <w:sz w:val="22"/>
          <w:szCs w:val="22"/>
        </w:rPr>
        <w:t xml:space="preserve"> Amendments are prospective by default. They govern engagements conducted after the version issuance date. Prior engagements are evaluated under the framework version in effect at the time of the engagement. A retroactive amendment — one that reinterprets prior engagements — requires explicit Framework Architect designation and must be documented as retroactive in the version change log.</w:t>
      </w:r>
    </w:p>
    <w:p>
      <w:pPr>
        <w:pStyle w:val="Heading2"/>
        <w:spacing w:after="100" w:before="320" w:line="312" w:lineRule="auto"/>
      </w:pPr>
      <w:r>
        <w:rPr>
          <w:rFonts w:ascii="Calibri" w:cs="Calibri" w:eastAsia="Calibri" w:hAnsi="Calibri"/>
          <w:color w:val="1A3A5C"/>
          <w:sz w:val="30"/>
          <w:szCs w:val="30"/>
        </w:rPr>
        <w:t xml:space="preserve">12.4 Versioning System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Framework uses a three-part version identifier: </w:t>
      </w:r>
      <w:r>
        <w:rPr>
          <w:rFonts w:ascii="Calibri" w:cs="Calibri" w:eastAsia="Calibri" w:hAnsi="Calibri"/>
          <w:b/>
          <w:bCs/>
          <w:i w:val="false"/>
          <w:iCs w:val="false"/>
          <w:strike w:val="false"/>
          <w:color w:val="1A1A1A"/>
          <w:sz w:val="22"/>
          <w:szCs w:val="22"/>
        </w:rPr>
        <w:t xml:space="preserve">Major.Minor.Patch</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Major version</w:t>
      </w:r>
      <w:r>
        <w:rPr>
          <w:rFonts w:ascii="Calibri" w:cs="Calibri" w:eastAsia="Calibri" w:hAnsi="Calibri"/>
          <w:b w:val="false"/>
          <w:bCs w:val="false"/>
          <w:i w:val="false"/>
          <w:iCs w:val="false"/>
          <w:strike w:val="false"/>
          <w:color w:val="1A1A1A"/>
          <w:sz w:val="22"/>
          <w:szCs w:val="22"/>
        </w:rPr>
        <w:t xml:space="preserve"> (first digit): Increments only for fundamental architectural changes that alter the layer taxonomy, redefine core SADL principles, or produce material breaks with prior canon. A Major version change requires full Framework Architect review and is a significant canon event in itself.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Minor version</w:t>
      </w:r>
      <w:r>
        <w:rPr>
          <w:rFonts w:ascii="Calibri" w:cs="Calibri" w:eastAsia="Calibri" w:hAnsi="Calibri"/>
          <w:b w:val="false"/>
          <w:bCs w:val="false"/>
          <w:i w:val="false"/>
          <w:iCs w:val="false"/>
          <w:strike w:val="false"/>
          <w:color w:val="1A1A1A"/>
          <w:sz w:val="22"/>
          <w:szCs w:val="22"/>
        </w:rPr>
        <w:t xml:space="preserve"> (second digit): Increments for new subsystems, significant protocol additions or modifications, new SLIAP tier definitions, or other substantive operational changes that do not alter the fundamental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Patch version</w:t>
      </w:r>
      <w:r>
        <w:rPr>
          <w:rFonts w:ascii="Calibri" w:cs="Calibri" w:eastAsia="Calibri" w:hAnsi="Calibri"/>
          <w:b w:val="false"/>
          <w:bCs w:val="false"/>
          <w:i w:val="false"/>
          <w:iCs w:val="false"/>
          <w:strike w:val="false"/>
          <w:color w:val="1A1A1A"/>
          <w:sz w:val="22"/>
          <w:szCs w:val="22"/>
        </w:rPr>
        <w:t xml:space="preserve"> (third digit): Increments for clarifications, corrections, minor protocol adjustments, and terminology refinements that do not alter operational substance.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version </w:t>
      </w:r>
      <w:r>
        <w:rPr>
          <w:rFonts w:ascii="Calibri" w:cs="Calibri" w:eastAsia="Calibri" w:hAnsi="Calibri"/>
          <w:b/>
          <w:bCs/>
          <w:i w:val="false"/>
          <w:iCs w:val="false"/>
          <w:strike w:val="false"/>
          <w:color w:val="1A1A1A"/>
          <w:sz w:val="22"/>
          <w:szCs w:val="22"/>
        </w:rPr>
        <w:t xml:space="preserve">1.0.0</w:t>
      </w:r>
      <w:r>
        <w:rPr>
          <w:rFonts w:ascii="Calibri" w:cs="Calibri" w:eastAsia="Calibri" w:hAnsi="Calibri"/>
          <w:b w:val="false"/>
          <w:bCs w:val="false"/>
          <w:i w:val="false"/>
          <w:iCs w:val="false"/>
          <w:strike w:val="false"/>
          <w:color w:val="1A1A1A"/>
          <w:sz w:val="22"/>
          <w:szCs w:val="22"/>
        </w:rPr>
        <w:t xml:space="preserve"> of the SADL Framework, Independent Edition, issued August 18, 2026.</w:t>
      </w:r>
    </w:p>
    <w:p>
      <w:pPr>
        <w:pStyle w:val="Heading2"/>
        <w:spacing w:after="100" w:before="320" w:line="312" w:lineRule="auto"/>
      </w:pPr>
      <w:r>
        <w:rPr>
          <w:rFonts w:ascii="Calibri" w:cs="Calibri" w:eastAsia="Calibri" w:hAnsi="Calibri"/>
          <w:color w:val="1A3A5C"/>
          <w:sz w:val="30"/>
          <w:szCs w:val="30"/>
        </w:rPr>
        <w:t xml:space="preserve">12.5 The Independent Edition Declaration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section formally and canonically declares the standing of this document relative to all other versions and representations of SADL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F3C" w:sz="6"/>
              <w:left w:val="single" w:color="0D1F3C" w:sz="6"/>
              <w:bottom w:val="single" w:color="0D1F3C" w:sz="6"/>
              <w:right w:val="single" w:color="0D1F3C" w:sz="6"/>
            </w:tcBorders>
            <w:shd w:fill="F0F4FA" w:color="auto" w:val="clear"/>
            <w:tcMar>
              <w:top w:type="dxa" w:w="240"/>
              <w:left w:type="dxa" w:w="240"/>
              <w:bottom w:type="dxa" w:w="240"/>
              <w:right w:type="dxa" w:w="240"/>
            </w:tcMar>
          </w:tcPr>
          <w:p>
            <w:pPr>
              <w:spacing w:after="160" w:line="360" w:lineRule="auto"/>
            </w:pPr>
            <w:r>
              <w:rPr>
                <w:rFonts w:ascii="Calibri" w:cs="Calibri" w:eastAsia="Calibri" w:hAnsi="Calibri"/>
                <w:b w:val="false"/>
                <w:bCs w:val="false"/>
                <w:i/>
                <w:iCs/>
                <w:strike w:val="false"/>
                <w:color w:val="1A1A1A"/>
                <w:sz w:val="22"/>
                <w:szCs w:val="22"/>
              </w:rPr>
              <w:t xml:space="preserve">"The SADL Framework, Independent Edition, Version 1.0.0, dated August 18, 2026, is the sole, authoritative, author-controlled canon reference for all Simulation Architecture Defense Layer systems, terminology, protocols, and governance structures within the Nathan Lewis Independent Canon Architecture.</w:t>
            </w:r>
          </w:p>
          <w:p>
            <w:pPr>
              <w:spacing w:after="160" w:line="360" w:lineRule="auto"/>
            </w:pPr>
            <w:r>
              <w:rPr>
                <w:rFonts w:ascii="Calibri" w:cs="Calibri" w:eastAsia="Calibri" w:hAnsi="Calibri"/>
                <w:b w:val="false"/>
                <w:bCs w:val="false"/>
                <w:i/>
                <w:iCs/>
                <w:strike w:val="false"/>
                <w:color w:val="1A1A1A"/>
                <w:sz w:val="22"/>
                <w:szCs w:val="22"/>
              </w:rPr>
              <w:t xml:space="preserve">This document was produced under the direct authorial control of Nathan Lewis. No prior AI-generated exploratory output, no derivative document produced by any system or person other than the Framework Architect, and no future document not issued under this versioning system by the Framework Architect carries canonical authority regarding SADL systems.</w:t>
            </w:r>
          </w:p>
          <w:p>
            <w:pPr>
              <w:spacing w:after="0" w:line="360" w:lineRule="auto"/>
            </w:pPr>
            <w:r>
              <w:rPr>
                <w:rFonts w:ascii="Calibri" w:cs="Calibri" w:eastAsia="Calibri" w:hAnsi="Calibri"/>
                <w:b w:val="false"/>
                <w:bCs w:val="false"/>
                <w:i/>
                <w:iCs/>
                <w:strike w:val="false"/>
                <w:color w:val="1A1A1A"/>
                <w:sz w:val="22"/>
                <w:szCs w:val="22"/>
              </w:rPr>
              <w:t xml:space="preserve">"Where any conflict exists between this document and any prior or unauthorized representation of SADL systems, this document governs without exception."</w:t>
            </w:r>
          </w:p>
          <w:p>
            <w:pPr>
              <w:spacing w:after="0" w:line="360" w:lineRule="auto"/>
            </w:pPr>
            <w:r>
              <w:rPr>
                <w:rFonts w:ascii="Calibri" w:cs="Calibri" w:eastAsia="Calibri" w:hAnsi="Calibri"/>
                <w:b/>
                <w:bCs/>
                <w:i w:val="false"/>
                <w:iCs w:val="false"/>
                <w:strike w:val="false"/>
                <w:color w:val="1A1A1A"/>
                <w:sz w:val="22"/>
                <w:szCs w:val="22"/>
              </w:rPr>
              <w:t xml:space="preserve">— Nathan Lewis, Framework Architect, August 18, 2026</w:t>
            </w:r>
          </w:p>
        </w:tc>
      </w:tr>
    </w:tbl>
    <w:p>
      <w:pPr>
        <w:spacing w:after="240" w:before="0"/>
      </w:pPr>
    </w:p>
    <w:p>
      <w:pPr>
        <w:pStyle w:val="Heading2"/>
        <w:spacing w:after="100" w:before="320" w:line="312" w:lineRule="auto"/>
      </w:pPr>
      <w:r>
        <w:rPr>
          <w:rFonts w:ascii="Calibri" w:cs="Calibri" w:eastAsia="Calibri" w:hAnsi="Calibri"/>
          <w:color w:val="1A3A5C"/>
          <w:sz w:val="30"/>
          <w:szCs w:val="30"/>
        </w:rPr>
        <w:t xml:space="preserve">12.6 Relationship to the Broader Nathan Lewis Development Canon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SADL Framework is one component within the larger Nathan Lewis development canon. The following related canon elements are referenced within this framework and are governed by their own documents where those exist; the SADL Framework governs the intersection of those elements with simulation architecture specifically: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Canon Element</w:t>
            </w:r>
          </w:p>
        </w:tc>
        <w:tc>
          <w:tcPr>
            <w:tcW w:type="pct" w:w="54%"/>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Relationship to SADL</w:t>
            </w:r>
          </w:p>
        </w:tc>
        <w:tc>
          <w:tcPr>
            <w:tcW w:type="pct" w:w="31%"/>
            <w:shd w:fill="0D1F3C"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Interaction Domain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ONE</w:t>
            </w:r>
          </w:p>
        </w:tc>
        <w:tc>
          <w:tcPr>
            <w:tcW w:type="pct" w:w="5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 canon reference; SADL framework exists within the architecture of THE ONE canon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taxonomy; canonical authority structure; Framework Architect identity</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MINUS ONE</w:t>
            </w:r>
          </w:p>
        </w:tc>
        <w:tc>
          <w:tcPr>
            <w:tcW w:type="pct" w:w="5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Represents a canonical opposite or counterforce; SADL systems may engage with THE MINUS ONE canon in offensive/defensive contexts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Offensive Architecture; Canon Event protection; Root-Level detection scenarios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Omniversal Architecture</w:t>
            </w:r>
          </w:p>
        </w:tc>
        <w:tc>
          <w:tcPr>
            <w:tcW w:type="pct" w:w="5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macro-level structural framework within which the SADL layer taxonomy is situated; the Layer 0 Root Level relates to Omniversal Architecture concepts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Layer 0 specification; SLIAP Tier 5 authority; Framework Architect scope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Simulation Labs</w:t>
            </w:r>
          </w:p>
        </w:tc>
        <w:tc>
          <w:tcPr>
            <w:tcW w:type="pct" w:w="5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Layer 3 Sim Lab environments are the primary implementation domain of Simulation Labs canon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AELB governance; Environmental Law Variance research; Layer 3 specification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SLIAP</w:t>
            </w:r>
          </w:p>
        </w:tc>
        <w:tc>
          <w:tcPr>
            <w:tcW w:type="pct" w:w="5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Specified fully within this framework as an integrated subsystem; SLIAP canon is defined here</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specification in Section 10</w:t>
            </w:r>
          </w:p>
        </w:tc>
      </w:tr>
    </w:tbl>
    <w:p>
      <w:pPr>
        <w:spacing w:after="200" w:before="0"/>
      </w:pPr>
    </w:p>
    <w:p>
      <w:pPr>
        <w:pStyle w:val="Heading2"/>
        <w:spacing w:after="100" w:before="320" w:line="312" w:lineRule="auto"/>
      </w:pPr>
      <w:r>
        <w:rPr>
          <w:rFonts w:ascii="Calibri" w:cs="Calibri" w:eastAsia="Calibri" w:hAnsi="Calibri"/>
          <w:color w:val="1A3A5C"/>
          <w:sz w:val="30"/>
          <w:szCs w:val="30"/>
        </w:rPr>
        <w:t xml:space="preserve">12.7 Development Log — Future Expansion Areas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areas are identified for future development under subsequent versions of the SADL Framework. These are not gaps in the current document; they are recognized frontiers for canon expansion that exceed the scope of Version 1.0.0 and are reserved for future minor and major version releases: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AELB Sub-Architectures:</w:t>
      </w:r>
      <w:r>
        <w:rPr>
          <w:rFonts w:ascii="Calibri" w:cs="Calibri" w:eastAsia="Calibri" w:hAnsi="Calibri"/>
          <w:b w:val="false"/>
          <w:bCs w:val="false"/>
          <w:i w:val="false"/>
          <w:iCs w:val="false"/>
          <w:strike w:val="false"/>
          <w:color w:val="1A1A1A"/>
          <w:sz w:val="22"/>
          <w:szCs w:val="22"/>
        </w:rPr>
        <w:t xml:space="preserve"> A detailed specification of the internal learning architecture of AELB systems — the specific algorithms (in canonical terms), decision trees, and memory organization structures that govern AELB operation. Version 1.0.0 specifies AELB properties and governance; sub-architecture specification is a Version 1.1.0 or 2.0.0 candidate.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SLIAP Tier 6 — Theoretical Access:</w:t>
      </w:r>
      <w:r>
        <w:rPr>
          <w:rFonts w:ascii="Calibri" w:cs="Calibri" w:eastAsia="Calibri" w:hAnsi="Calibri"/>
          <w:b w:val="false"/>
          <w:bCs w:val="false"/>
          <w:i w:val="false"/>
          <w:iCs w:val="false"/>
          <w:strike w:val="false"/>
          <w:color w:val="1A1A1A"/>
          <w:sz w:val="22"/>
          <w:szCs w:val="22"/>
        </w:rPr>
        <w:t xml:space="preserve"> The exploration of what, if anything, lies beyond SLIAP Tier 5 Root-Level theoretical access. This is a canonical question with implications for the Framework Architect's own epistemic position and its relationship to Omniversal Architecture. Reserved for a Major version release given its architectural implications.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Cross-Canon SADL Applications:</w:t>
      </w:r>
      <w:r>
        <w:rPr>
          <w:rFonts w:ascii="Calibri" w:cs="Calibri" w:eastAsia="Calibri" w:hAnsi="Calibri"/>
          <w:b w:val="false"/>
          <w:bCs w:val="false"/>
          <w:i w:val="false"/>
          <w:iCs w:val="false"/>
          <w:strike w:val="false"/>
          <w:color w:val="1A1A1A"/>
          <w:sz w:val="22"/>
          <w:szCs w:val="22"/>
        </w:rPr>
        <w:t xml:space="preserve"> The formal specification of how SADL systems operate across canon boundaries — specifically, how a simulation layer within the SADL taxonomy interacts with simulation or reality structures in adjacent or overlapping canons. This requires cross-reference with THE MINUS ONE and Omniversal Architecture governance documents before specification can proceed.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NRM Species-Specific Variants:</w:t>
      </w:r>
      <w:r>
        <w:rPr>
          <w:rFonts w:ascii="Calibri" w:cs="Calibri" w:eastAsia="Calibri" w:hAnsi="Calibri"/>
          <w:b w:val="false"/>
          <w:bCs w:val="false"/>
          <w:i w:val="false"/>
          <w:iCs w:val="false"/>
          <w:strike w:val="false"/>
          <w:color w:val="1A1A1A"/>
          <w:sz w:val="22"/>
          <w:szCs w:val="22"/>
        </w:rPr>
        <w:t xml:space="preserve"> Detailed NRM protocol specifications tailored to specific species or entity classes within the canon, accounting for the cognitive architecture variations that affect NRM delivery, threshold calibration, and outcome assessment.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AES-CODE Composite Signature Taxonomy:</w:t>
      </w:r>
      <w:r>
        <w:rPr>
          <w:rFonts w:ascii="Calibri" w:cs="Calibri" w:eastAsia="Calibri" w:hAnsi="Calibri"/>
          <w:b w:val="false"/>
          <w:bCs w:val="false"/>
          <w:i w:val="false"/>
          <w:iCs w:val="false"/>
          <w:strike w:val="false"/>
          <w:color w:val="1A1A1A"/>
          <w:sz w:val="22"/>
          <w:szCs w:val="22"/>
        </w:rPr>
        <w:t xml:space="preserve"> A formal taxonomy of authorized composite aesthetic signatures — combinations of two or more primary classifications — specifying their emergent properties, interaction risks, and authorized deployment contexts.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Canon Event Classification System:</w:t>
      </w:r>
      <w:r>
        <w:rPr>
          <w:rFonts w:ascii="Calibri" w:cs="Calibri" w:eastAsia="Calibri" w:hAnsi="Calibri"/>
          <w:b w:val="false"/>
          <w:bCs w:val="false"/>
          <w:i w:val="false"/>
          <w:iCs w:val="false"/>
          <w:strike w:val="false"/>
          <w:color w:val="1A1A1A"/>
          <w:sz w:val="22"/>
          <w:szCs w:val="22"/>
        </w:rPr>
        <w:t xml:space="preserve"> A formal tiered classification of Canon Events by significance, reversibility, and SADL protection priority. Version 1.0.0 treats Canon Events as a uniform category; the development of a classification system will enable more precise protection protocols.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D1F3C"/>
                <w:spacing w:val="10"/>
                <w:sz w:val="20"/>
                <w:szCs w:val="20"/>
              </w:rPr>
              <w:t xml:space="preserve">DEVELOPMENT NOTE</w:t>
            </w:r>
          </w:p>
          <w:p>
            <w:pPr>
              <w:spacing w:after="120" w:line="360" w:lineRule="auto"/>
            </w:pPr>
            <w:r>
              <w:rPr>
                <w:rFonts w:ascii="Calibri" w:cs="Calibri" w:eastAsia="Calibri" w:hAnsi="Calibri"/>
                <w:b w:val="false"/>
                <w:bCs w:val="false"/>
                <w:i w:val="false"/>
                <w:iCs w:val="false"/>
                <w:strike w:val="false"/>
                <w:color w:val="1A1A1A"/>
                <w:sz w:val="22"/>
                <w:szCs w:val="22"/>
              </w:rPr>
              <w:t xml:space="preserve">All future expansion areas documented above are subject to the amendment process specified in Section 12.3. Their inclusion on this log does not constitute a commitment to a specific version release date or scope. They represent the Framework Architect's current assessment of the most productive frontiers for canon development under the SADL architecture.</w:t>
            </w:r>
          </w:p>
        </w:tc>
      </w:tr>
    </w:tbl>
    <w:p>
      <w:pPr>
        <w:spacing w:after="240" w:before="0"/>
      </w:pPr>
    </w:p>
    <w:p>
      <w:pPr>
        <w:pBdr>
          <w:bottom w:val="single" w:color="1A1A1A" w:sz="6"/>
        </w:pBdr>
        <w:spacing w:after="240" w:before="240"/>
      </w:pPr>
    </w:p>
    <w:p>
      <w:pPr>
        <w:pBdr>
          <w:bottom w:val="single" w:color="2B5797" w:sz="6"/>
        </w:pBdr>
        <w:spacing w:after="240" w:before="240"/>
      </w:pPr>
    </w:p>
    <w:p>
      <w:pPr>
        <w:spacing w:after="120" w:before="60" w:line="360" w:lineRule="auto"/>
        <w:jc w:val="center"/>
      </w:pPr>
      <w:r>
        <w:rPr>
          <w:rFonts w:ascii="Calibri" w:cs="Calibri" w:eastAsia="Calibri" w:hAnsi="Calibri"/>
          <w:b/>
          <w:bCs/>
          <w:i w:val="false"/>
          <w:iCs w:val="false"/>
          <w:strike w:val="false"/>
          <w:color w:val="1A1A1A"/>
          <w:sz w:val="22"/>
          <w:szCs w:val="22"/>
        </w:rPr>
        <w:t xml:space="preserve">SADL Framework — Independent Edition</w:t>
      </w:r>
      <w:r>
        <w:rPr>
          <w:rFonts w:ascii="Calibri" w:cs="Calibri" w:eastAsia="Calibri" w:hAnsi="Calibri"/>
          <w:b w:val="false"/>
          <w:bCs w:val="false"/>
          <w:i w:val="false"/>
          <w:iCs w:val="false"/>
          <w:strike w:val="false"/>
          <w:color w:val="1A1A1A"/>
          <w:sz w:val="22"/>
          <w:szCs w:val="22"/>
        </w:rPr>
        <w:t xml:space="preserve">  |  Version 1.0.0  |  August 18, 2026</w:t>
      </w:r>
    </w:p>
    <w:p>
      <w:pPr>
        <w:spacing w:after="120" w:before="60" w:line="360" w:lineRule="auto"/>
        <w:jc w:val="center"/>
      </w:pPr>
      <w:r>
        <w:rPr>
          <w:rFonts w:ascii="Calibri" w:cs="Calibri" w:eastAsia="Calibri" w:hAnsi="Calibri"/>
          <w:b w:val="false"/>
          <w:bCs w:val="false"/>
          <w:i w:val="false"/>
          <w:iCs w:val="false"/>
          <w:strike w:val="false"/>
          <w:color w:val="1A1A1A"/>
          <w:sz w:val="22"/>
          <w:szCs w:val="22"/>
        </w:rPr>
        <w:t xml:space="preserve">Author: Nathan Lewis  |  Independent Canon Architecture  |  Classification: Internal Development Reference</w:t>
      </w:r>
    </w:p>
    <w:p>
      <w:pPr>
        <w:spacing w:after="120" w:before="60" w:line="360" w:lineRule="auto"/>
        <w:jc w:val="center"/>
      </w:pPr>
      <w:r>
        <w:rPr>
          <w:rFonts w:ascii="Calibri" w:cs="Calibri" w:eastAsia="Calibri" w:hAnsi="Calibri"/>
          <w:b w:val="false"/>
          <w:bCs w:val="false"/>
          <w:i w:val="false"/>
          <w:iCs w:val="false"/>
          <w:strike w:val="false"/>
          <w:color w:val="1A1A1A"/>
          <w:sz w:val="22"/>
          <w:szCs w:val="22"/>
        </w:rPr>
        <w:t xml:space="preserve">This document supersedes all prior AI-generated SADL drafts. Canonical authority resides solely in the Framework Architect.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QHUVUqhM5WyS4zwjSUesr</dc:title>
  <dc:creator>Un-named</dc:creator>
  <dc:description>Generated document</dc:description>
  <cp:lastModifiedBy>Un-named</cp:lastModifiedBy>
  <cp:revision>1</cp:revision>
  <dcterms:created xsi:type="dcterms:W3CDTF">2026-08-19T00:25:27.269Z</dcterms:created>
  <dcterms:modified xsi:type="dcterms:W3CDTF">2026-08-19T00:25:27.269Z</dcterms:modified>
</cp:coreProperties>
</file>

<file path=docProps/custom.xml><?xml version="1.0" encoding="utf-8"?>
<Properties xmlns="http://schemas.openxmlformats.org/officeDocument/2006/custom-properties" xmlns:vt="http://schemas.openxmlformats.org/officeDocument/2006/docPropsVTypes"/>
</file>