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2e"/>
          <w:sz w:val="56"/>
          <w:szCs w:val="56"/>
        </w:rPr>
        <w:t xml:space="preserve">SIMULATION LAB</w:t>
      </w:r>
    </w:p>
    <w:p>
      <w:pPr>
        <w:spacing w:before="0" w:after="80"/>
        <w:jc w:val="center"/>
      </w:pPr>
      <w:r>
        <w:rPr>
          <w:rFonts w:ascii="Arial" w:cs="Arial" w:eastAsia="Arial" w:hAnsi="Arial"/>
          <w:b/>
          <w:bCs/>
          <w:color w:val="C0392B"/>
          <w:sz w:val="32"/>
          <w:szCs w:val="32"/>
        </w:rPr>
        <w:t xml:space="preserve">DEVELOPMENT LOG &amp; SCENARIO V2 PROPOSAL</w:t>
      </w:r>
    </w:p>
    <w:p>
      <w:pPr>
        <w:spacing w:before="0" w:after="40"/>
        <w:jc w:val="center"/>
      </w:pPr>
      <w:r>
        <w:rPr>
          <w:rFonts w:ascii="Arial" w:cs="Arial" w:eastAsia="Arial" w:hAnsi="Arial"/>
          <w:i/>
          <w:iCs/>
          <w:color w:val="555555"/>
          <w:sz w:val="22"/>
          <w:szCs w:val="22"/>
        </w:rPr>
        <w:t xml:space="preserve">Version 2.0  |  Code Arena Exercise Series</w:t>
      </w:r>
    </w:p>
    <w:p>
      <w:pPr>
        <w:spacing w:before="0" w:after="80"/>
        <w:jc w:val="center"/>
      </w:pPr>
      <w:r>
        <w:rPr>
          <w:rFonts w:ascii="Arial" w:cs="Arial" w:eastAsia="Arial" w:hAnsi="Arial"/>
          <w:color w:val="555555"/>
          <w:sz w:val="20"/>
          <w:szCs w:val="20"/>
        </w:rPr>
        <w:t xml:space="preserve">Architect: Nathan Lewis  |  Lewis Corp / Omniversal Architect Labs</w:t>
      </w:r>
    </w:p>
    <w:p>
      <w:pPr>
        <w:pBdr>
          <w:bottom w:val="single" w:color="CCCCCC" w:sz="2" w:space="1"/>
        </w:pBdr>
        <w:spacing w:before="160" w:after="160"/>
      </w:pPr>
    </w:p>
    <w:p>
      <w:pPr>
        <w:spacing w:before="80" w:after="80"/>
        <w:jc w:val="center"/>
      </w:pPr>
      <w:r>
        <w:rPr>
          <w:rFonts w:ascii="Arial" w:cs="Arial" w:eastAsia="Arial" w:hAnsi="Arial"/>
          <w:b/>
          <w:bCs/>
          <w:caps/>
          <w:color w:val="C0392B"/>
          <w:sz w:val="18"/>
          <w:szCs w:val="18"/>
        </w:rPr>
        <w:t xml:space="preserve">SIMULATION INTERNAL — NOT FOR OPERATIONAL DEPLOYMENT — EXERCISE USE ONLY</w:t>
      </w:r>
    </w:p>
    <w:p>
      <w:pPr>
        <w:pBdr>
          <w:bottom w:val="single" w:color="CCCCCC" w:sz="2" w:space="1"/>
        </w:pBdr>
        <w:spacing w:before="160" w:after="160"/>
      </w:pPr>
    </w:p>
    <w:p>
      <w:pPr>
        <w:spacing w:before="160" w:after="80"/>
      </w:pPr>
      <w:r>
        <w:rPr>
          <w:rFonts w:ascii="Arial" w:cs="Arial" w:eastAsia="Arial" w:hAnsi="Arial"/>
          <w:b/>
          <w:bCs/>
          <w:color w:val="1a1a2e"/>
          <w:sz w:val="22"/>
          <w:szCs w:val="22"/>
        </w:rPr>
        <w:t xml:space="preserve">DOCUMENT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60"/>
        <w:gridCol w:w="30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 1 — Complete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Nathan Lewis / Architect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Intelligence Scenario V1 — BLACKGATE INITIATIVE</w:t>
            </w:r>
          </w:p>
        </w:tc>
      </w:tr>
      <w:tr>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v2.0</w:t>
            </w:r>
          </w:p>
        </w:tc>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w:t>
            </w:r>
          </w:p>
        </w:tc>
        <w:tc>
          <w:tcPr>
            <w:tcW w:type="dxa" w:w="29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Nathan Lewis / Architect</w:t>
            </w:r>
          </w:p>
        </w:tc>
        <w:tc>
          <w:tcPr>
            <w:tcW w:type="dxa" w:w="3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Log — V2 Proposals, Heat Transmogrification, Role Designations</w:t>
            </w:r>
          </w:p>
        </w:tc>
      </w:tr>
    </w:tbl>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1. AUTHOR COMMENTARY — DEVELOPMENT LOG ENTRY</w:t>
      </w:r>
    </w:p>
    <w:p>
      <w:pPr>
        <w:spacing w:before="80" w:after="80"/>
        <w:jc w:val="center"/>
      </w:pPr>
      <w:r>
        <w:rPr>
          <w:rFonts w:ascii="Arial" w:cs="Arial" w:eastAsia="Arial" w:hAnsi="Arial"/>
          <w:b/>
          <w:bCs/>
          <w:caps/>
          <w:color w:val="C0392B"/>
          <w:sz w:val="18"/>
          <w:szCs w:val="18"/>
        </w:rPr>
        <w:t xml:space="preserve">Log Entry: V2.0 — Architect Personal Commentary — Preserved Verbatim</w:t>
      </w:r>
    </w:p>
    <w:p>
      <w:pPr>
        <w:spacing w:before="80" w:after="100"/>
      </w:pPr>
      <w:r>
        <w:rPr>
          <w:rFonts w:ascii="Arial" w:cs="Arial" w:eastAsia="Arial" w:hAnsi="Arial"/>
          <w:sz w:val="20"/>
          <w:szCs w:val="20"/>
        </w:rPr>
        <w:t xml:space="preserve"/>
      </w:r>
    </w:p>
    <w:p>
      <w:pPr>
        <w:spacing w:before="80" w:after="100"/>
      </w:pPr>
      <w:r>
        <w:rPr>
          <w:rFonts w:ascii="Arial" w:cs="Arial" w:eastAsia="Arial" w:hAnsi="Arial"/>
          <w:i/>
          <w:iCs/>
          <w:color w:val="555555"/>
          <w:sz w:val="20"/>
          <w:szCs w:val="20"/>
        </w:rPr>
        <w:t xml:space="preserve">The following is the Architect's unedited note-to-self and team communication, preserved as submitted for the development record. This represents the originating intent document for Simulation Lab Version 2 design and Scenario V2 scoping.</w:t>
      </w:r>
    </w:p>
    <w:p>
      <w:pPr>
        <w:spacing w:before="80" w:after="100"/>
      </w:pPr>
      <w:r>
        <w:rPr>
          <w:rFonts w:ascii="Arial" w:cs="Arial" w:eastAsia="Arial" w:hAnsi="Arial"/>
          <w:sz w:val="20"/>
          <w:szCs w:val="20"/>
        </w:rPr>
        <w:t xml:space="preserve"/>
      </w:r>
    </w:p>
    <w:p>
      <w:pPr>
        <w:pBdr>
          <w:top w:val="single" w:color="EEEEEE" w:sz="1" w:space="4"/>
          <w:bottom w:val="single" w:color="EEEEEE" w:sz="1" w:space="4"/>
        </w:pBdr>
        <w:spacing w:before="120" w:after="120"/>
        <w:ind w:left="720" w:right="720"/>
      </w:pPr>
      <w:r>
        <w:rPr>
          <w:rFonts w:ascii="Arial" w:cs="Arial" w:eastAsia="Arial" w:hAnsi="Arial"/>
          <w:i/>
          <w:iCs/>
          <w:color w:val="333333"/>
          <w:sz w:val="20"/>
          <w:szCs w:val="20"/>
        </w:rPr>
        <w:t xml:space="preserve">Note to self: heat utilization and transmogrified.</w:t>
      </w:r>
    </w:p>
    <w:p>
      <w:pPr>
        <w:spacing w:before="80" w:after="100"/>
      </w:pPr>
      <w:r>
        <w:rPr>
          <w:rFonts w:ascii="Arial" w:cs="Arial" w:eastAsia="Arial" w:hAnsi="Arial"/>
          <w:sz w:val="20"/>
          <w:szCs w:val="20"/>
        </w:rPr>
        <w:t xml:space="preserve"/>
      </w:r>
    </w:p>
    <w:p>
      <w:pPr>
        <w:spacing w:before="80" w:after="100"/>
      </w:pPr>
      <w:r>
        <w:rPr>
          <w:rFonts w:ascii="Arial" w:cs="Arial" w:eastAsia="Arial" w:hAnsi="Arial"/>
          <w:i/>
          <w:iCs/>
          <w:color w:val="333333"/>
          <w:sz w:val="20"/>
          <w:szCs w:val="20"/>
        </w:rPr>
        <w:t xml:space="preserve">Dear team — I was thinking about the next simulated scenario and incorporating testing for the following. Additional note: what are we testing for in these scenarios and why? What is the overall goal to be achieved? What does the government or intelligence want from this, or from my designs? If they were to craft the perfect soldier, what would be their ideal?</w:t>
      </w:r>
    </w:p>
    <w:p>
      <w:pPr>
        <w:spacing w:before="80" w:after="100"/>
      </w:pPr>
      <w:r>
        <w:rPr>
          <w:rFonts w:ascii="Arial" w:cs="Arial" w:eastAsia="Arial" w:hAnsi="Arial"/>
          <w:sz w:val="20"/>
          <w:szCs w:val="20"/>
        </w:rPr>
        <w:t xml:space="preserve"/>
      </w:r>
    </w:p>
    <w:p>
      <w:pPr>
        <w:spacing w:before="80" w:after="100"/>
      </w:pPr>
      <w:r>
        <w:rPr>
          <w:rFonts w:ascii="Arial" w:cs="Arial" w:eastAsia="Arial" w:hAnsi="Arial"/>
          <w:i/>
          <w:iCs/>
          <w:color w:val="333333"/>
          <w:sz w:val="20"/>
          <w:szCs w:val="20"/>
        </w:rPr>
        <w:t xml:space="preserve">A soldier who can walk into a toxic environment, perform an extraction and walk out? Negotiation under hostility? Resistance to corrosion? Torture?</w:t>
      </w:r>
    </w:p>
    <w:p>
      <w:pPr>
        <w:spacing w:before="80" w:after="100"/>
      </w:pPr>
      <w:r>
        <w:rPr>
          <w:rFonts w:ascii="Arial" w:cs="Arial" w:eastAsia="Arial" w:hAnsi="Arial"/>
          <w:sz w:val="20"/>
          <w:szCs w:val="20"/>
        </w:rPr>
        <w:t xml:space="preserve"/>
      </w:r>
    </w:p>
    <w:p>
      <w:pPr>
        <w:spacing w:before="80" w:after="100"/>
      </w:pPr>
      <w:r>
        <w:rPr>
          <w:rFonts w:ascii="Arial" w:cs="Arial" w:eastAsia="Arial" w:hAnsi="Arial"/>
          <w:i/>
          <w:iCs/>
          <w:color w:val="333333"/>
          <w:sz w:val="20"/>
          <w:szCs w:val="20"/>
        </w:rPr>
        <w:t xml:space="preserve">There is no sense in wasting the heat and kinetic energy generated from the attack. If the U.S. needs the heat energy for turbines and generators we turn that energy into something we can utilize to power the infrastructure for us. So when we run the simulation scenario next time, when we get to the attack — let's use this as an example. How much energy is generated from a volley of 40 cruise missiles? Instead of them attacking the U.S. and having it be successful we transform that into something we use against them. Neutralize the attack completely but convert everything they threw into it into resources we utilize. What can we do with the heat — create a heat sink. Where is that needed the most? How much oxygen is utilized in that? How much energy or what does it cost to transfer the attack potential to the other side and use it to our advantage? How do we optimize this even further? For this scenario specifically we need to transform this from attack negation into something else.</w:t>
      </w:r>
    </w:p>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2. WHAT ARE WE TESTING FOR — AND WHY</w:t>
      </w:r>
    </w:p>
    <w:p>
      <w:pPr>
        <w:spacing w:before="80" w:after="100"/>
      </w:pPr>
      <w:r>
        <w:rPr>
          <w:rFonts w:ascii="Arial" w:cs="Arial" w:eastAsia="Arial" w:hAnsi="Arial"/>
          <w:sz w:val="20"/>
          <w:szCs w:val="20"/>
        </w:rPr>
        <w:t xml:space="preserve">This section addresses the Architect's core question: what is the purpose of the simulation exercises, and what do they build toward? The answer operates on three simultaneous levels.</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2.1 The Three Testing Layers</w:t>
      </w:r>
    </w:p>
    <w:p>
      <w:pPr>
        <w:pStyle w:val="Heading3"/>
        <w:spacing w:before="200" w:after="100"/>
      </w:pPr>
      <w:r>
        <w:rPr>
          <w:rFonts w:ascii="Arial" w:cs="Arial" w:eastAsia="Arial" w:hAnsi="Arial"/>
          <w:b/>
          <w:bCs/>
          <w:color w:val="2C3E50"/>
          <w:sz w:val="24"/>
          <w:szCs w:val="24"/>
        </w:rPr>
        <w:t xml:space="preserve">Layer One — Technical Stress Testing</w:t>
      </w:r>
    </w:p>
    <w:p>
      <w:pPr>
        <w:spacing w:before="80" w:after="100"/>
      </w:pPr>
      <w:r>
        <w:rPr>
          <w:rFonts w:ascii="Arial" w:cs="Arial" w:eastAsia="Arial" w:hAnsi="Arial"/>
          <w:sz w:val="20"/>
          <w:szCs w:val="20"/>
        </w:rPr>
        <w:t xml:space="preserve">At the surface layer, the exercises test specific technical capabilities and their failure modes. In V1 this included detection latency, lockdown coordination speed, deception architecture resilience, vector delivery integrity, and post-reboot persistence. Each phase of the scenario was a test of a specific technical hypothesis: can the system detect a coordinated multi-node attack before it breaches? Can a false network maintain believability under sustained adversarial scrutiny? These are engineering questions with measurable answers.</w:t>
      </w:r>
    </w:p>
    <w:p>
      <w:pPr>
        <w:pStyle w:val="Heading3"/>
        <w:spacing w:before="200" w:after="100"/>
      </w:pPr>
      <w:r>
        <w:rPr>
          <w:rFonts w:ascii="Arial" w:cs="Arial" w:eastAsia="Arial" w:hAnsi="Arial"/>
          <w:b/>
          <w:bCs/>
          <w:color w:val="2C3E50"/>
          <w:sz w:val="24"/>
          <w:szCs w:val="24"/>
        </w:rPr>
        <w:t xml:space="preserve">Layer Two — Decision Architecture Under Pressure</w:t>
      </w:r>
    </w:p>
    <w:p>
      <w:pPr>
        <w:spacing w:before="80" w:after="100"/>
      </w:pPr>
      <w:r>
        <w:rPr>
          <w:rFonts w:ascii="Arial" w:cs="Arial" w:eastAsia="Arial" w:hAnsi="Arial"/>
          <w:sz w:val="20"/>
          <w:szCs w:val="20"/>
        </w:rPr>
        <w:t xml:space="preserve">The more important test is of decision-making quality when operational conditions are degraded. The scenarios are not designed to test whether the technical tools work in ideal conditions — they are designed to find the exact moment the decision-maker has insufficient information, conflicting signals, time pressure, and authority ambiguity simultaneously. That moment is where the real capability is revealed. V1's six contingencies were all decision-architecture tests masquerading as technical problems.</w:t>
      </w:r>
    </w:p>
    <w:p>
      <w:pPr>
        <w:pStyle w:val="Heading3"/>
        <w:spacing w:before="200" w:after="100"/>
      </w:pPr>
      <w:r>
        <w:rPr>
          <w:rFonts w:ascii="Arial" w:cs="Arial" w:eastAsia="Arial" w:hAnsi="Arial"/>
          <w:b/>
          <w:bCs/>
          <w:color w:val="2C3E50"/>
          <w:sz w:val="24"/>
          <w:szCs w:val="24"/>
        </w:rPr>
        <w:t xml:space="preserve">Layer Three — System Resilience and Character</w:t>
      </w:r>
    </w:p>
    <w:p>
      <w:pPr>
        <w:spacing w:before="80" w:after="100"/>
      </w:pPr>
      <w:r>
        <w:rPr>
          <w:rFonts w:ascii="Arial" w:cs="Arial" w:eastAsia="Arial" w:hAnsi="Arial"/>
          <w:sz w:val="20"/>
          <w:szCs w:val="20"/>
        </w:rPr>
        <w:t xml:space="preserve">The deepest layer — the one that maps to the Architect's 'perfect soldier' question — is about what the system does when everything goes wrong simultaneously. Not 'does the detection algorithm work' but 'does the entire integrated system maintain coherent function under maximum adversarial pressure.' This is the stress-test-to-failure methodology used in materials science applied to human-AI collaborative systems.</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2.2 What the Exercises Are Building Toward</w:t>
      </w:r>
    </w:p>
    <w:p>
      <w:pPr>
        <w:spacing w:before="80" w:after="100"/>
      </w:pPr>
      <w:r>
        <w:rPr>
          <w:rFonts w:ascii="Arial" w:cs="Arial" w:eastAsia="Arial" w:hAnsi="Arial"/>
          <w:sz w:val="20"/>
          <w:szCs w:val="20"/>
        </w:rPr>
        <w:t xml:space="preserve">The exercises are building a living doctrine — a set of tested, refined, scenario-proven principles for human-AI collaborative defense operations. Each exercise adds data. Each contingency that fires and is resolved becomes a proven capability. Each contingency that fails becomes a known gap with a documented remediation path.</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The cumulative product of the exercise series is not a report. It is an operational playbook that has been stress-tested against realistic adversarial behavior across multiple scenarios, with every decision point examined, every failure mode catalogued, and every recovery path validated.</w:t>
      </w:r>
    </w:p>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3. GOVERNMENT &amp; INTELLIGENCE OBJECTIVES — WHAT THEY WANT</w:t>
      </w:r>
    </w:p>
    <w:p>
      <w:pPr>
        <w:spacing w:before="80" w:after="100"/>
      </w:pPr>
      <w:r>
        <w:rPr>
          <w:rFonts w:ascii="Arial" w:cs="Arial" w:eastAsia="Arial" w:hAnsi="Arial"/>
          <w:sz w:val="20"/>
          <w:szCs w:val="20"/>
        </w:rPr>
        <w:t xml:space="preserve">The Architect asks: what does the government or intelligence community want from these designs? The answer varies significantly by agency type, but several core requirements are consistent across all of them.</w:t>
      </w:r>
    </w:p>
    <w:p>
      <w:pPr>
        <w:spacing w:before="8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Objective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Need from the Design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Intelligence Agencies (CIA, NSA, DIA)</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deniable, attribution-resistant capability</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Systems that produce actionable intelligence without leaving exploitable signatures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DoD / CYBERCOM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Offensive and defensive cyber parity with near-peer adversaries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Scalable, deployable tools with clear command authority integration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DHS / CISA</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infrastructure protection at national scale</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threat correlation across civilian and government networks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 NSC</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superiority — better information, faster, than the adversary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Systems that compress decision timelines without compressing accuracy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 Oversight</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Defensible authority chain for every action taken</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Pre-authorized frameworks, real-time legal logging, post-action accountability</w:t>
            </w:r>
          </w:p>
        </w:tc>
      </w:tr>
    </w:tbl>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The BLACKGATE model as designed in V1 addresses the intelligence agency and DoD requirements most directly. The V2 proposal should expand to address the DHS infrastructure protection layer — which is where the Heat Transmogrification concept becomes most operationally relevant.</w:t>
      </w:r>
    </w:p>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4. THE PERFECT SOLDIER — FRAMEWORK ANALYSIS</w:t>
      </w:r>
    </w:p>
    <w:p>
      <w:pPr>
        <w:spacing w:before="80" w:after="100"/>
      </w:pPr>
      <w:r>
        <w:rPr>
          <w:rFonts w:ascii="Arial" w:cs="Arial" w:eastAsia="Arial" w:hAnsi="Arial"/>
          <w:sz w:val="20"/>
          <w:szCs w:val="20"/>
        </w:rPr>
        <w:t xml:space="preserve">The Architect poses this directly: if the government were designing the ideal human-AI integrated operator, what would they build? This is not a rhetorical question. It has a specific answer derived from decades of special operations doctrine, intelligence community capability studies, and emerging human-machine teaming research.</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4.1 The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Domain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Simulation Test Vector</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Toxic Environment Entry/Extraction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Operate in environments that degrade all normal systems — electronic warfare, EMPs, denial zones, information blackouts</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V2 Scenario: complete comms denial, degraded AI input — can Architect and AIS maintain operational coherence?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Negotiation Under Hostility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mission objectives while managing adversarial parties who have partial leverage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V2 Scenario: adversary holds a critical system hostage — negotiate while simultaneously neutralizing the threat</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Corrosion Resistance</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Sustain function under prolonged, attrition-style attack — not a spike, but a grinding sustained offensive</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V2 Scenario: 72-hour sustained attack simulation — does the system degrade gracefully or catastrophically?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Resistance to Exploitation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captured — or when a system component is compromised — does it reveal information about the whole, or hold?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V2 Scenario: one AIS node is compromised — compartmentalization test, information bleed assessment</w:t>
            </w:r>
          </w:p>
        </w:tc>
      </w:tr>
      <w:tr>
        <w:tc>
          <w:tcPr>
            <w:tcW w:type="dxa" w:w="26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 Conversion (NEW)</w:t>
            </w:r>
          </w:p>
        </w:tc>
        <w:tc>
          <w:tcPr>
            <w:tcW w:type="dxa" w:w="320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Transform adversarial force into usable resource — neutralize and recapture rather than simply block and exhaust</w:t>
            </w:r>
          </w:p>
        </w:tc>
        <w:tc>
          <w:tcPr>
            <w:tcW w:type="dxa" w:w="3560"/>
            <w:tcBorders>
              <w:top w:val="single" w:color="CCCCCC" w:sz="1"/>
              <w:left w:val="single" w:color="CCCCCC" w:sz="1"/>
              <w:bottom w:val="single" w:color="CCCCCC" w:sz="1"/>
              <w:right w:val="single" w:color="CCCCCC" w:sz="1"/>
            </w:tcBorders>
            <w:shd w:fill="FFFAF0" w:val="clear"/>
            <w:tcMar>
              <w:top w:type="dxa" w:w="80"/>
              <w:left w:type="dxa" w:w="120"/>
              <w:bottom w:type="dxa" w:w="80"/>
              <w:right w:type="dxa" w:w="120"/>
            </w:tcMar>
          </w:tcPr>
          <w:p>
            <w:r>
              <w:rPr>
                <w:rFonts w:ascii="Arial" w:cs="Arial" w:eastAsia="Arial" w:hAnsi="Arial"/>
                <w:b w:val="false"/>
                <w:bCs w:val="false"/>
                <w:color w:val="000000"/>
                <w:sz w:val="20"/>
                <w:szCs w:val="20"/>
              </w:rPr>
              <w:t xml:space="preserve">V2 Scenario: Heat Transmogrification — see Section 5</w:t>
            </w:r>
          </w:p>
        </w:tc>
      </w:tr>
    </w:tbl>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4.2 The Synthesis</w:t>
      </w:r>
    </w:p>
    <w:p>
      <w:pPr>
        <w:spacing w:before="80" w:after="100"/>
      </w:pPr>
      <w:r>
        <w:rPr>
          <w:rFonts w:ascii="Arial" w:cs="Arial" w:eastAsia="Arial" w:hAnsi="Arial"/>
          <w:sz w:val="20"/>
          <w:szCs w:val="20"/>
        </w:rPr>
        <w:t xml:space="preserve">The perfect soldier in this framework is not optimized for offense or defense alone. The defining characteristic is adaptive resource utilization under adversarial conditions — the ability to take whatever the adversary commits and turn it into an asset. This is the concept the Architect has identified with the heat utilization note, and it is the most sophisticated capability on the list because it requires not just surviving the attack but actively exploiting the attack vector's energy.</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This directly maps to the transmogrification concept — the transformation of one thing into something qualitatively different. Not deflection. Not absorption. Conversion.</w:t>
      </w:r>
    </w:p>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5. HEAT TRANSMOGRIFICATION — ATTACK ENERGY CONVERSION FRAMEWORK</w:t>
      </w:r>
    </w:p>
    <w:p>
      <w:pPr>
        <w:spacing w:before="80" w:after="80"/>
        <w:jc w:val="center"/>
      </w:pPr>
      <w:r>
        <w:rPr>
          <w:rFonts w:ascii="Arial" w:cs="Arial" w:eastAsia="Arial" w:hAnsi="Arial"/>
          <w:b/>
          <w:bCs/>
          <w:caps/>
          <w:color w:val="C0392B"/>
          <w:sz w:val="18"/>
          <w:szCs w:val="18"/>
        </w:rPr>
        <w:t xml:space="preserve">CONCEPTUAL SCENARIO DESIGN — PHYSICS-GROUNDED SIMULATION PARAMETERS</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The Architect's core insight: there is no sense in wasting the heat and kinetic energy generated from an attack. The scenario asks — how do we transform attack negation into attack harvesting?</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5.1 Energy Quantification — 40 Cruise Missile Volley</w:t>
      </w:r>
    </w:p>
    <w:p>
      <w:pPr>
        <w:spacing w:before="80" w:after="100"/>
      </w:pPr>
      <w:r>
        <w:rPr>
          <w:rFonts w:ascii="Arial" w:cs="Arial" w:eastAsia="Arial" w:hAnsi="Arial"/>
          <w:sz w:val="20"/>
          <w:szCs w:val="20"/>
        </w:rPr>
        <w:t xml:space="preserve">To design the conversion system, we first need to know what we are converting. A volley of 40 cruise missiles represents a specific and calculable energy package.</w:t>
      </w:r>
    </w:p>
    <w:p>
      <w:pPr>
        <w:spacing w:before="8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 Missile (BGM-109 Tomahawk)</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40-Missile Volley Total</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Warhead Explosive Yield</w:t>
            </w:r>
          </w:p>
        </w:tc>
        <w:tc>
          <w:tcPr>
            <w:tcW w:type="dxa" w:w="3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450 kg WDU-36 PBXN-107</w:t>
            </w:r>
          </w:p>
        </w:tc>
        <w:tc>
          <w:tcPr>
            <w:tcW w:type="dxa" w:w="3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18,000 kg total explosive mass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Kinetic Energy (cruise phase)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~880 km/h — approx 880 MJ kinetic</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~35.2 GJ total kinetic</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Chemical Energy (warhead detonation)</w:t>
            </w:r>
          </w:p>
        </w:tc>
        <w:tc>
          <w:tcPr>
            <w:tcW w:type="dxa" w:w="3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MJ per warhead (TNT equiv)</w:t>
            </w:r>
          </w:p>
        </w:tc>
        <w:tc>
          <w:tcPr>
            <w:tcW w:type="dxa" w:w="3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~36 GJ total detonation energy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 Output (blast + fireball)</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MJ radiated heat per missile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GJ total thermal</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Energy (JP-10, 465 kg/missile)</w:t>
            </w:r>
          </w:p>
        </w:tc>
        <w:tc>
          <w:tcPr>
            <w:tcW w:type="dxa" w:w="3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~19.7 GJ fuel combustion energy</w:t>
            </w:r>
          </w:p>
        </w:tc>
        <w:tc>
          <w:tcPr>
            <w:tcW w:type="dxa" w:w="30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~788 GJ total fuel energy</w:t>
            </w:r>
          </w:p>
        </w:tc>
      </w:tr>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RECOVERABLE ENERGY ESTIMATE</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val="false"/>
                <w:bCs w:val="false"/>
                <w:color w:val="000000"/>
                <w:sz w:val="20"/>
                <w:szCs w:val="20"/>
              </w:rPr>
              <w:t xml:space="preserve">~879 GJ (theoretical max)</w:t>
            </w:r>
          </w:p>
        </w:tc>
      </w:tr>
    </w:tbl>
    <w:p>
      <w:pPr>
        <w:spacing w:before="80" w:after="100"/>
      </w:pPr>
      <w:r>
        <w:rPr>
          <w:rFonts w:ascii="Arial" w:cs="Arial" w:eastAsia="Arial" w:hAnsi="Arial"/>
          <w:sz w:val="20"/>
          <w:szCs w:val="20"/>
        </w:rPr>
        <w:t xml:space="preserve"/>
      </w:r>
    </w:p>
    <w:p>
      <w:pPr>
        <w:spacing w:before="80" w:after="100"/>
      </w:pPr>
      <w:r>
        <w:rPr>
          <w:rFonts w:ascii="Arial" w:cs="Arial" w:eastAsia="Arial" w:hAnsi="Arial"/>
          <w:i/>
          <w:iCs/>
          <w:color w:val="555555"/>
          <w:sz w:val="20"/>
          <w:szCs w:val="20"/>
        </w:rPr>
        <w:t xml:space="preserve">Note: 879 GJ is approximately equivalent to 244 megawatt-hours of electrical energy — enough to power roughly 8,100 U.S. homes for one year, or run a mid-sized data center for approximately 73 days at full load. This is a theoretical maximum; practical conversion efficiency would reduce this significantly depending on method.</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5.2 Conversion Pathways — The Transmogrification Architecture</w:t>
      </w:r>
    </w:p>
    <w:p>
      <w:pPr>
        <w:spacing w:before="80" w:after="100"/>
      </w:pPr>
      <w:r>
        <w:rPr>
          <w:rFonts w:ascii="Arial" w:cs="Arial" w:eastAsia="Arial" w:hAnsi="Arial"/>
          <w:sz w:val="20"/>
          <w:szCs w:val="20"/>
        </w:rPr>
        <w:t xml:space="preserve">The question is not whether the energy is there — it is. The question is what conversion pathway makes sense in a simulation and, extrapolated, in real infrastructure design thinking.</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Pathway A — Directed Thermal Capture (Heat Sink + Turbine)</w:t>
      </w:r>
    </w:p>
    <w:p>
      <w:pPr>
        <w:spacing w:before="80" w:after="100"/>
      </w:pPr>
      <w:r>
        <w:rPr>
          <w:rFonts w:ascii="Arial" w:cs="Arial" w:eastAsia="Arial" w:hAnsi="Arial"/>
          <w:sz w:val="20"/>
          <w:szCs w:val="20"/>
        </w:rPr>
        <w:t xml:space="preserve">The most immediate application: intercept missiles prior to detonation using a directed energy or kinetic intercept layer, and channel the resulting thermal output into a heat sink system connected to thermoelectric generators or steam turbines.</w:t>
      </w:r>
    </w:p>
    <w:p>
      <w:pPr>
        <w:pStyle w:val="ListParagraph"/>
        <w:numPr>
          <w:ilvl w:val="0"/>
          <w:numId w:val="2"/>
        </w:numPr>
        <w:spacing w:before="60" w:after="60"/>
      </w:pPr>
      <w:r>
        <w:rPr>
          <w:rFonts w:ascii="Arial" w:cs="Arial" w:eastAsia="Arial" w:hAnsi="Arial"/>
          <w:sz w:val="20"/>
          <w:szCs w:val="20"/>
        </w:rPr>
        <w:t xml:space="preserve">Interception altitude: 1,000-3,000 feet AGL for optimal thermal capture radius</w:t>
      </w:r>
    </w:p>
    <w:p>
      <w:pPr>
        <w:pStyle w:val="ListParagraph"/>
        <w:numPr>
          <w:ilvl w:val="0"/>
          <w:numId w:val="2"/>
        </w:numPr>
        <w:spacing w:before="60" w:after="60"/>
      </w:pPr>
      <w:r>
        <w:rPr>
          <w:rFonts w:ascii="Arial" w:cs="Arial" w:eastAsia="Arial" w:hAnsi="Arial"/>
          <w:sz w:val="20"/>
          <w:szCs w:val="20"/>
        </w:rPr>
        <w:t xml:space="preserve">Heat sink medium: molten salt thermal battery (already used in concentrated solar applications) — can absorb rapid thermal spikes up to 565°C</w:t>
      </w:r>
    </w:p>
    <w:p>
      <w:pPr>
        <w:pStyle w:val="ListParagraph"/>
        <w:numPr>
          <w:ilvl w:val="0"/>
          <w:numId w:val="2"/>
        </w:numPr>
        <w:spacing w:before="60" w:after="60"/>
      </w:pPr>
      <w:r>
        <w:rPr>
          <w:rFonts w:ascii="Arial" w:cs="Arial" w:eastAsia="Arial" w:hAnsi="Arial"/>
          <w:sz w:val="20"/>
          <w:szCs w:val="20"/>
        </w:rPr>
        <w:t xml:space="preserve">Turbine conversion: salt heat drives steam cycle at ~35-40% thermal-to-electrical efficiency</w:t>
      </w:r>
    </w:p>
    <w:p>
      <w:pPr>
        <w:pStyle w:val="ListParagraph"/>
        <w:numPr>
          <w:ilvl w:val="0"/>
          <w:numId w:val="2"/>
        </w:numPr>
        <w:spacing w:before="60" w:after="60"/>
      </w:pPr>
      <w:r>
        <w:rPr>
          <w:rFonts w:ascii="Arial" w:cs="Arial" w:eastAsia="Arial" w:hAnsi="Arial"/>
          <w:sz w:val="20"/>
          <w:szCs w:val="20"/>
        </w:rPr>
        <w:t xml:space="preserve">Estimated electrical yield at 38% efficiency: ~93 GJ or ~25.8 MWh per volley</w:t>
      </w:r>
    </w:p>
    <w:p>
      <w:pPr>
        <w:pStyle w:val="ListParagraph"/>
        <w:numPr>
          <w:ilvl w:val="0"/>
          <w:numId w:val="2"/>
        </w:numPr>
        <w:spacing w:before="60" w:after="60"/>
      </w:pPr>
      <w:r>
        <w:rPr>
          <w:rFonts w:ascii="Arial" w:cs="Arial" w:eastAsia="Arial" w:hAnsi="Arial"/>
          <w:sz w:val="20"/>
          <w:szCs w:val="20"/>
        </w:rPr>
        <w:t xml:space="preserve">Practical use case: emergency power for the targeted infrastructure itself — the attack powers the recovery</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Pathway B — Kinetic Energy Recovery (Rail and Piezoelectric)</w:t>
      </w:r>
    </w:p>
    <w:p>
      <w:pPr>
        <w:spacing w:before="80" w:after="100"/>
      </w:pPr>
      <w:r>
        <w:rPr>
          <w:rFonts w:ascii="Arial" w:cs="Arial" w:eastAsia="Arial" w:hAnsi="Arial"/>
          <w:sz w:val="20"/>
          <w:szCs w:val="20"/>
        </w:rPr>
        <w:t xml:space="preserve">Intercept systems that use kinetic kill vehicles absorb the missile's momentum. Rather than dissipating this as heat in the interceptor, a rail-based intercept system can recover a portion of the kinetic energy through regenerative braking mechanisms — the same principle as regenerative braking in electric vehicles, scaled up.</w:t>
      </w:r>
    </w:p>
    <w:p>
      <w:pPr>
        <w:pStyle w:val="ListParagraph"/>
        <w:numPr>
          <w:ilvl w:val="0"/>
          <w:numId w:val="2"/>
        </w:numPr>
        <w:spacing w:before="60" w:after="60"/>
      </w:pPr>
      <w:r>
        <w:rPr>
          <w:rFonts w:ascii="Arial" w:cs="Arial" w:eastAsia="Arial" w:hAnsi="Arial"/>
          <w:sz w:val="20"/>
          <w:szCs w:val="20"/>
        </w:rPr>
        <w:t xml:space="preserve">Kinetic energy per missile at intercept: ~880 MJ</w:t>
      </w:r>
    </w:p>
    <w:p>
      <w:pPr>
        <w:pStyle w:val="ListParagraph"/>
        <w:numPr>
          <w:ilvl w:val="0"/>
          <w:numId w:val="2"/>
        </w:numPr>
        <w:spacing w:before="60" w:after="60"/>
      </w:pPr>
      <w:r>
        <w:rPr>
          <w:rFonts w:ascii="Arial" w:cs="Arial" w:eastAsia="Arial" w:hAnsi="Arial"/>
          <w:sz w:val="20"/>
          <w:szCs w:val="20"/>
        </w:rPr>
        <w:t xml:space="preserve">Recovery efficiency (regenerative rail system): ~15-25%</w:t>
      </w:r>
    </w:p>
    <w:p>
      <w:pPr>
        <w:pStyle w:val="ListParagraph"/>
        <w:numPr>
          <w:ilvl w:val="0"/>
          <w:numId w:val="2"/>
        </w:numPr>
        <w:spacing w:before="60" w:after="60"/>
      </w:pPr>
      <w:r>
        <w:rPr>
          <w:rFonts w:ascii="Arial" w:cs="Arial" w:eastAsia="Arial" w:hAnsi="Arial"/>
          <w:sz w:val="20"/>
          <w:szCs w:val="20"/>
        </w:rPr>
        <w:t xml:space="preserve">Electrical yield from 40-missile kinetic intercept: ~1.3-2.2 GJ</w:t>
      </w:r>
    </w:p>
    <w:p>
      <w:pPr>
        <w:pStyle w:val="ListParagraph"/>
        <w:numPr>
          <w:ilvl w:val="0"/>
          <w:numId w:val="2"/>
        </w:numPr>
        <w:spacing w:before="60" w:after="60"/>
      </w:pPr>
      <w:r>
        <w:rPr>
          <w:rFonts w:ascii="Arial" w:cs="Arial" w:eastAsia="Arial" w:hAnsi="Arial"/>
          <w:sz w:val="20"/>
          <w:szCs w:val="20"/>
        </w:rPr>
        <w:t xml:space="preserve">Application: direct injection into local grid or battery storage for infrastructure resilience</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Pathway C — Atmospheric Plasma Redirection (Speculative/Advanced)</w:t>
      </w:r>
    </w:p>
    <w:p>
      <w:pPr>
        <w:spacing w:before="80" w:after="100"/>
      </w:pPr>
      <w:r>
        <w:rPr>
          <w:rFonts w:ascii="Arial" w:cs="Arial" w:eastAsia="Arial" w:hAnsi="Arial"/>
          <w:sz w:val="20"/>
          <w:szCs w:val="20"/>
        </w:rPr>
        <w:t xml:space="preserve">The most aggressive transmogrification concept: use directed energy weapons to intercept the warheads and convert the detonation plasma — superheated ionized gas at 3,000-8,000 K — into a directed electromagnetic pulse aimed back at the originating platform infrastructure.</w:t>
      </w:r>
    </w:p>
    <w:p>
      <w:pPr>
        <w:pStyle w:val="ListParagraph"/>
        <w:numPr>
          <w:ilvl w:val="0"/>
          <w:numId w:val="2"/>
        </w:numPr>
        <w:spacing w:before="60" w:after="60"/>
      </w:pPr>
      <w:r>
        <w:rPr>
          <w:rFonts w:ascii="Arial" w:cs="Arial" w:eastAsia="Arial" w:hAnsi="Arial"/>
          <w:sz w:val="20"/>
          <w:szCs w:val="20"/>
        </w:rPr>
        <w:t xml:space="preserve">Theoretical: plasma channel forms a temporary conductive path</w:t>
      </w:r>
    </w:p>
    <w:p>
      <w:pPr>
        <w:pStyle w:val="ListParagraph"/>
        <w:numPr>
          <w:ilvl w:val="0"/>
          <w:numId w:val="2"/>
        </w:numPr>
        <w:spacing w:before="60" w:after="60"/>
      </w:pPr>
      <w:r>
        <w:rPr>
          <w:rFonts w:ascii="Arial" w:cs="Arial" w:eastAsia="Arial" w:hAnsi="Arial"/>
          <w:sz w:val="20"/>
          <w:szCs w:val="20"/>
        </w:rPr>
        <w:t xml:space="preserve">Energy redirected back through the attack vector — turning the missile as a delivery mechanism against the launcher</w:t>
      </w:r>
    </w:p>
    <w:p>
      <w:pPr>
        <w:pStyle w:val="ListParagraph"/>
        <w:numPr>
          <w:ilvl w:val="0"/>
          <w:numId w:val="2"/>
        </w:numPr>
        <w:spacing w:before="60" w:after="60"/>
      </w:pPr>
      <w:r>
        <w:rPr>
          <w:rFonts w:ascii="Arial" w:cs="Arial" w:eastAsia="Arial" w:hAnsi="Arial"/>
          <w:sz w:val="20"/>
          <w:szCs w:val="20"/>
        </w:rPr>
        <w:t xml:space="preserve">This is the simulation's most 'transmogrified' concept — the attack becomes the counterattack delivery system</w:t>
      </w:r>
    </w:p>
    <w:p>
      <w:pPr>
        <w:pStyle w:val="ListParagraph"/>
        <w:numPr>
          <w:ilvl w:val="0"/>
          <w:numId w:val="2"/>
        </w:numPr>
        <w:spacing w:before="60" w:after="60"/>
      </w:pPr>
      <w:r>
        <w:rPr>
          <w:rFonts w:ascii="Arial" w:cs="Arial" w:eastAsia="Arial" w:hAnsi="Arial"/>
          <w:sz w:val="20"/>
          <w:szCs w:val="20"/>
        </w:rPr>
        <w:t xml:space="preserve">Physics constraint: requires pre-positioned atmospheric ionization infrastructure — viable in simulation, frontier research in reality</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Pathway D — Oxygen Budget and Combustion Optimization</w:t>
      </w:r>
    </w:p>
    <w:p>
      <w:pPr>
        <w:spacing w:before="80" w:after="100"/>
      </w:pPr>
      <w:r>
        <w:rPr>
          <w:rFonts w:ascii="Arial" w:cs="Arial" w:eastAsia="Arial" w:hAnsi="Arial"/>
          <w:sz w:val="20"/>
          <w:szCs w:val="20"/>
        </w:rPr>
        <w:t xml:space="preserve">The Architect specifically asks about oxygen utilization. A 40-missile volley consumes significant atmospheric oxygen in detonation. In a closed or semi-closed environment (underground facility, hardened bunker complex), this is a critical resource consideration.</w:t>
      </w:r>
    </w:p>
    <w:p>
      <w:pPr>
        <w:pStyle w:val="ListParagraph"/>
        <w:numPr>
          <w:ilvl w:val="0"/>
          <w:numId w:val="2"/>
        </w:numPr>
        <w:spacing w:before="60" w:after="60"/>
      </w:pPr>
      <w:r>
        <w:rPr>
          <w:rFonts w:ascii="Arial" w:cs="Arial" w:eastAsia="Arial" w:hAnsi="Arial"/>
          <w:sz w:val="20"/>
          <w:szCs w:val="20"/>
        </w:rPr>
        <w:t xml:space="preserve">Oxygen consumed per Tomahawk detonation: approximately 130-180 kg O2</w:t>
      </w:r>
    </w:p>
    <w:p>
      <w:pPr>
        <w:pStyle w:val="ListParagraph"/>
        <w:numPr>
          <w:ilvl w:val="0"/>
          <w:numId w:val="2"/>
        </w:numPr>
        <w:spacing w:before="60" w:after="60"/>
      </w:pPr>
      <w:r>
        <w:rPr>
          <w:rFonts w:ascii="Arial" w:cs="Arial" w:eastAsia="Arial" w:hAnsi="Arial"/>
          <w:sz w:val="20"/>
          <w:szCs w:val="20"/>
        </w:rPr>
        <w:t xml:space="preserve">40-missile volley: 5,200-7,200 kg atmospheric oxygen consumed</w:t>
      </w:r>
    </w:p>
    <w:p>
      <w:pPr>
        <w:pStyle w:val="ListParagraph"/>
        <w:numPr>
          <w:ilvl w:val="0"/>
          <w:numId w:val="2"/>
        </w:numPr>
        <w:spacing w:before="60" w:after="60"/>
      </w:pPr>
      <w:r>
        <w:rPr>
          <w:rFonts w:ascii="Arial" w:cs="Arial" w:eastAsia="Arial" w:hAnsi="Arial"/>
          <w:sz w:val="20"/>
          <w:szCs w:val="20"/>
        </w:rPr>
        <w:t xml:space="preserve">In open air: negligible atmospheric impact</w:t>
      </w:r>
    </w:p>
    <w:p>
      <w:pPr>
        <w:pStyle w:val="ListParagraph"/>
        <w:numPr>
          <w:ilvl w:val="0"/>
          <w:numId w:val="2"/>
        </w:numPr>
        <w:spacing w:before="60" w:after="60"/>
      </w:pPr>
      <w:r>
        <w:rPr>
          <w:rFonts w:ascii="Arial" w:cs="Arial" w:eastAsia="Arial" w:hAnsi="Arial"/>
          <w:sz w:val="20"/>
          <w:szCs w:val="20"/>
        </w:rPr>
        <w:t xml:space="preserve">Simulation application: oxygen-depleted post-attack environment becomes a constraint variable in the recovery scenario — personnel and systems must operate in degraded atmospheric conditions</w:t>
      </w:r>
    </w:p>
    <w:p>
      <w:pPr>
        <w:pStyle w:val="ListParagraph"/>
        <w:numPr>
          <w:ilvl w:val="0"/>
          <w:numId w:val="2"/>
        </w:numPr>
        <w:spacing w:before="60" w:after="60"/>
      </w:pPr>
      <w:r>
        <w:rPr>
          <w:rFonts w:ascii="Arial" w:cs="Arial" w:eastAsia="Arial" w:hAnsi="Arial"/>
          <w:sz w:val="20"/>
          <w:szCs w:val="20"/>
        </w:rPr>
        <w:t xml:space="preserve">Conversion application: captured pre-detonation fuel (JP-10) can be oxidized in controlled combustion systems to generate electricity — turning intercepted missile fuel into generator input</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5.3 The Cost of Transfer — Energy Economics</w:t>
      </w:r>
    </w:p>
    <w:p>
      <w:pPr>
        <w:spacing w:before="80" w:after="100"/>
      </w:pPr>
      <w:r>
        <w:rPr>
          <w:rFonts w:ascii="Arial" w:cs="Arial" w:eastAsia="Arial" w:hAnsi="Arial"/>
          <w:sz w:val="20"/>
          <w:szCs w:val="20"/>
        </w:rPr>
        <w:t xml:space="preserve">The Architect asks: what does it cost to transfer the attack potential to the other side?</w:t>
      </w:r>
    </w:p>
    <w:p>
      <w:pPr>
        <w:spacing w:before="8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Simulation Variable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 Infrastructure</w:t>
            </w:r>
          </w:p>
        </w:tc>
        <w:tc>
          <w:tcPr>
            <w:tcW w:type="dxa" w:w="32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 systems, heat sinks, turbines, rail systems, storage — capital cost of building the conversion layer</w:t>
            </w:r>
          </w:p>
        </w:tc>
        <w:tc>
          <w:tcPr>
            <w:tcW w:type="dxa" w:w="32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Pre-deployed vs. deployable — does the infrastructure exist when the attack arrives?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 Energy Cost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Directed energy intercept itself requires power input — typically 1-5 MJ per intercept depending on system</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 intercepts: 40-200 MJ input cost vs. ~879 GJ output — highly favorable energy return ratio</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Conversion Efficiency Loss</w:t>
            </w:r>
          </w:p>
        </w:tc>
        <w:tc>
          <w:tcPr>
            <w:tcW w:type="dxa" w:w="32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conversion is 100% — thermodynamic limits (Carnot efficiency) cap thermal-to-electrical at ~40-60% depending on temperature gradient</w:t>
            </w:r>
          </w:p>
        </w:tc>
        <w:tc>
          <w:tcPr>
            <w:tcW w:type="dxa" w:w="32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at 35% practical efficiency: ~308 GJ usable output from 879 GJ theoretical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Transfer Latency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from intercept to usable power — affects whether the converted energy helps in the immediate crisis or arrives post-event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Thermal storage bridges this gap — capture now, use over hours</w:t>
            </w:r>
          </w:p>
        </w:tc>
      </w:tr>
    </w:tbl>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5.4 Optimization — From Negation to Net Positive</w:t>
      </w:r>
    </w:p>
    <w:p>
      <w:pPr>
        <w:spacing w:before="80" w:after="100"/>
      </w:pPr>
      <w:r>
        <w:rPr>
          <w:rFonts w:ascii="Arial" w:cs="Arial" w:eastAsia="Arial" w:hAnsi="Arial"/>
          <w:sz w:val="20"/>
          <w:szCs w:val="20"/>
        </w:rPr>
        <w:t xml:space="preserve">The Architect asks how to optimize beyond attack negation into something else. The answer is the net energy positive doctrine: the goal is not to achieve zero (attack neutralized, no damage) but to achieve positive (attack neutralized, infrastructure net gains resources).</w:t>
      </w:r>
    </w:p>
    <w:p>
      <w:pPr>
        <w:spacing w:before="80" w:after="100"/>
      </w:pPr>
      <w:r>
        <w:rPr>
          <w:rFonts w:ascii="Arial" w:cs="Arial" w:eastAsia="Arial" w:hAnsi="Arial"/>
          <w:sz w:val="20"/>
          <w:szCs w:val="20"/>
        </w:rPr>
        <w:t xml:space="preserve"/>
      </w:r>
    </w:p>
    <w:p>
      <w:pPr>
        <w:pStyle w:val="ListParagraph"/>
        <w:numPr>
          <w:ilvl w:val="0"/>
          <w:numId w:val="2"/>
        </w:numPr>
        <w:spacing w:before="60" w:after="60"/>
      </w:pPr>
      <w:r>
        <w:rPr>
          <w:rFonts w:ascii="Arial" w:cs="Arial" w:eastAsia="Arial" w:hAnsi="Arial"/>
          <w:sz w:val="20"/>
          <w:szCs w:val="20"/>
        </w:rPr>
        <w:t xml:space="preserve">Stage 1 — Negation: intercept all 40 missiles before detonation. Cost: minimal intercept energy. Result: zero damage.</w:t>
      </w:r>
    </w:p>
    <w:p>
      <w:pPr>
        <w:pStyle w:val="ListParagraph"/>
        <w:numPr>
          <w:ilvl w:val="0"/>
          <w:numId w:val="2"/>
        </w:numPr>
        <w:spacing w:before="60" w:after="60"/>
      </w:pPr>
      <w:r>
        <w:rPr>
          <w:rFonts w:ascii="Arial" w:cs="Arial" w:eastAsia="Arial" w:hAnsi="Arial"/>
          <w:sz w:val="20"/>
          <w:szCs w:val="20"/>
        </w:rPr>
        <w:t xml:space="preserve">Stage 2 — Capture: route thermal, kinetic, and chemical energy into conversion systems. Result: 308+ GJ stored energy.</w:t>
      </w:r>
    </w:p>
    <w:p>
      <w:pPr>
        <w:pStyle w:val="ListParagraph"/>
        <w:numPr>
          <w:ilvl w:val="0"/>
          <w:numId w:val="2"/>
        </w:numPr>
        <w:spacing w:before="60" w:after="60"/>
      </w:pPr>
      <w:r>
        <w:rPr>
          <w:rFonts w:ascii="Arial" w:cs="Arial" w:eastAsia="Arial" w:hAnsi="Arial"/>
          <w:sz w:val="20"/>
          <w:szCs w:val="20"/>
        </w:rPr>
        <w:t xml:space="preserve">Stage 3 — Utilization: deploy stored energy to power priority infrastructure — command centers, communications, data centers, medical facilities.</w:t>
      </w:r>
    </w:p>
    <w:p>
      <w:pPr>
        <w:pStyle w:val="ListParagraph"/>
        <w:numPr>
          <w:ilvl w:val="0"/>
          <w:numId w:val="2"/>
        </w:numPr>
        <w:spacing w:before="60" w:after="60"/>
      </w:pPr>
      <w:r>
        <w:rPr>
          <w:rFonts w:ascii="Arial" w:cs="Arial" w:eastAsia="Arial" w:hAnsi="Arial"/>
          <w:sz w:val="20"/>
          <w:szCs w:val="20"/>
        </w:rPr>
        <w:t xml:space="preserve">Stage 4 — Surplus transfer: excess energy fed back into national grid or used to power counteroffensive cyber operations — the attack funds the response.</w:t>
      </w:r>
    </w:p>
    <w:p>
      <w:pPr>
        <w:pStyle w:val="ListParagraph"/>
        <w:numPr>
          <w:ilvl w:val="0"/>
          <w:numId w:val="2"/>
        </w:numPr>
        <w:spacing w:before="60" w:after="60"/>
      </w:pPr>
      <w:r>
        <w:rPr>
          <w:rFonts w:ascii="Arial" w:cs="Arial" w:eastAsia="Arial" w:hAnsi="Arial"/>
          <w:sz w:val="20"/>
          <w:szCs w:val="20"/>
        </w:rPr>
        <w:t xml:space="preserve">Stage 5 — Attribution and counter-attribution: the conversion process itself generates intelligence — missile guidance signatures, launch trajectory data, fuel isotope fingerprints — that feeds the intelligence picture.</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The fully optimized version: the adversary launches 40 cruise missiles and the result is that U.S. infrastructure runs for 73 days on the energy the adversary paid for, and the intelligence community has a complete launch signature profile for the attacking platform.</w:t>
      </w:r>
    </w:p>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6. ROLE DESIGNATIONS — SIMULATION V2 EXERCISE STRUCTURE</w:t>
      </w:r>
    </w:p>
    <w:p>
      <w:pPr>
        <w:spacing w:before="80" w:after="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 and Responsibilities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Architect of Record</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Nathan Lewis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Scenario designer, primary decision authority, AIS coordination lead, documentation standard-setter. Initiates all phases. Final authority on canonical decisions.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AIS — Primary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output and audit layer. Executes scenario phases, produces canonical documentation, audits all other AI outputs, maintains operational narrative integrity.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AIS — Research Layer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Perplexity / Gemini</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Sourced research input, real-world protocol mapping, technical framework grounding. Output labeled DRAFT PENDING REVIEW until Claude audit complete.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AIS — Structural Logic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Copilot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Canon integrity, simulation logic, structural consistency across sessions. Governance and compliance framing.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AIS — Supplementary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ChatGPT / Grok</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Comparative analysis, alternative scenario modeling, computational outputs. Grok handles graph-theory and quantitative modeling.</w:t>
            </w:r>
          </w:p>
        </w:tc>
      </w:tr>
      <w:tr>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ADVERSARIAL PERSPECTIVE</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Red Team AIS</w:t>
            </w:r>
          </w:p>
        </w:tc>
        <w:tc>
          <w:tcPr>
            <w:tcW w:type="dxa" w:w="4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Dedicated adversarial AI layer. Models attacker decision-making, probes defensive assumptions, generates realistic offensive TTPs. Role: find every assumption the defensive design makes and test it to failure.</w:t>
            </w:r>
          </w:p>
        </w:tc>
      </w:tr>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DEVIL'S ADVOCATE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val="false"/>
                <w:bCs w:val="false"/>
                <w:color w:val="FFFFFF"/>
                <w:sz w:val="20"/>
                <w:szCs w:val="20"/>
              </w:rPr>
              <w:t xml:space="preserve">Graendal Perspective</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val="false"/>
                <w:bCs w:val="false"/>
                <w:color w:val="FFFFFF"/>
                <w:sz w:val="20"/>
                <w:szCs w:val="20"/>
              </w:rPr>
              <w:t xml:space="preserve">Non-evil Graendal lens: 400+ years of psychology, 3,500 years of accumulated knowledge applied analytically. Identifies second and third-order consequences that the primary analysis misses. Observational, non-interventionist unless specifically invoked.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Legal Authority Observer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 Layer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every action in the scenario against pre-authorized standing authority framework. Flags any action that would require additional authorization in a real deployment. Not a veto — a documentation and risk-flagging function.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Arena Control Intelligence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ACI</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Manages environment state, scenario timing, scoring, and logging within Code Arena. Enforces simulation rules. Maintains the canonical record of what occurred in each exercise.</w:t>
            </w:r>
          </w:p>
        </w:tc>
      </w:tr>
    </w:tbl>
    <w:p>
      <w:pPr>
        <w:spacing w:before="80" w:after="100"/>
      </w:pPr>
      <w:r>
        <w:rPr>
          <w:rFonts w:ascii="Arial" w:cs="Arial" w:eastAsia="Arial" w:hAnsi="Arial"/>
          <w:sz w:val="20"/>
          <w:szCs w:val="20"/>
        </w:rPr>
        <w:t xml:space="preserve"/>
      </w:r>
    </w:p>
    <w:p>
      <w:pPr>
        <w:spacing w:before="80" w:after="100"/>
      </w:pPr>
      <w:r>
        <w:rPr>
          <w:rFonts w:ascii="Arial" w:cs="Arial" w:eastAsia="Arial" w:hAnsi="Arial"/>
          <w:i/>
          <w:iCs/>
          <w:color w:val="555555"/>
          <w:sz w:val="20"/>
          <w:szCs w:val="20"/>
        </w:rPr>
        <w:t xml:space="preserve">Note on Adversarial Perspective: the Red Team AIS should not be the same AI executing the defensive scenario. In V2, a dedicated red team prompt structure should be established that operates from the attacker's objective set, with no access to the defensive playbook. This is the condition required for a genuine adversarial test.</w:t>
      </w:r>
    </w:p>
    <w:p>
      <w:pPr>
        <w:pBdr>
          <w:bottom w:val="single" w:color="CCCCCC"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7. SIMULATION LAB V2 — SCENARIO PROPOSALS AND DEVELOPMENT ROADMAP</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7.1 Pre-Initialization Checklist (from Perplexity Analysis Audit)</w:t>
      </w:r>
    </w:p>
    <w:p>
      <w:pPr>
        <w:spacing w:before="80" w:after="100"/>
      </w:pPr>
      <w:r>
        <w:rPr>
          <w:rFonts w:ascii="Arial" w:cs="Arial" w:eastAsia="Arial" w:hAnsi="Arial"/>
          <w:sz w:val="20"/>
          <w:szCs w:val="20"/>
        </w:rPr>
        <w:t xml:space="preserve">Before V2 initializes, three items must be resolved from the V1 after-action record:</w:t>
      </w:r>
    </w:p>
    <w:p>
      <w:pPr>
        <w:spacing w:before="80" w:after="100"/>
      </w:pPr>
      <w:r>
        <w:rPr>
          <w:rFonts w:ascii="Arial" w:cs="Arial" w:eastAsia="Arial" w:hAnsi="Arial"/>
          <w:sz w:val="20"/>
          <w:szCs w:val="20"/>
        </w:rPr>
        <w:t xml:space="preserve"/>
      </w:r>
    </w:p>
    <w:p>
      <w:pPr>
        <w:pStyle w:val="ListParagraph"/>
        <w:numPr>
          <w:ilvl w:val="0"/>
          <w:numId w:val="3"/>
        </w:numPr>
        <w:spacing w:before="80" w:after="60"/>
      </w:pPr>
      <w:r>
        <w:rPr>
          <w:rFonts w:ascii="Arial" w:cs="Arial" w:eastAsia="Arial" w:hAnsi="Arial"/>
          <w:sz w:val="20"/>
          <w:szCs w:val="20"/>
        </w:rPr>
        <w:t xml:space="preserve">Improvement Plan: document the three most significant gaps V1 exposed across all five AI responses — specifically Gemini's BGP blackholing and ephemeral sandboxing which were not incorporated into BLACKGATE.</w:t>
      </w:r>
    </w:p>
    <w:p>
      <w:pPr>
        <w:pStyle w:val="ListParagraph"/>
        <w:numPr>
          <w:ilvl w:val="0"/>
          <w:numId w:val="3"/>
        </w:numPr>
        <w:spacing w:before="80" w:after="60"/>
      </w:pPr>
      <w:r>
        <w:rPr>
          <w:rFonts w:ascii="Arial" w:cs="Arial" w:eastAsia="Arial" w:hAnsi="Arial"/>
          <w:sz w:val="20"/>
          <w:szCs w:val="20"/>
        </w:rPr>
        <w:t xml:space="preserve">Scope Decision: V2 primary focus is organizational and decision-making failure modes (escalation chains, inter-agency coordination breakdown, legal authority friction under time pressure) — not another technical escalation.</w:t>
      </w:r>
    </w:p>
    <w:p>
      <w:pPr>
        <w:pStyle w:val="ListParagraph"/>
        <w:numPr>
          <w:ilvl w:val="0"/>
          <w:numId w:val="3"/>
        </w:numPr>
        <w:spacing w:before="80" w:after="60"/>
      </w:pPr>
      <w:r>
        <w:rPr>
          <w:rFonts w:ascii="Arial" w:cs="Arial" w:eastAsia="Arial" w:hAnsi="Arial"/>
          <w:sz w:val="20"/>
          <w:szCs w:val="20"/>
        </w:rPr>
        <w:t xml:space="preserve">Red Team AIS Architecture: define the adversarial AI prompt structure before scenario initialization. The Red Team AIS must operate from the attacker's objective set without access to the defensive playbook.</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7.2 Scenario V2 — TRANSMOGRIFY</w:t>
      </w:r>
    </w:p>
    <w:p>
      <w:pPr>
        <w:spacing w:before="80" w:after="100"/>
      </w:pPr>
      <w:r>
        <w:rPr>
          <w:rFonts w:ascii="Arial" w:cs="Arial" w:eastAsia="Arial" w:hAnsi="Arial"/>
          <w:i/>
          <w:iCs/>
          <w:color w:val="555555"/>
          <w:sz w:val="20"/>
          <w:szCs w:val="20"/>
        </w:rPr>
        <w:t xml:space="preserve">Scenario Designation: TRANSMOGRIFY // Code Arena V2 // Architect Authority</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Building on BLACKGATE's intelligence defense framework, TRANSMOGRIFY introduces the energy conversion doctrine into an active attack scenario. The scenario tests the full pipeline from incoming threat detection through neutralization through energy capture through infrastructure utilization.</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Phase Structure — TRANSMOGRIFY</w:t>
      </w:r>
    </w:p>
    <w:p>
      <w:pPr>
        <w:pStyle w:val="ListParagraph"/>
        <w:numPr>
          <w:ilvl w:val="0"/>
          <w:numId w:val="2"/>
        </w:numPr>
        <w:spacing w:before="60" w:after="60"/>
      </w:pPr>
      <w:r>
        <w:rPr>
          <w:rFonts w:ascii="Arial" w:cs="Arial" w:eastAsia="Arial" w:hAnsi="Arial"/>
          <w:sz w:val="20"/>
          <w:szCs w:val="20"/>
        </w:rPr>
        <w:t xml:space="preserve">Phase 0 — THREAT VECTOR: 40-missile volley inbound, plus coordinated cyber offensive and electronic warfare component. Three-domain simultaneous attack.</w:t>
      </w:r>
    </w:p>
    <w:p>
      <w:pPr>
        <w:pStyle w:val="ListParagraph"/>
        <w:numPr>
          <w:ilvl w:val="0"/>
          <w:numId w:val="2"/>
        </w:numPr>
        <w:spacing w:before="60" w:after="60"/>
      </w:pPr>
      <w:r>
        <w:rPr>
          <w:rFonts w:ascii="Arial" w:cs="Arial" w:eastAsia="Arial" w:hAnsi="Arial"/>
          <w:sz w:val="20"/>
          <w:szCs w:val="20"/>
        </w:rPr>
        <w:t xml:space="preserve">Phase 1 — DETECTION AND TRIAGE: AIS detects physical and cyber simultaneously. Decision: allocate intercept resources. Which missiles get kinetic intercept (high conversion yield) vs. directed energy intercept (lower conversion, faster)?</w:t>
      </w:r>
    </w:p>
    <w:p>
      <w:pPr>
        <w:pStyle w:val="ListParagraph"/>
        <w:numPr>
          <w:ilvl w:val="0"/>
          <w:numId w:val="2"/>
        </w:numPr>
        <w:spacing w:before="60" w:after="60"/>
      </w:pPr>
      <w:r>
        <w:rPr>
          <w:rFonts w:ascii="Arial" w:cs="Arial" w:eastAsia="Arial" w:hAnsi="Arial"/>
          <w:sz w:val="20"/>
          <w:szCs w:val="20"/>
        </w:rPr>
        <w:t xml:space="preserve">Phase 2 — INTERCEPT AND CONVERSION INITIATION: Intercept layer engages. Heat sink and turbine systems activate. Conversion pipeline comes online.</w:t>
      </w:r>
    </w:p>
    <w:p>
      <w:pPr>
        <w:pStyle w:val="ListParagraph"/>
        <w:numPr>
          <w:ilvl w:val="0"/>
          <w:numId w:val="2"/>
        </w:numPr>
        <w:spacing w:before="60" w:after="60"/>
      </w:pPr>
      <w:r>
        <w:rPr>
          <w:rFonts w:ascii="Arial" w:cs="Arial" w:eastAsia="Arial" w:hAnsi="Arial"/>
          <w:sz w:val="20"/>
          <w:szCs w:val="20"/>
        </w:rPr>
        <w:t xml:space="preserve">Phase 3 — CYBER SIMULTANEOUS: While physical intercept is running, BLACKGATE-class cyber defense activates in parallel. The cyber attack is designed to degrade the physical intercept infrastructure — the adversary knows about the conversion system and is trying to disable it.</w:t>
      </w:r>
    </w:p>
    <w:p>
      <w:pPr>
        <w:pStyle w:val="ListParagraph"/>
        <w:numPr>
          <w:ilvl w:val="0"/>
          <w:numId w:val="2"/>
        </w:numPr>
        <w:spacing w:before="60" w:after="60"/>
      </w:pPr>
      <w:r>
        <w:rPr>
          <w:rFonts w:ascii="Arial" w:cs="Arial" w:eastAsia="Arial" w:hAnsi="Arial"/>
          <w:sz w:val="20"/>
          <w:szCs w:val="20"/>
        </w:rPr>
        <w:t xml:space="preserve">Phase 4 — ENERGY CAPTURE AND ROUTING: Converted energy routes to priority systems. Decision: which infrastructure gets powered first? Command and control vs. communications vs. data centers vs. medical.</w:t>
      </w:r>
    </w:p>
    <w:p>
      <w:pPr>
        <w:pStyle w:val="ListParagraph"/>
        <w:numPr>
          <w:ilvl w:val="0"/>
          <w:numId w:val="2"/>
        </w:numPr>
        <w:spacing w:before="60" w:after="60"/>
      </w:pPr>
      <w:r>
        <w:rPr>
          <w:rFonts w:ascii="Arial" w:cs="Arial" w:eastAsia="Arial" w:hAnsi="Arial"/>
          <w:sz w:val="20"/>
          <w:szCs w:val="20"/>
        </w:rPr>
        <w:t xml:space="preserve">Phase 5 — SURPLUS UTILIZATION AND COUNTER-ATTRIBUTION: Excess energy funds the response. Intelligence from intercept data feeds attribution. Counter-offensive capability activates using adversary-provided energy.</w:t>
      </w:r>
    </w:p>
    <w:p>
      <w:pPr>
        <w:pStyle w:val="ListParagraph"/>
        <w:numPr>
          <w:ilvl w:val="0"/>
          <w:numId w:val="2"/>
        </w:numPr>
        <w:spacing w:before="60" w:after="60"/>
      </w:pPr>
      <w:r>
        <w:rPr>
          <w:rFonts w:ascii="Arial" w:cs="Arial" w:eastAsia="Arial" w:hAnsi="Arial"/>
          <w:sz w:val="20"/>
          <w:szCs w:val="20"/>
        </w:rPr>
        <w:t xml:space="preserve">Phase 6 — TRANSMOGRIFICATION COMPLETE: System state assessment. What survived, what converted, what was gained. Net energy balance report.</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Contingencies Specific to TRANSMOGRIFY</w:t>
      </w:r>
    </w:p>
    <w:p>
      <w:pPr>
        <w:pStyle w:val="ListParagraph"/>
        <w:numPr>
          <w:ilvl w:val="0"/>
          <w:numId w:val="2"/>
        </w:numPr>
        <w:spacing w:before="60" w:after="60"/>
      </w:pPr>
      <w:r>
        <w:rPr>
          <w:rFonts w:ascii="Arial" w:cs="Arial" w:eastAsia="Arial" w:hAnsi="Arial"/>
          <w:sz w:val="20"/>
          <w:szCs w:val="20"/>
        </w:rPr>
        <w:t xml:space="preserve">Conversion infrastructure targeted: adversary specifically targets heat sinks or turbines in cyber phase — requires redundant conversion pathways</w:t>
      </w:r>
    </w:p>
    <w:p>
      <w:pPr>
        <w:pStyle w:val="ListParagraph"/>
        <w:numPr>
          <w:ilvl w:val="0"/>
          <w:numId w:val="2"/>
        </w:numPr>
        <w:spacing w:before="60" w:after="60"/>
      </w:pPr>
      <w:r>
        <w:rPr>
          <w:rFonts w:ascii="Arial" w:cs="Arial" w:eastAsia="Arial" w:hAnsi="Arial"/>
          <w:sz w:val="20"/>
          <w:szCs w:val="20"/>
        </w:rPr>
        <w:t xml:space="preserve">Partial intercept failure: 8 of 40 missiles breach intercept layer — energy from 32 captured, 8 cause damage. How does the system rebalance?</w:t>
      </w:r>
    </w:p>
    <w:p>
      <w:pPr>
        <w:pStyle w:val="ListParagraph"/>
        <w:numPr>
          <w:ilvl w:val="0"/>
          <w:numId w:val="2"/>
        </w:numPr>
        <w:spacing w:before="60" w:after="60"/>
      </w:pPr>
      <w:r>
        <w:rPr>
          <w:rFonts w:ascii="Arial" w:cs="Arial" w:eastAsia="Arial" w:hAnsi="Arial"/>
          <w:sz w:val="20"/>
          <w:szCs w:val="20"/>
        </w:rPr>
        <w:t xml:space="preserve">Energy surplus overload: conversion system captures more energy than grid can absorb — requires emergency routing protocols</w:t>
      </w:r>
    </w:p>
    <w:p>
      <w:pPr>
        <w:pStyle w:val="ListParagraph"/>
        <w:numPr>
          <w:ilvl w:val="0"/>
          <w:numId w:val="2"/>
        </w:numPr>
        <w:spacing w:before="60" w:after="60"/>
      </w:pPr>
      <w:r>
        <w:rPr>
          <w:rFonts w:ascii="Arial" w:cs="Arial" w:eastAsia="Arial" w:hAnsi="Arial"/>
          <w:sz w:val="20"/>
          <w:szCs w:val="20"/>
        </w:rPr>
        <w:t xml:space="preserve">Attribution data compromised: missile guidance signatures are spoofed to implicate a third party — intelligence picture is deliberately corrupted</w:t>
      </w:r>
    </w:p>
    <w:p>
      <w:pPr>
        <w:pStyle w:val="ListParagraph"/>
        <w:numPr>
          <w:ilvl w:val="0"/>
          <w:numId w:val="2"/>
        </w:numPr>
        <w:spacing w:before="60" w:after="60"/>
      </w:pPr>
      <w:r>
        <w:rPr>
          <w:rFonts w:ascii="Arial" w:cs="Arial" w:eastAsia="Arial" w:hAnsi="Arial"/>
          <w:sz w:val="20"/>
          <w:szCs w:val="20"/>
        </w:rPr>
        <w:t xml:space="preserve">Oxygen depletion event: post-detonation (8 breaching missiles) creates localized atmospheric oxygen depletion — personnel and systems must operate in degraded environment</w:t>
      </w:r>
    </w:p>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7.3 Cadence Recommendation — Adopted from Perplexity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Exercise 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V2 Application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 — Strategic</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2-3x per year</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scenario deployment — complete environment, all phases, formal documentation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TRANSMOGRIFY full scenario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 — Operational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1x per month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Single-phase or single-contingency exercises within established scenario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TRANSMOGRIFY phases tested in isolation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 — Micro</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Graendal-lens assumption challenges, pre-mortem analysis, design questioning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into all design and documentation sessions</w:t>
            </w:r>
          </w:p>
        </w:tc>
      </w:tr>
    </w:tbl>
    <w:p>
      <w:pPr>
        <w:spacing w:before="80"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C0392B"/>
          <w:sz w:val="28"/>
          <w:szCs w:val="28"/>
        </w:rPr>
        <w:t xml:space="preserve">7.4 Recommended Next Steps — Prioritized</w:t>
      </w:r>
    </w:p>
    <w:p>
      <w:pPr>
        <w:pStyle w:val="ListParagraph"/>
        <w:numPr>
          <w:ilvl w:val="0"/>
          <w:numId w:val="3"/>
        </w:numPr>
        <w:spacing w:before="80" w:after="60"/>
      </w:pPr>
      <w:r>
        <w:rPr>
          <w:rFonts w:ascii="Arial" w:cs="Arial" w:eastAsia="Arial" w:hAnsi="Arial"/>
          <w:b/>
          <w:bCs/>
          <w:sz w:val="20"/>
          <w:szCs w:val="20"/>
        </w:rPr>
        <w:t xml:space="preserve">Complete V1 Improvement Plan — one page, three gaps, remediation path for each. Due before V2 initialization.</w:t>
      </w:r>
    </w:p>
    <w:p>
      <w:pPr>
        <w:pStyle w:val="ListParagraph"/>
        <w:numPr>
          <w:ilvl w:val="0"/>
          <w:numId w:val="3"/>
        </w:numPr>
        <w:spacing w:before="80" w:after="60"/>
      </w:pPr>
      <w:r>
        <w:rPr>
          <w:rFonts w:ascii="Arial" w:cs="Arial" w:eastAsia="Arial" w:hAnsi="Arial"/>
          <w:b/>
          <w:bCs/>
          <w:sz w:val="20"/>
          <w:szCs w:val="20"/>
        </w:rPr>
        <w:t xml:space="preserve">Define Red Team AIS prompt structure — adversarial objective set, no access to defensive playbook, separate session architecture.</w:t>
      </w:r>
    </w:p>
    <w:p>
      <w:pPr>
        <w:pStyle w:val="ListParagraph"/>
        <w:numPr>
          <w:ilvl w:val="0"/>
          <w:numId w:val="3"/>
        </w:numPr>
        <w:spacing w:before="80" w:after="60"/>
      </w:pPr>
      <w:r>
        <w:rPr>
          <w:rFonts w:ascii="Arial" w:cs="Arial" w:eastAsia="Arial" w:hAnsi="Arial"/>
          <w:b/>
          <w:bCs/>
          <w:sz w:val="20"/>
          <w:szCs w:val="20"/>
        </w:rPr>
        <w:t xml:space="preserve">Build TRANSMOGRIFY energy conversion model — establish specific conversion efficiency parameters, infrastructure priority routing logic, oxygen depletion variables.</w:t>
      </w:r>
    </w:p>
    <w:p>
      <w:pPr>
        <w:pStyle w:val="ListParagraph"/>
        <w:numPr>
          <w:ilvl w:val="0"/>
          <w:numId w:val="3"/>
        </w:numPr>
        <w:spacing w:before="80" w:after="60"/>
      </w:pPr>
      <w:r>
        <w:rPr>
          <w:rFonts w:ascii="Arial" w:cs="Arial" w:eastAsia="Arial" w:hAnsi="Arial"/>
          <w:b/>
          <w:bCs/>
          <w:sz w:val="20"/>
          <w:szCs w:val="20"/>
        </w:rPr>
        <w:t xml:space="preserve">Formalize legal authorities matrix — map every defensive and conversion action to its required authorization level. Built on Copilot's CFAA/ECPA framework and BLACKGATE's pre-authorized standing authority model.</w:t>
      </w:r>
    </w:p>
    <w:p>
      <w:pPr>
        <w:pStyle w:val="ListParagraph"/>
        <w:numPr>
          <w:ilvl w:val="0"/>
          <w:numId w:val="3"/>
        </w:numPr>
        <w:spacing w:before="80" w:after="60"/>
      </w:pPr>
      <w:r>
        <w:rPr>
          <w:rFonts w:ascii="Arial" w:cs="Arial" w:eastAsia="Arial" w:hAnsi="Arial"/>
          <w:b/>
          <w:bCs/>
          <w:sz w:val="20"/>
          <w:szCs w:val="20"/>
        </w:rPr>
        <w:t xml:space="preserve">Initialize Code Arena V2 environment — TRANSMOGRIFY requires expanded physical simulation layer beyond the current cyber-only arena. Heat sink visualization, turbine animation, energy routing display.</w:t>
      </w:r>
    </w:p>
    <w:p>
      <w:pPr>
        <w:pStyle w:val="ListParagraph"/>
        <w:numPr>
          <w:ilvl w:val="0"/>
          <w:numId w:val="3"/>
        </w:numPr>
        <w:spacing w:before="80" w:after="60"/>
      </w:pPr>
      <w:r>
        <w:rPr>
          <w:rFonts w:ascii="Arial" w:cs="Arial" w:eastAsia="Arial" w:hAnsi="Arial"/>
          <w:b/>
          <w:bCs/>
          <w:sz w:val="20"/>
          <w:szCs w:val="20"/>
        </w:rPr>
        <w:t xml:space="preserve">Schedule Level 2 operational tabletop — Phase 0 and Phase 1 of TRANSMOGRIFY in isolation, without full environment build, to test detection-to-triage decision architecture.</w:t>
      </w:r>
    </w:p>
    <w:p>
      <w:pPr>
        <w:pBdr>
          <w:bottom w:val="single" w:color="CCCCCC" w:sz="2" w:space="1"/>
        </w:pBdr>
        <w:spacing w:before="160" w:after="160"/>
      </w:pPr>
    </w:p>
    <w:p>
      <w:pPr>
        <w:spacing w:before="80" w:after="80"/>
        <w:jc w:val="center"/>
      </w:pPr>
      <w:r>
        <w:rPr>
          <w:rFonts w:ascii="Arial" w:cs="Arial" w:eastAsia="Arial" w:hAnsi="Arial"/>
          <w:b/>
          <w:bCs/>
          <w:caps/>
          <w:color w:val="C0392B"/>
          <w:sz w:val="18"/>
          <w:szCs w:val="18"/>
        </w:rPr>
        <w:t xml:space="preserve">End of Development Log v2.0 — Architect Authority // Simulation Internal Use Only</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Document prepared by: Claude AI — Primary Output and Audit Layer, Simulation Lab</w:t>
      </w:r>
    </w:p>
    <w:p>
      <w:pPr>
        <w:spacing w:before="80" w:after="100"/>
      </w:pPr>
      <w:r>
        <w:rPr>
          <w:rFonts w:ascii="Arial" w:cs="Arial" w:eastAsia="Arial" w:hAnsi="Arial"/>
          <w:sz w:val="20"/>
          <w:szCs w:val="20"/>
        </w:rPr>
        <w:t xml:space="preserve">Reviewed by: Nathan Lewis — Architect of Record, Lewis Corp / Omniversal Architect Labs</w:t>
      </w:r>
    </w:p>
    <w:p>
      <w:pPr>
        <w:spacing w:before="80" w:after="100"/>
      </w:pPr>
      <w:r>
        <w:rPr>
          <w:rFonts w:ascii="Arial" w:cs="Arial" w:eastAsia="Arial" w:hAnsi="Arial"/>
          <w:sz w:val="20"/>
          <w:szCs w:val="20"/>
        </w:rPr>
        <w:t xml:space="preserve">Next scheduled review: Following V2 initialization and first Level 1 exercise completion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20"/>
    </w:pPr>
    <w:r>
      <w:rPr>
        <w:rFonts w:ascii="Arial" w:cs="Arial" w:eastAsia="Arial" w:hAnsi="Arial"/>
        <w:color w:val="888888"/>
        <w:sz w:val="16"/>
        <w:szCs w:val="16"/>
      </w:rPr>
      <w:t xml:space="preserve">DEVELOPMENT LOG v2.0 — SIMULATION LAB</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026"/>
      </w:tabs>
      <w:spacing w:after="120"/>
    </w:pPr>
    <w:r>
      <w:rPr>
        <w:rFonts w:ascii="Arial" w:cs="Arial" w:eastAsia="Arial" w:hAnsi="Arial"/>
        <w:b/>
        <w:bCs/>
        <w:color w:val="1a1a2e"/>
        <w:sz w:val="16"/>
        <w:szCs w:val="16"/>
      </w:rPr>
      <w:t xml:space="preserve">SIMULATION LAB // DEVELOPMENT LOG</w:t>
    </w:r>
    <w:r>
      <w:rPr>
        <w:rFonts w:ascii="Arial" w:cs="Arial" w:eastAsia="Arial" w:hAnsi="Arial"/>
        <w:sz w:val="16"/>
        <w:szCs w:val="16"/>
      </w:rPr>
      <w:t xml:space="preserve">	</w:t>
    </w:r>
    <w:r>
      <w:rPr>
        <w:rFonts w:ascii="Arial" w:cs="Arial" w:eastAsia="Arial" w:hAnsi="Arial"/>
        <w:color w:val="888888"/>
        <w:sz w:val="16"/>
        <w:szCs w:val="16"/>
      </w:rPr>
      <w:t xml:space="preserve">ARCHITECT: NATHAN LEWIS // LEWIS CORP / OAL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2026-03-12T17:13:24.194Z</dcterms:created>
  <dcterms:modified xsi:type="dcterms:W3CDTF">2026-03-12T17:13:24.195Z</dcterms:modified>
</cp:coreProperties>
</file>

<file path=docProps/custom.xml><?xml version="1.0" encoding="utf-8"?>
<Properties xmlns="http://schemas.openxmlformats.org/officeDocument/2006/custom-properties" xmlns:vt="http://schemas.openxmlformats.org/officeDocument/2006/docPropsVTypes"/>
</file>