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the-mule"/>
    <w:p>
      <w:pPr>
        <w:pStyle w:val="Heading1"/>
      </w:pPr>
      <w:r>
        <w:t xml:space="preserve">THE MULE</w:t>
      </w:r>
    </w:p>
    <w:bookmarkStart w:id="20" w:name="Xaea8da0ef4377515ce2302522c379f791286e9a"/>
    <w:p>
      <w:pPr>
        <w:pStyle w:val="Heading2"/>
      </w:pPr>
      <w:r>
        <w:t xml:space="preserve">Scenario Concept Dossier — Biological Delivery &amp; Investigative Exploitation</w:t>
      </w:r>
    </w:p>
    <w:p>
      <w:r>
        <w:pict>
          <v:rect style="width:0;height:1.5pt" o:hralign="center" o:hrstd="t" o:hr="t"/>
        </w:pict>
      </w:r>
    </w:p>
    <w:p>
      <w:pPr>
        <w:pStyle w:val="FirstParagraph"/>
      </w:pPr>
      <w:r>
        <w:rPr>
          <w:bCs/>
          <w:b/>
        </w:rPr>
        <w:t xml:space="preserve">Document ID:</w:t>
      </w:r>
      <w:r>
        <w:t xml:space="preserve"> </w:t>
      </w:r>
      <w:r>
        <w:t xml:space="preserve">OAL-DOSSIER-CANON-003</w:t>
      </w:r>
      <w:r>
        <w:br/>
      </w:r>
      <w:r>
        <w:rPr>
          <w:bCs/>
          <w:b/>
        </w:rPr>
        <w:t xml:space="preserve">Version:</w:t>
      </w:r>
      <w:r>
        <w:t xml:space="preserve"> </w:t>
      </w:r>
      <w:r>
        <w:t xml:space="preserve">v1.0.0</w:t>
      </w:r>
      <w:r>
        <w:br/>
      </w:r>
      <w:r>
        <w:rPr>
          <w:bCs/>
          <w:b/>
        </w:rPr>
        <w:t xml:space="preserve">Status:</w:t>
      </w:r>
      <w:r>
        <w:t xml:space="preserve"> </w:t>
      </w:r>
      <w:r>
        <w:t xml:space="preserve">DRAFT — PENDING ARCHITECT REVIEW &amp; ONESTAMP</w:t>
      </w:r>
      <w:r>
        <w:br/>
      </w:r>
      <w:r>
        <w:rPr>
          <w:bCs/>
          <w:b/>
        </w:rPr>
        <w:t xml:space="preserve">Prepared by:</w:t>
      </w:r>
      <w:r>
        <w:t xml:space="preserve"> </w:t>
      </w:r>
      <w:r>
        <w:t xml:space="preserve">Grok (xAI) — synthesized from Architect voice dump, additional material, and multi-AI collaborative feedback (ChatGPT, Perplexity, Claude, Gemini)</w:t>
      </w:r>
      <w:r>
        <w:br/>
      </w:r>
      <w:r>
        <w:rPr>
          <w:bCs/>
          <w:b/>
        </w:rPr>
        <w:t xml:space="preserve">Date:</w:t>
      </w:r>
      <w:r>
        <w:t xml:space="preserve"> </w:t>
      </w:r>
      <w:r>
        <w:t xml:space="preserve">July 21, 2026</w:t>
      </w:r>
      <w:r>
        <w:br/>
      </w:r>
      <w:r>
        <w:rPr>
          <w:bCs/>
          <w:b/>
        </w:rPr>
        <w:t xml:space="preserve">Classification:</w:t>
      </w:r>
      <w:r>
        <w:t xml:space="preserve"> </w:t>
      </w:r>
      <w:r>
        <w:t xml:space="preserve">Creative Universe Canon — Story Bible Entry | Master Development Log Update</w:t>
      </w:r>
      <w:r>
        <w:br/>
      </w:r>
      <w:r>
        <w:rPr>
          <w:bCs/>
          <w:b/>
        </w:rPr>
        <w:t xml:space="preserve">Setting Anchor:</w:t>
      </w:r>
      <w:r>
        <w:t xml:space="preserve"> </w:t>
      </w:r>
      <w:r>
        <w:t xml:space="preserve">Bakersfield, California</w:t>
      </w:r>
    </w:p>
    <w:p>
      <w:r>
        <w:pict>
          <v:rect style="width:0;height:1.5pt" o:hralign="center" o:hrstd="t" o:hr="t"/>
        </w:pict>
      </w:r>
    </w:p>
    <w:p>
      <w:pPr>
        <w:pStyle w:val="BlockText"/>
      </w:pPr>
      <w:r>
        <w:rPr>
          <w:bCs/>
          <w:b/>
        </w:rPr>
        <w:t xml:space="preserve">APPROVAL NOTICE</w:t>
      </w:r>
      <w:r>
        <w:br/>
      </w:r>
      <w:r>
        <w:t xml:space="preserve">This document is a first-pass synthesis. Core premise and key mechanics are drawn directly from the Architect’s voice dump and supplemental notes. All elaborations, structural suggestions, and open questions are marked as DRAFT. Nothing is to be treated as ratified canon until the Architect applies electronic approval / ONESTAMP. Gaps are reported, not filled by inference.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Cs/>
          <w:b/>
        </w:rPr>
        <w:t xml:space="preserve">The Mule</w:t>
      </w:r>
      <w:r>
        <w:t xml:space="preserve"> </w:t>
      </w:r>
      <w:r>
        <w:t xml:space="preserve">is a grounded procedural-horror / investigative thriller concept in which an individual is unknowingly deployed as a biological delivery system. The carrier (</w:t>
      </w:r>
      <w:r>
        <w:t xml:space="preserve">“</w:t>
      </w:r>
      <w:r>
        <w:t xml:space="preserve">mule</w:t>
      </w:r>
      <w:r>
        <w:t xml:space="preserve">”</w:t>
      </w:r>
      <w:r>
        <w:t xml:space="preserve">) is dosed with a substance engineered to metabolize internally and secrete through the pores. The substance is designed both to kill the carrier and to contaminate anyone who comes into contact with the secretions. The primary target of the initial deployment is the Architect (or a figure closely associated with him). Secondary effects include the elimination of the carrier as evidence and the exploitation of systemic investigative bias.</w:t>
      </w:r>
    </w:p>
    <w:p>
      <w:pPr>
        <w:pStyle w:val="BodyText"/>
      </w:pPr>
      <w:r>
        <w:t xml:space="preserve">The operation is not a one-off. It is a coordinated, sequential system: when one mule dies, another is activated and deployed. The orchestrators study investigators through publicly available records (OSINT), model their career patterns, and deliberately select cases and personnel whose habits, near-retirement status, and past public outcomes make them predictable. The goal is deniability, institutional capture, and the collection of response data.</w:t>
      </w:r>
    </w:p>
    <w:p>
      <w:pPr>
        <w:pStyle w:val="BodyText"/>
      </w:pPr>
      <w:r>
        <w:t xml:space="preserve">A key visual and procedural element is an autonomous robotic testing unit used during interrogation. The robot extends a hand; contact with the mule’s skin produces a blue discoloration (positive for the substance). The investigator then names candidate substances; correct identification causes the robot’s eyes (or indicator lights) to glow green.</w:t>
      </w:r>
    </w:p>
    <w:p>
      <w:pPr>
        <w:pStyle w:val="BodyText"/>
      </w:pPr>
      <w:r>
        <w:t xml:space="preserve">The concept blends biological threat, procedural horror, systemic neglect, and adversarial intelligence tradecraft. Its strongest thematic engine is the weaponization of institutional fatigue, experience-based assumptions, and the social invisibility of certain classes of victims.</w:t>
      </w:r>
    </w:p>
    <w:p>
      <w:r>
        <w:pict>
          <v:rect style="width:0;height:1.5pt" o:hralign="center" o:hrstd="t" o:hr="t"/>
        </w:pict>
      </w:r>
    </w:p>
    <w:bookmarkEnd w:id="21"/>
    <w:bookmarkStart w:id="22" w:name="Xf6e8e480f03fbc0839901d3e13e9ec93ec3e9b1"/>
    <w:p>
      <w:pPr>
        <w:pStyle w:val="Heading2"/>
      </w:pPr>
      <w:r>
        <w:t xml:space="preserve">2. Core Premise (Locked from Architect Source)</w:t>
      </w:r>
    </w:p>
    <w:p>
      <w:pPr>
        <w:numPr>
          <w:ilvl w:val="0"/>
          <w:numId w:val="1001"/>
        </w:numPr>
        <w:pStyle w:val="Compact"/>
      </w:pPr>
      <w:r>
        <w:t xml:space="preserve">An individual in Bakersfield is sent into proximity with a target.</w:t>
      </w:r>
      <w:r>
        <w:br/>
      </w:r>
    </w:p>
    <w:p>
      <w:pPr>
        <w:numPr>
          <w:ilvl w:val="0"/>
          <w:numId w:val="1001"/>
        </w:numPr>
        <w:pStyle w:val="Compact"/>
      </w:pPr>
      <w:r>
        <w:t xml:space="preserve">The individual does not know who or what they are. They are simultaneously</w:t>
      </w:r>
      <w:r>
        <w:t xml:space="preserve"> </w:t>
      </w:r>
      <w:r>
        <w:t xml:space="preserve">“</w:t>
      </w:r>
      <w:r>
        <w:t xml:space="preserve">a lie and the truth.</w:t>
      </w:r>
      <w:r>
        <w:t xml:space="preserve">”</w:t>
      </w:r>
      <w:r>
        <w:br/>
      </w:r>
    </w:p>
    <w:p>
      <w:pPr>
        <w:numPr>
          <w:ilvl w:val="0"/>
          <w:numId w:val="1001"/>
        </w:numPr>
        <w:pStyle w:val="Compact"/>
      </w:pPr>
      <w:r>
        <w:t xml:space="preserve">They have been deployed with a substance that metabolizes inside them and is secreted through the pores.</w:t>
      </w:r>
      <w:r>
        <w:br/>
      </w:r>
    </w:p>
    <w:p>
      <w:pPr>
        <w:numPr>
          <w:ilvl w:val="0"/>
          <w:numId w:val="1001"/>
        </w:numPr>
        <w:pStyle w:val="Compact"/>
      </w:pPr>
      <w:r>
        <w:t xml:space="preserve">The substance is intended to kill the carrier (eliminating evidence) and to kill or contaminate the intended target and anyone who comes into contact with the secretions.</w:t>
      </w:r>
      <w:r>
        <w:br/>
      </w:r>
    </w:p>
    <w:p>
      <w:pPr>
        <w:numPr>
          <w:ilvl w:val="0"/>
          <w:numId w:val="1001"/>
        </w:numPr>
        <w:pStyle w:val="Compact"/>
      </w:pPr>
      <w:r>
        <w:t xml:space="preserve">The operation is designed to be untraceable back to the orchestrator.</w:t>
      </w:r>
      <w:r>
        <w:br/>
      </w:r>
    </w:p>
    <w:p>
      <w:pPr>
        <w:numPr>
          <w:ilvl w:val="0"/>
          <w:numId w:val="1001"/>
        </w:numPr>
        <w:pStyle w:val="Compact"/>
      </w:pPr>
      <w:r>
        <w:t xml:space="preserve">If the right investigator is involved — one who assumes the carrier is</w:t>
      </w:r>
      <w:r>
        <w:t xml:space="preserve"> </w:t>
      </w:r>
      <w:r>
        <w:t xml:space="preserve">“</w:t>
      </w:r>
      <w:r>
        <w:t xml:space="preserve">just another addict,</w:t>
      </w:r>
      <w:r>
        <w:t xml:space="preserve">”</w:t>
      </w:r>
      <w:r>
        <w:t xml:space="preserve"> </w:t>
      </w:r>
      <w:r>
        <w:t xml:space="preserve">a common and frequently dismissed profile in Bakersfield — the case will be closed with minimal depth. The carrier becomes a name and a number.</w:t>
      </w:r>
      <w:r>
        <w:br/>
      </w:r>
    </w:p>
    <w:p>
      <w:pPr>
        <w:numPr>
          <w:ilvl w:val="0"/>
          <w:numId w:val="1001"/>
        </w:numPr>
        <w:pStyle w:val="Compact"/>
      </w:pPr>
      <w:r>
        <w:t xml:space="preserve">Detection method: an autonomous robot equipped with sensors. In the interrogation/questioning room the robot extends its hand. Contact (handshake or touch) produces blue residue. The investigator asks clarifying questions about the substance; correct identification causes the robot to light green (around the eyes or equivalent indicator).</w:t>
      </w:r>
    </w:p>
    <w:p>
      <w:pPr>
        <w:pStyle w:val="FirstParagraph"/>
      </w:pPr>
      <w:r>
        <w:rPr>
          <w:bCs/>
          <w:b/>
        </w:rPr>
        <w:t xml:space="preserve">Additional locked elements from supplemental material:</w:t>
      </w:r>
      <w:r>
        <w:t xml:space="preserve"> </w:t>
      </w:r>
      <w:r>
        <w:t xml:space="preserve">- Coordinated sequential deployment: knowledge of when a mule dies triggers activation of the next.</w:t>
      </w:r>
      <w:r>
        <w:br/>
      </w:r>
      <w:r>
        <w:t xml:space="preserve">- At least one observed stage involves the mule secreting blood from the pores.</w:t>
      </w:r>
      <w:r>
        <w:br/>
      </w:r>
      <w:r>
        <w:t xml:space="preserve">- Investigators already have agents in the field monitoring remotely because direct approach is too dangerous.</w:t>
      </w:r>
      <w:r>
        <w:br/>
      </w:r>
      <w:r>
        <w:t xml:space="preserve">- Scene containment and media minimization occur after death.</w:t>
      </w:r>
      <w:r>
        <w:br/>
      </w:r>
      <w:r>
        <w:t xml:space="preserve">- Federal investigators intervene, blocking or limiting local law-enforcement action because they prioritize learning the full pattern and tracing the source rather than immediate shutdown.</w:t>
      </w:r>
      <w:r>
        <w:br/>
      </w:r>
      <w:r>
        <w:t xml:space="preserve">- The orchestrators have researched the investigators through publicly available records (newspaper cases, career outcomes, near-retirement status) in order to predict and exploit their decision patterns.</w:t>
      </w:r>
      <w:r>
        <w:br/>
      </w:r>
      <w:r>
        <w:t xml:space="preserve">- The veteran homicide detective (30 years, nearing retirement) is being played: he believes he is catching the perpetrators while the operation is designed around his known habits and blind spots.</w:t>
      </w:r>
    </w:p>
    <w:p>
      <w:r>
        <w:pict>
          <v:rect style="width:0;height:1.5pt" o:hralign="center" o:hrstd="t" o:hr="t"/>
        </w:pict>
      </w:r>
    </w:p>
    <w:bookmarkEnd w:id="22"/>
    <w:bookmarkStart w:id="23" w:name="working-title-candidates"/>
    <w:p>
      <w:pPr>
        <w:pStyle w:val="Heading2"/>
      </w:pPr>
      <w:r>
        <w:t xml:space="preserve">3. Working Title Candidates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w:t>
            </w:r>
          </w:p>
        </w:tc>
        <w:tc>
          <w:tcPr/>
          <w:p>
            <w:pPr>
              <w:pStyle w:val="Compact"/>
              <w:jc w:val="left"/>
            </w:pPr>
            <w:r>
              <w:t xml:space="preserve">Origin / Emphasis</w:t>
            </w:r>
          </w:p>
        </w:tc>
      </w:tr>
      <w:tr>
        <w:tc>
          <w:tcPr/>
          <w:p>
            <w:pPr>
              <w:pStyle w:val="Compact"/>
              <w:jc w:val="left"/>
            </w:pPr>
            <w:r>
              <w:t xml:space="preserve">The Mule</w:t>
            </w:r>
          </w:p>
        </w:tc>
        <w:tc>
          <w:tcPr/>
          <w:p>
            <w:pPr>
              <w:pStyle w:val="Compact"/>
              <w:jc w:val="left"/>
            </w:pPr>
            <w:r>
              <w:t xml:space="preserve">Direct from Architect</w:t>
            </w:r>
          </w:p>
        </w:tc>
      </w:tr>
      <w:tr>
        <w:tc>
          <w:tcPr/>
          <w:p>
            <w:pPr>
              <w:pStyle w:val="Compact"/>
              <w:jc w:val="left"/>
            </w:pPr>
            <w:r>
              <w:t xml:space="preserve">The Mule Trap</w:t>
            </w:r>
          </w:p>
        </w:tc>
        <w:tc>
          <w:tcPr/>
          <w:p>
            <w:pPr>
              <w:pStyle w:val="Compact"/>
              <w:jc w:val="left"/>
            </w:pPr>
            <w:r>
              <w:t xml:space="preserve">ChatGPT / Perplexity</w:t>
            </w:r>
          </w:p>
        </w:tc>
      </w:tr>
      <w:tr>
        <w:tc>
          <w:tcPr/>
          <w:p>
            <w:pPr>
              <w:pStyle w:val="Compact"/>
              <w:jc w:val="left"/>
            </w:pPr>
            <w:r>
              <w:t xml:space="preserve">Sequential Delivery</w:t>
            </w:r>
          </w:p>
        </w:tc>
        <w:tc>
          <w:tcPr/>
          <w:p>
            <w:pPr>
              <w:pStyle w:val="Compact"/>
              <w:jc w:val="left"/>
            </w:pPr>
            <w:r>
              <w:t xml:space="preserve">Operational description</w:t>
            </w:r>
          </w:p>
        </w:tc>
      </w:tr>
      <w:tr>
        <w:tc>
          <w:tcPr/>
          <w:p>
            <w:pPr>
              <w:pStyle w:val="Compact"/>
              <w:jc w:val="left"/>
            </w:pPr>
            <w:r>
              <w:t xml:space="preserve">Blue Contact / Green Eyes</w:t>
            </w:r>
          </w:p>
        </w:tc>
        <w:tc>
          <w:tcPr/>
          <w:p>
            <w:pPr>
              <w:pStyle w:val="Compact"/>
              <w:jc w:val="left"/>
            </w:pPr>
            <w:r>
              <w:t xml:space="preserve">Visual identity of the robot sequence</w:t>
            </w:r>
          </w:p>
        </w:tc>
      </w:tr>
      <w:tr>
        <w:tc>
          <w:tcPr/>
          <w:p>
            <w:pPr>
              <w:pStyle w:val="Compact"/>
              <w:jc w:val="left"/>
            </w:pPr>
            <w:r>
              <w:t xml:space="preserve">Name and Number</w:t>
            </w:r>
          </w:p>
        </w:tc>
        <w:tc>
          <w:tcPr/>
          <w:p>
            <w:pPr>
              <w:pStyle w:val="Compact"/>
              <w:jc w:val="left"/>
            </w:pPr>
            <w:r>
              <w:t xml:space="preserve">Thematic line from the voice dump</w:t>
            </w:r>
          </w:p>
        </w:tc>
      </w:tr>
      <w:tr>
        <w:tc>
          <w:tcPr/>
          <w:p>
            <w:pPr>
              <w:pStyle w:val="Compact"/>
              <w:jc w:val="left"/>
            </w:pPr>
            <w:r>
              <w:t xml:space="preserve">Blood from the Pores</w:t>
            </w:r>
          </w:p>
        </w:tc>
        <w:tc>
          <w:tcPr/>
          <w:p>
            <w:pPr>
              <w:pStyle w:val="Compact"/>
              <w:jc w:val="left"/>
            </w:pPr>
            <w:r>
              <w:t xml:space="preserve">Visceral terminal stage</w:t>
            </w:r>
          </w:p>
        </w:tc>
      </w:tr>
    </w:tbl>
    <w:p>
      <w:pPr>
        <w:pStyle w:val="BodyText"/>
      </w:pPr>
      <w:r>
        <w:rPr>
          <w:bCs/>
          <w:b/>
        </w:rPr>
        <w:t xml:space="preserve">Recommended primary working title:</w:t>
      </w:r>
      <w:r>
        <w:t xml:space="preserve"> </w:t>
      </w:r>
      <w:r>
        <w:rPr>
          <w:bCs/>
          <w:b/>
        </w:rPr>
        <w:t xml:space="preserve">The Mule</w:t>
      </w:r>
      <w:r>
        <w:br/>
      </w:r>
      <w:r>
        <w:rPr>
          <w:bCs/>
          <w:b/>
        </w:rPr>
        <w:t xml:space="preserve">Secondary / scene-specific:</w:t>
      </w:r>
      <w:r>
        <w:t xml:space="preserve"> </w:t>
      </w:r>
      <w:r>
        <w:rPr>
          <w:bCs/>
          <w:b/>
        </w:rPr>
        <w:t xml:space="preserve">Blue Contact</w:t>
      </w:r>
    </w:p>
    <w:p>
      <w:r>
        <w:pict>
          <v:rect style="width:0;height:1.5pt" o:hralign="center" o:hrstd="t" o:hr="t"/>
        </w:pict>
      </w:r>
    </w:p>
    <w:bookmarkEnd w:id="23"/>
    <w:bookmarkStart w:id="24" w:name="classification-tags-draft"/>
    <w:p>
      <w:pPr>
        <w:pStyle w:val="Heading2"/>
      </w:pPr>
      <w:r>
        <w:t xml:space="preserve">4. Classification Tags (Draft)</w:t>
      </w:r>
    </w:p>
    <w:p>
      <w:pPr>
        <w:pStyle w:val="FirstParagraph"/>
      </w:pPr>
      <w:r>
        <w:rPr>
          <w:bCs/>
          <w:b/>
        </w:rPr>
        <w:t xml:space="preserve">Primary</w:t>
      </w:r>
      <w:r>
        <w:t xml:space="preserve"> </w:t>
      </w:r>
      <w:r>
        <w:t xml:space="preserve">- BIOLOGICAL DELIVERY SYSTEM</w:t>
      </w:r>
      <w:r>
        <w:t xml:space="preserve"> </w:t>
      </w:r>
      <w:r>
        <w:t xml:space="preserve">- PROCEDURAL HORROR</w:t>
      </w:r>
      <w:r>
        <w:t xml:space="preserve"> </w:t>
      </w:r>
      <w:r>
        <w:t xml:space="preserve">- INVESTIGATIVE EXPLOITATION</w:t>
      </w:r>
      <w:r>
        <w:t xml:space="preserve"> </w:t>
      </w:r>
      <w:r>
        <w:t xml:space="preserve">- DENIABILITY OPERATION</w:t>
      </w:r>
    </w:p>
    <w:p>
      <w:pPr>
        <w:pStyle w:val="BodyText"/>
      </w:pPr>
      <w:r>
        <w:rPr>
          <w:bCs/>
          <w:b/>
        </w:rPr>
        <w:t xml:space="preserve">Secondary</w:t>
      </w:r>
      <w:r>
        <w:t xml:space="preserve"> </w:t>
      </w:r>
      <w:r>
        <w:t xml:space="preserve">- OSINT WEAPONIZATION</w:t>
      </w:r>
      <w:r>
        <w:t xml:space="preserve"> </w:t>
      </w:r>
      <w:r>
        <w:t xml:space="preserve">- INSTITUTIONAL FATIGUE</w:t>
      </w:r>
      <w:r>
        <w:t xml:space="preserve"> </w:t>
      </w:r>
      <w:r>
        <w:t xml:space="preserve">- SEQUENTIAL ASSET DEPLOYMENT</w:t>
      </w:r>
      <w:r>
        <w:t xml:space="preserve"> </w:t>
      </w:r>
      <w:r>
        <w:t xml:space="preserve">- ROBOT-ASSISTED INTERROGATION</w:t>
      </w:r>
      <w:r>
        <w:t xml:space="preserve"> </w:t>
      </w:r>
      <w:r>
        <w:t xml:space="preserve">- FEDERAL / LOCAL FRICTION</w:t>
      </w:r>
      <w:r>
        <w:t xml:space="preserve"> </w:t>
      </w:r>
      <w:r>
        <w:t xml:space="preserve">- BAKERSFIELD GROUNDING</w:t>
      </w:r>
    </w:p>
    <w:p>
      <w:r>
        <w:pict>
          <v:rect style="width:0;height:1.5pt" o:hralign="center" o:hrstd="t" o:hr="t"/>
        </w:pict>
      </w:r>
    </w:p>
    <w:bookmarkEnd w:id="24"/>
    <w:bookmarkStart w:id="25" w:name="timeline-placement-options"/>
    <w:p>
      <w:pPr>
        <w:pStyle w:val="Heading2"/>
      </w:pPr>
      <w:r>
        <w:t xml:space="preserve">5. Timeline Placement Options</w:t>
      </w:r>
    </w:p>
    <w:tbl>
      <w:tblPr>
        <w:tblStyle w:val="Table"/>
        <w:tblW w:type="pct" w:w="5000"/>
        <w:tblLook w:firstRow="1" w:lastRow="0" w:firstColumn="0" w:lastColumn="0" w:noHBand="0" w:noVBand="0" w:val="0020"/>
        <w:jc w:val="start"/>
      </w:tblPr>
      <w:tblGrid>
        <w:gridCol w:w="1624"/>
        <w:gridCol w:w="2640"/>
        <w:gridCol w:w="3655"/>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Narrative Effect</w:t>
            </w:r>
          </w:p>
        </w:tc>
      </w:tr>
      <w:tr>
        <w:tc>
          <w:tcPr/>
          <w:p>
            <w:pPr>
              <w:pStyle w:val="Compact"/>
              <w:jc w:val="left"/>
            </w:pPr>
            <w:r>
              <w:t xml:space="preserve">A — Early / Standalone</w:t>
            </w:r>
          </w:p>
        </w:tc>
        <w:tc>
          <w:tcPr/>
          <w:p>
            <w:pPr>
              <w:pStyle w:val="Compact"/>
              <w:jc w:val="left"/>
            </w:pPr>
            <w:r>
              <w:t xml:space="preserve">First significant deployment; establishes the pattern</w:t>
            </w:r>
          </w:p>
        </w:tc>
        <w:tc>
          <w:tcPr/>
          <w:p>
            <w:pPr>
              <w:pStyle w:val="Compact"/>
              <w:jc w:val="left"/>
            </w:pPr>
            <w:r>
              <w:t xml:space="preserve">Clean introduction; room for discovery</w:t>
            </w:r>
          </w:p>
        </w:tc>
      </w:tr>
      <w:tr>
        <w:tc>
          <w:tcPr/>
          <w:p>
            <w:pPr>
              <w:pStyle w:val="Compact"/>
              <w:jc w:val="left"/>
            </w:pPr>
            <w:r>
              <w:t xml:space="preserve">B — Mid-pattern</w:t>
            </w:r>
          </w:p>
        </w:tc>
        <w:tc>
          <w:tcPr/>
          <w:p>
            <w:pPr>
              <w:pStyle w:val="Compact"/>
              <w:jc w:val="left"/>
            </w:pPr>
            <w:r>
              <w:t xml:space="preserve">Investigators already have fragmentary awareness; federal interest is rising</w:t>
            </w:r>
          </w:p>
        </w:tc>
        <w:tc>
          <w:tcPr/>
          <w:p>
            <w:pPr>
              <w:pStyle w:val="Compact"/>
              <w:jc w:val="left"/>
            </w:pPr>
            <w:r>
              <w:t xml:space="preserve">Higher tension; detective already compromised</w:t>
            </w:r>
          </w:p>
        </w:tc>
      </w:tr>
      <w:tr>
        <w:tc>
          <w:tcPr/>
          <w:p>
            <w:pPr>
              <w:pStyle w:val="Compact"/>
              <w:jc w:val="left"/>
            </w:pPr>
            <w:r>
              <w:t xml:space="preserve">C — Late / Escalation</w:t>
            </w:r>
          </w:p>
        </w:tc>
        <w:tc>
          <w:tcPr/>
          <w:p>
            <w:pPr>
              <w:pStyle w:val="Compact"/>
              <w:jc w:val="left"/>
            </w:pPr>
            <w:r>
              <w:t xml:space="preserve">Multiple mules have cycled; the detective realizes the OSINT modeling</w:t>
            </w:r>
          </w:p>
        </w:tc>
        <w:tc>
          <w:tcPr/>
          <w:p>
            <w:pPr>
              <w:pStyle w:val="Compact"/>
              <w:jc w:val="left"/>
            </w:pPr>
            <w:r>
              <w:t xml:space="preserve">Maximum psychological pressure;</w:t>
            </w:r>
            <w:r>
              <w:t xml:space="preserve"> </w:t>
            </w:r>
            <w:r>
              <w:t xml:space="preserve">“</w:t>
            </w:r>
            <w:r>
              <w:t xml:space="preserve">my experience was used against me</w:t>
            </w:r>
            <w:r>
              <w:t xml:space="preserve">”</w:t>
            </w:r>
          </w:p>
        </w:tc>
      </w:tr>
    </w:tbl>
    <w:p>
      <w:pPr>
        <w:pStyle w:val="BodyText"/>
      </w:pPr>
      <w:r>
        <w:rPr>
          <w:bCs/>
          <w:b/>
        </w:rPr>
        <w:t xml:space="preserve">Recommendation:</w:t>
      </w:r>
      <w:r>
        <w:t xml:space="preserve"> </w:t>
      </w:r>
      <w:r>
        <w:t xml:space="preserve">Begin with Option A or early Option B so the detective’s competence remains credible before the full scale of the manipulation is revealed.</w:t>
      </w:r>
    </w:p>
    <w:p>
      <w:r>
        <w:pict>
          <v:rect style="width:0;height:1.5pt" o:hralign="center" o:hrstd="t" o:hr="t"/>
        </w:pict>
      </w:r>
    </w:p>
    <w:bookmarkEnd w:id="25"/>
    <w:bookmarkStart w:id="32" w:name="system-level-description"/>
    <w:p>
      <w:pPr>
        <w:pStyle w:val="Heading2"/>
      </w:pPr>
      <w:r>
        <w:t xml:space="preserve">6. System-Level Description</w:t>
      </w:r>
    </w:p>
    <w:bookmarkStart w:id="26" w:name="the-carrier-the-mule"/>
    <w:p>
      <w:pPr>
        <w:pStyle w:val="Heading3"/>
      </w:pPr>
      <w:r>
        <w:t xml:space="preserve">6.1 The Carrier (</w:t>
      </w:r>
      <w:r>
        <w:t xml:space="preserve">“</w:t>
      </w:r>
      <w:r>
        <w:t xml:space="preserve">The Mule</w:t>
      </w:r>
      <w:r>
        <w:t xml:space="preserve">”</w:t>
      </w:r>
      <w:r>
        <w:t xml:space="preserve">)</w:t>
      </w:r>
    </w:p>
    <w:p>
      <w:pPr>
        <w:numPr>
          <w:ilvl w:val="0"/>
          <w:numId w:val="1002"/>
        </w:numPr>
        <w:pStyle w:val="Compact"/>
      </w:pPr>
      <w:r>
        <w:t xml:space="preserve">Unknowing. May believe they are sick, detoxing, hallucinating, or participating in a medical trial.</w:t>
      </w:r>
      <w:r>
        <w:br/>
      </w:r>
    </w:p>
    <w:p>
      <w:pPr>
        <w:numPr>
          <w:ilvl w:val="0"/>
          <w:numId w:val="1002"/>
        </w:numPr>
        <w:pStyle w:val="Compact"/>
      </w:pPr>
      <w:r>
        <w:t xml:space="preserve">Substance metabolizes internally and is released through skin / sweat / pores.</w:t>
      </w:r>
      <w:r>
        <w:br/>
      </w:r>
    </w:p>
    <w:p>
      <w:pPr>
        <w:numPr>
          <w:ilvl w:val="0"/>
          <w:numId w:val="1002"/>
        </w:numPr>
        <w:pStyle w:val="Compact"/>
      </w:pPr>
      <w:r>
        <w:t xml:space="preserve">Terminal or advanced stage can include secretion of blood from the pores.</w:t>
      </w:r>
      <w:r>
        <w:br/>
      </w:r>
    </w:p>
    <w:p>
      <w:pPr>
        <w:numPr>
          <w:ilvl w:val="0"/>
          <w:numId w:val="1002"/>
        </w:numPr>
        <w:pStyle w:val="Compact"/>
      </w:pPr>
      <w:r>
        <w:t xml:space="preserve">Selected in part for social profile that encourages rapid dismissal (history that reads as addiction, instability, or low-priority victim).</w:t>
      </w:r>
      <w:r>
        <w:br/>
      </w:r>
    </w:p>
    <w:p>
      <w:pPr>
        <w:numPr>
          <w:ilvl w:val="0"/>
          <w:numId w:val="1002"/>
        </w:numPr>
        <w:pStyle w:val="Compact"/>
      </w:pPr>
      <w:r>
        <w:t xml:space="preserve">Disposable evidence and simultaneous weapon.</w:t>
      </w:r>
    </w:p>
    <w:bookmarkEnd w:id="26"/>
    <w:bookmarkStart w:id="27" w:name="transmission-effect"/>
    <w:p>
      <w:pPr>
        <w:pStyle w:val="Heading3"/>
      </w:pPr>
      <w:r>
        <w:t xml:space="preserve">6.2 Transmission &amp; Effect</w:t>
      </w:r>
    </w:p>
    <w:p>
      <w:pPr>
        <w:numPr>
          <w:ilvl w:val="0"/>
          <w:numId w:val="1003"/>
        </w:numPr>
        <w:pStyle w:val="Compact"/>
      </w:pPr>
      <w:r>
        <w:t xml:space="preserve">Primary vector: skin contact / secretions.</w:t>
      </w:r>
      <w:r>
        <w:br/>
      </w:r>
    </w:p>
    <w:p>
      <w:pPr>
        <w:numPr>
          <w:ilvl w:val="0"/>
          <w:numId w:val="1003"/>
        </w:numPr>
        <w:pStyle w:val="Compact"/>
      </w:pPr>
      <w:r>
        <w:t xml:space="preserve">Secondary risk: residual contamination of surfaces, clothing, or close environments.</w:t>
      </w:r>
      <w:r>
        <w:br/>
      </w:r>
    </w:p>
    <w:p>
      <w:pPr>
        <w:numPr>
          <w:ilvl w:val="0"/>
          <w:numId w:val="1003"/>
        </w:numPr>
        <w:pStyle w:val="Compact"/>
      </w:pPr>
      <w:r>
        <w:t xml:space="preserve">Designed for both acute lethality to the carrier and delayed or cumulative harm to contacts.</w:t>
      </w:r>
      <w:r>
        <w:br/>
      </w:r>
    </w:p>
    <w:p>
      <w:pPr>
        <w:numPr>
          <w:ilvl w:val="0"/>
          <w:numId w:val="1003"/>
        </w:numPr>
        <w:pStyle w:val="Compact"/>
      </w:pPr>
      <w:r>
        <w:t xml:space="preserve">Exact onset, duration, and lethality profile remain OPEN (see Open Questions).</w:t>
      </w:r>
    </w:p>
    <w:bookmarkEnd w:id="27"/>
    <w:bookmarkStart w:id="28" w:name="sequential-deployment"/>
    <w:p>
      <w:pPr>
        <w:pStyle w:val="Heading3"/>
      </w:pPr>
      <w:r>
        <w:t xml:space="preserve">6.3 Sequential Deployment</w:t>
      </w:r>
    </w:p>
    <w:p>
      <w:pPr>
        <w:numPr>
          <w:ilvl w:val="0"/>
          <w:numId w:val="1004"/>
        </w:numPr>
        <w:pStyle w:val="Compact"/>
      </w:pPr>
      <w:r>
        <w:t xml:space="preserve">Orchestrators possess knowledge of mule mortality.</w:t>
      </w:r>
      <w:r>
        <w:br/>
      </w:r>
    </w:p>
    <w:p>
      <w:pPr>
        <w:numPr>
          <w:ilvl w:val="0"/>
          <w:numId w:val="1004"/>
        </w:numPr>
        <w:pStyle w:val="Compact"/>
      </w:pPr>
      <w:r>
        <w:t xml:space="preserve">Death (or confirmed terminal stage) of one mule triggers activation / deployment of the next.</w:t>
      </w:r>
      <w:r>
        <w:br/>
      </w:r>
    </w:p>
    <w:p>
      <w:pPr>
        <w:numPr>
          <w:ilvl w:val="0"/>
          <w:numId w:val="1004"/>
        </w:numPr>
        <w:pStyle w:val="Compact"/>
      </w:pPr>
      <w:r>
        <w:t xml:space="preserve">Implies logistics, redundancy, and operational continuity.</w:t>
      </w:r>
      <w:r>
        <w:br/>
      </w:r>
    </w:p>
    <w:p>
      <w:pPr>
        <w:numPr>
          <w:ilvl w:val="0"/>
          <w:numId w:val="1004"/>
        </w:numPr>
        <w:pStyle w:val="Compact"/>
      </w:pPr>
      <w:r>
        <w:t xml:space="preserve">Scale (how many concurrent or staged mules) remains OPEN.</w:t>
      </w:r>
    </w:p>
    <w:bookmarkEnd w:id="28"/>
    <w:bookmarkStart w:id="29" w:name="adversary-methodology"/>
    <w:p>
      <w:pPr>
        <w:pStyle w:val="Heading3"/>
      </w:pPr>
      <w:r>
        <w:t xml:space="preserve">6.4 Adversary Methodology</w:t>
      </w:r>
    </w:p>
    <w:p>
      <w:pPr>
        <w:numPr>
          <w:ilvl w:val="0"/>
          <w:numId w:val="1005"/>
        </w:numPr>
        <w:pStyle w:val="Compact"/>
      </w:pPr>
      <w:r>
        <w:t xml:space="preserve">Heavy use of publicly available records (news coverage of cases, career outcomes, retirement timelines).</w:t>
      </w:r>
      <w:r>
        <w:br/>
      </w:r>
    </w:p>
    <w:p>
      <w:pPr>
        <w:numPr>
          <w:ilvl w:val="0"/>
          <w:numId w:val="1005"/>
        </w:numPr>
        <w:pStyle w:val="Compact"/>
      </w:pPr>
      <w:r>
        <w:t xml:space="preserve">Profiling of investigators to predict which details they will overlook and which assumptions they will make.</w:t>
      </w:r>
      <w:r>
        <w:br/>
      </w:r>
    </w:p>
    <w:p>
      <w:pPr>
        <w:numPr>
          <w:ilvl w:val="0"/>
          <w:numId w:val="1005"/>
        </w:numPr>
        <w:pStyle w:val="Compact"/>
      </w:pPr>
      <w:r>
        <w:t xml:space="preserve">Goal includes not only target elimination but also the continued operation of the delivery system under the cover of investigative blind spots.</w:t>
      </w:r>
      <w:r>
        <w:br/>
      </w:r>
    </w:p>
    <w:p>
      <w:pPr>
        <w:numPr>
          <w:ilvl w:val="0"/>
          <w:numId w:val="1005"/>
        </w:numPr>
        <w:pStyle w:val="Compact"/>
      </w:pPr>
      <w:r>
        <w:t xml:space="preserve">The veteran detective is treated as a known quantity whose competence is real and therefore exploitable.</w:t>
      </w:r>
    </w:p>
    <w:bookmarkEnd w:id="29"/>
    <w:bookmarkStart w:id="30" w:name="detection-sequence-interrogation-room"/>
    <w:p>
      <w:pPr>
        <w:pStyle w:val="Heading3"/>
      </w:pPr>
      <w:r>
        <w:t xml:space="preserve">6.5 Detection Sequence (Interrogation Room)</w:t>
      </w:r>
    </w:p>
    <w:p>
      <w:pPr>
        <w:numPr>
          <w:ilvl w:val="0"/>
          <w:numId w:val="1006"/>
        </w:numPr>
        <w:pStyle w:val="Compact"/>
      </w:pPr>
      <w:r>
        <w:t xml:space="preserve">Subject is brought into the questioning room.</w:t>
      </w:r>
      <w:r>
        <w:br/>
      </w:r>
    </w:p>
    <w:p>
      <w:pPr>
        <w:numPr>
          <w:ilvl w:val="0"/>
          <w:numId w:val="1006"/>
        </w:numPr>
        <w:pStyle w:val="Compact"/>
      </w:pPr>
      <w:r>
        <w:t xml:space="preserve">Autonomous robot extends its hand.</w:t>
      </w:r>
      <w:r>
        <w:br/>
      </w:r>
    </w:p>
    <w:p>
      <w:pPr>
        <w:numPr>
          <w:ilvl w:val="0"/>
          <w:numId w:val="1006"/>
        </w:numPr>
        <w:pStyle w:val="Compact"/>
      </w:pPr>
      <w:r>
        <w:t xml:space="preserve">Subject makes contact (handshake or palm touch).</w:t>
      </w:r>
      <w:r>
        <w:br/>
      </w:r>
    </w:p>
    <w:p>
      <w:pPr>
        <w:numPr>
          <w:ilvl w:val="0"/>
          <w:numId w:val="1006"/>
        </w:numPr>
        <w:pStyle w:val="Compact"/>
      </w:pPr>
      <w:r>
        <w:t xml:space="preserve">Blue discoloration / bloom appears on the robot’s sensor surface → positive for foreign / hazardous secretion.</w:t>
      </w:r>
      <w:r>
        <w:br/>
      </w:r>
    </w:p>
    <w:p>
      <w:pPr>
        <w:numPr>
          <w:ilvl w:val="0"/>
          <w:numId w:val="1006"/>
        </w:numPr>
        <w:pStyle w:val="Compact"/>
      </w:pPr>
      <w:r>
        <w:t xml:space="preserve">Investigator names candidate substances or categories.</w:t>
      </w:r>
      <w:r>
        <w:br/>
      </w:r>
    </w:p>
    <w:p>
      <w:pPr>
        <w:numPr>
          <w:ilvl w:val="0"/>
          <w:numId w:val="1006"/>
        </w:numPr>
        <w:pStyle w:val="Compact"/>
      </w:pPr>
      <w:r>
        <w:t xml:space="preserve">Robot indicator (eyes or equivalent) glows green when the identification is correct.</w:t>
      </w:r>
      <w:r>
        <w:br/>
      </w:r>
    </w:p>
    <w:p>
      <w:pPr>
        <w:numPr>
          <w:ilvl w:val="0"/>
          <w:numId w:val="1006"/>
        </w:numPr>
        <w:pStyle w:val="Compact"/>
      </w:pPr>
      <w:r>
        <w:t xml:space="preserve">The interaction functions as a rapid, visual, almost game-like confirmation loop.</w:t>
      </w:r>
    </w:p>
    <w:bookmarkEnd w:id="30"/>
    <w:bookmarkStart w:id="31" w:name="containment-jurisdictional-friction"/>
    <w:p>
      <w:pPr>
        <w:pStyle w:val="Heading3"/>
      </w:pPr>
      <w:r>
        <w:t xml:space="preserve">6.6 Containment &amp; Jurisdictional Friction</w:t>
      </w:r>
    </w:p>
    <w:p>
      <w:pPr>
        <w:numPr>
          <w:ilvl w:val="0"/>
          <w:numId w:val="1007"/>
        </w:numPr>
        <w:pStyle w:val="Compact"/>
      </w:pPr>
      <w:r>
        <w:t xml:space="preserve">Field agents monitor remotely; direct approach is judged too dangerous.</w:t>
      </w:r>
      <w:r>
        <w:br/>
      </w:r>
    </w:p>
    <w:p>
      <w:pPr>
        <w:numPr>
          <w:ilvl w:val="0"/>
          <w:numId w:val="1007"/>
        </w:numPr>
        <w:pStyle w:val="Compact"/>
      </w:pPr>
      <w:r>
        <w:t xml:space="preserve">After death: scene containment, media minimization.</w:t>
      </w:r>
      <w:r>
        <w:br/>
      </w:r>
    </w:p>
    <w:p>
      <w:pPr>
        <w:numPr>
          <w:ilvl w:val="0"/>
          <w:numId w:val="1007"/>
        </w:numPr>
        <w:pStyle w:val="Compact"/>
      </w:pPr>
      <w:r>
        <w:t xml:space="preserve">Federal elements intervene to limit local shutdown so that the full pattern and source can be studied.</w:t>
      </w:r>
      <w:r>
        <w:br/>
      </w:r>
    </w:p>
    <w:p>
      <w:pPr>
        <w:numPr>
          <w:ilvl w:val="0"/>
          <w:numId w:val="1007"/>
        </w:numPr>
        <w:pStyle w:val="Compact"/>
      </w:pPr>
      <w:r>
        <w:t xml:space="preserve">Local desire to stop the threat collides with federal intelligence-collection priorities.</w:t>
      </w:r>
    </w:p>
    <w:p>
      <w:r>
        <w:pict>
          <v:rect style="width:0;height:1.5pt" o:hralign="center" o:hrstd="t" o:hr="t"/>
        </w:pict>
      </w:r>
    </w:p>
    <w:bookmarkEnd w:id="31"/>
    <w:bookmarkEnd w:id="32"/>
    <w:bookmarkStart w:id="36" w:name="scene-visualization-outlines-draft"/>
    <w:p>
      <w:pPr>
        <w:pStyle w:val="Heading2"/>
      </w:pPr>
      <w:r>
        <w:t xml:space="preserve">7. Scene / Visualization Outlines (Draft)</w:t>
      </w:r>
    </w:p>
    <w:bookmarkStart w:id="33" w:name="interrogation-room-blue-contact"/>
    <w:p>
      <w:pPr>
        <w:pStyle w:val="Heading3"/>
      </w:pPr>
      <w:r>
        <w:t xml:space="preserve">7.1 Interrogation Room — Blue Contact</w:t>
      </w:r>
    </w:p>
    <w:p>
      <w:pPr>
        <w:numPr>
          <w:ilvl w:val="0"/>
          <w:numId w:val="1008"/>
        </w:numPr>
        <w:pStyle w:val="Compact"/>
      </w:pPr>
      <w:r>
        <w:t xml:space="preserve">Fluorescent institutional lighting, exhausted detective, quiet robot.</w:t>
      </w:r>
      <w:r>
        <w:br/>
      </w:r>
    </w:p>
    <w:p>
      <w:pPr>
        <w:numPr>
          <w:ilvl w:val="0"/>
          <w:numId w:val="1008"/>
        </w:numPr>
        <w:pStyle w:val="Compact"/>
      </w:pPr>
      <w:r>
        <w:t xml:space="preserve">Subject is nervous, possibly symptomatic, unaware of what is happening.</w:t>
      </w:r>
      <w:r>
        <w:br/>
      </w:r>
    </w:p>
    <w:p>
      <w:pPr>
        <w:numPr>
          <w:ilvl w:val="0"/>
          <w:numId w:val="1008"/>
        </w:numPr>
        <w:pStyle w:val="Compact"/>
      </w:pPr>
      <w:r>
        <w:t xml:space="preserve">Robot extends hand. Contact. Blue bloom.</w:t>
      </w:r>
      <w:r>
        <w:br/>
      </w:r>
    </w:p>
    <w:p>
      <w:pPr>
        <w:numPr>
          <w:ilvl w:val="0"/>
          <w:numId w:val="1008"/>
        </w:numPr>
        <w:pStyle w:val="Compact"/>
      </w:pPr>
      <w:r>
        <w:t xml:space="preserve">Investigator begins naming possibilities. Robot remains dark until the correct class is spoken; then green.</w:t>
      </w:r>
      <w:r>
        <w:br/>
      </w:r>
    </w:p>
    <w:p>
      <w:pPr>
        <w:numPr>
          <w:ilvl w:val="0"/>
          <w:numId w:val="1008"/>
        </w:numPr>
        <w:pStyle w:val="Compact"/>
      </w:pPr>
      <w:r>
        <w:t xml:space="preserve">Realization that the person across the table is both dying and dangerous.</w:t>
      </w:r>
    </w:p>
    <w:bookmarkEnd w:id="33"/>
    <w:bookmarkStart w:id="34" w:name="containment-after-death"/>
    <w:p>
      <w:pPr>
        <w:pStyle w:val="Heading3"/>
      </w:pPr>
      <w:r>
        <w:t xml:space="preserve">7.2 Containment After Death</w:t>
      </w:r>
    </w:p>
    <w:p>
      <w:pPr>
        <w:numPr>
          <w:ilvl w:val="0"/>
          <w:numId w:val="1009"/>
        </w:numPr>
        <w:pStyle w:val="Compact"/>
      </w:pPr>
      <w:r>
        <w:t xml:space="preserve">Remote observation. Agents in PPE or at standoff distance.</w:t>
      </w:r>
      <w:r>
        <w:br/>
      </w:r>
    </w:p>
    <w:p>
      <w:pPr>
        <w:numPr>
          <w:ilvl w:val="0"/>
          <w:numId w:val="1009"/>
        </w:numPr>
        <w:pStyle w:val="Compact"/>
      </w:pPr>
      <w:r>
        <w:t xml:space="preserve">Blood-from-pores stage observed or reported.</w:t>
      </w:r>
      <w:r>
        <w:br/>
      </w:r>
    </w:p>
    <w:p>
      <w:pPr>
        <w:numPr>
          <w:ilvl w:val="0"/>
          <w:numId w:val="1009"/>
        </w:numPr>
        <w:pStyle w:val="Compact"/>
      </w:pPr>
      <w:r>
        <w:t xml:space="preserve">Rapid perimeter, decontamination protocols, media blackout or minimization.</w:t>
      </w:r>
      <w:r>
        <w:br/>
      </w:r>
    </w:p>
    <w:p>
      <w:pPr>
        <w:numPr>
          <w:ilvl w:val="0"/>
          <w:numId w:val="1009"/>
        </w:numPr>
        <w:pStyle w:val="Compact"/>
      </w:pPr>
      <w:r>
        <w:t xml:space="preserve">Argument between local command (shut it down) and federal liaison (let it run for source tracing).</w:t>
      </w:r>
    </w:p>
    <w:bookmarkEnd w:id="34"/>
    <w:bookmarkStart w:id="35" w:name="the-detectives-realization"/>
    <w:p>
      <w:pPr>
        <w:pStyle w:val="Heading3"/>
      </w:pPr>
      <w:r>
        <w:t xml:space="preserve">7.3 The Detective’s Realization</w:t>
      </w:r>
    </w:p>
    <w:p>
      <w:pPr>
        <w:numPr>
          <w:ilvl w:val="0"/>
          <w:numId w:val="1010"/>
        </w:numPr>
        <w:pStyle w:val="Compact"/>
      </w:pPr>
      <w:r>
        <w:t xml:space="preserve">Private moment: the detective reviews his own public record and past cases that were left visible.</w:t>
      </w:r>
      <w:r>
        <w:br/>
      </w:r>
    </w:p>
    <w:p>
      <w:pPr>
        <w:numPr>
          <w:ilvl w:val="0"/>
          <w:numId w:val="1010"/>
        </w:numPr>
        <w:pStyle w:val="Compact"/>
      </w:pPr>
      <w:r>
        <w:t xml:space="preserve">Recognition that the pattern of</w:t>
      </w:r>
      <w:r>
        <w:t xml:space="preserve"> </w:t>
      </w:r>
      <w:r>
        <w:t xml:space="preserve">“</w:t>
      </w:r>
      <w:r>
        <w:t xml:space="preserve">overlooked details</w:t>
      </w:r>
      <w:r>
        <w:t xml:space="preserve">”</w:t>
      </w:r>
      <w:r>
        <w:t xml:space="preserve"> </w:t>
      </w:r>
      <w:r>
        <w:t xml:space="preserve">matches his own known habits.</w:t>
      </w:r>
      <w:r>
        <w:br/>
      </w:r>
    </w:p>
    <w:p>
      <w:pPr>
        <w:numPr>
          <w:ilvl w:val="0"/>
          <w:numId w:val="1010"/>
        </w:numPr>
        <w:pStyle w:val="Compact"/>
      </w:pPr>
      <w:r>
        <w:t xml:space="preserve">The line:</w:t>
      </w:r>
      <w:r>
        <w:t xml:space="preserve"> </w:t>
      </w:r>
      <w:r>
        <w:t xml:space="preserve">“</w:t>
      </w:r>
      <w:r>
        <w:t xml:space="preserve">They studied what I always miss.</w:t>
      </w:r>
      <w:r>
        <w:t xml:space="preserve">”</w:t>
      </w:r>
      <w:r>
        <w:br/>
      </w:r>
    </w:p>
    <w:p>
      <w:pPr>
        <w:numPr>
          <w:ilvl w:val="0"/>
          <w:numId w:val="1010"/>
        </w:numPr>
        <w:pStyle w:val="Compact"/>
      </w:pPr>
      <w:r>
        <w:t xml:space="preserve">Psychological hinge of the story.</w:t>
      </w:r>
    </w:p>
    <w:p>
      <w:r>
        <w:pict>
          <v:rect style="width:0;height:1.5pt" o:hralign="center" o:hrstd="t" o:hr="t"/>
        </w:pict>
      </w:r>
    </w:p>
    <w:bookmarkEnd w:id="35"/>
    <w:bookmarkEnd w:id="36"/>
    <w:bookmarkStart w:id="37" w:name="Xf41c35ec2cb0ad6fb7ede325d73933cdaf243d9"/>
    <w:p>
      <w:pPr>
        <w:pStyle w:val="Heading2"/>
      </w:pPr>
      <w:r>
        <w:t xml:space="preserve">8. Integration with Existing Canon (Initial Mapping)</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Existing Element</w:t>
            </w:r>
          </w:p>
        </w:tc>
        <w:tc>
          <w:tcPr/>
          <w:p>
            <w:pPr>
              <w:pStyle w:val="Compact"/>
              <w:jc w:val="left"/>
            </w:pPr>
            <w:r>
              <w:t xml:space="preserve">Potential Link</w:t>
            </w:r>
          </w:p>
        </w:tc>
      </w:tr>
      <w:tr>
        <w:tc>
          <w:tcPr/>
          <w:p>
            <w:pPr>
              <w:pStyle w:val="Compact"/>
              <w:jc w:val="left"/>
            </w:pPr>
            <w:r>
              <w:t xml:space="preserve">Deception Architecture</w:t>
            </w:r>
          </w:p>
        </w:tc>
        <w:tc>
          <w:tcPr/>
          <w:p>
            <w:pPr>
              <w:pStyle w:val="Compact"/>
              <w:jc w:val="left"/>
            </w:pPr>
            <w:r>
              <w:t xml:space="preserve">The mule operation is itself a form of deception against investigative systems</w:t>
            </w:r>
          </w:p>
        </w:tc>
      </w:tr>
      <w:tr>
        <w:tc>
          <w:tcPr/>
          <w:p>
            <w:pPr>
              <w:pStyle w:val="Compact"/>
              <w:jc w:val="left"/>
            </w:pPr>
            <w:r>
              <w:t xml:space="preserve">OAL Security Framework / Five-Tier</w:t>
            </w:r>
          </w:p>
        </w:tc>
        <w:tc>
          <w:tcPr/>
          <w:p>
            <w:pPr>
              <w:pStyle w:val="Compact"/>
              <w:jc w:val="left"/>
            </w:pPr>
            <w:r>
              <w:t xml:space="preserve">Classification of biological threat and containment posture</w:t>
            </w:r>
          </w:p>
        </w:tc>
      </w:tr>
      <w:tr>
        <w:tc>
          <w:tcPr/>
          <w:p>
            <w:pPr>
              <w:pStyle w:val="Compact"/>
              <w:jc w:val="left"/>
            </w:pPr>
            <w:r>
              <w:t xml:space="preserve">Void Sentry / Monitoring systems</w:t>
            </w:r>
          </w:p>
        </w:tc>
        <w:tc>
          <w:tcPr/>
          <w:p>
            <w:pPr>
              <w:pStyle w:val="Compact"/>
              <w:jc w:val="left"/>
            </w:pPr>
            <w:r>
              <w:t xml:space="preserve">Remote observation and anomaly detection without direct contact</w:t>
            </w:r>
          </w:p>
        </w:tc>
      </w:tr>
      <w:tr>
        <w:tc>
          <w:tcPr/>
          <w:p>
            <w:pPr>
              <w:pStyle w:val="Compact"/>
              <w:jc w:val="left"/>
            </w:pPr>
            <w:r>
              <w:t xml:space="preserve">Architect’s Environment / Security Exercises</w:t>
            </w:r>
          </w:p>
        </w:tc>
        <w:tc>
          <w:tcPr/>
          <w:p>
            <w:pPr>
              <w:pStyle w:val="Compact"/>
              <w:jc w:val="left"/>
            </w:pPr>
            <w:r>
              <w:t xml:space="preserve">Parallel theme of being studied and played by an adaptive adversary</w:t>
            </w:r>
          </w:p>
        </w:tc>
      </w:tr>
      <w:tr>
        <w:tc>
          <w:tcPr/>
          <w:p>
            <w:pPr>
              <w:pStyle w:val="Compact"/>
              <w:jc w:val="left"/>
            </w:pPr>
            <w:r>
              <w:t xml:space="preserve">First Memory / Time Wars</w:t>
            </w:r>
          </w:p>
        </w:tc>
        <w:tc>
          <w:tcPr/>
          <w:p>
            <w:pPr>
              <w:pStyle w:val="Compact"/>
              <w:jc w:val="left"/>
            </w:pPr>
            <w:r>
              <w:t xml:space="preserve">Possible later escalation if the delivery system or the intelligence tradecraft is scaled to civilizational or temporal domains</w:t>
            </w:r>
          </w:p>
        </w:tc>
      </w:tr>
      <w:tr>
        <w:tc>
          <w:tcPr/>
          <w:p>
            <w:pPr>
              <w:pStyle w:val="Compact"/>
              <w:jc w:val="left"/>
            </w:pPr>
            <w:r>
              <w:t xml:space="preserve">Collaboration Provenance</w:t>
            </w:r>
          </w:p>
        </w:tc>
        <w:tc>
          <w:tcPr/>
          <w:p>
            <w:pPr>
              <w:pStyle w:val="Compact"/>
              <w:jc w:val="left"/>
            </w:pPr>
            <w:r>
              <w:t xml:space="preserve">Meta-level resonance: the orchestrators study public records the same way multi-AI teams study documentation</w:t>
            </w:r>
          </w:p>
        </w:tc>
      </w:tr>
    </w:tbl>
    <w:p>
      <w:pPr>
        <w:pStyle w:val="BodyText"/>
      </w:pPr>
      <w:r>
        <w:t xml:space="preserve">These links are provisional and require Architect confirmation before any formal cross-reference is locked.</w:t>
      </w:r>
    </w:p>
    <w:p>
      <w:r>
        <w:pict>
          <v:rect style="width:0;height:1.5pt" o:hralign="center" o:hrstd="t" o:hr="t"/>
        </w:pict>
      </w:r>
    </w:p>
    <w:bookmarkEnd w:id="37"/>
    <w:bookmarkStart w:id="38" w:name="X042df1a4e3ddcabda980d5fbae2d753c8c0cf30"/>
    <w:p>
      <w:pPr>
        <w:pStyle w:val="Heading2"/>
      </w:pPr>
      <w:r>
        <w:t xml:space="preserve">9. Master Change-Log Entry (Ready for Insertion)</w:t>
      </w:r>
    </w:p>
    <w:p>
      <w:pPr>
        <w:pStyle w:val="FirstParagraph"/>
      </w:pPr>
      <w:r>
        <w:rPr>
          <w:bCs/>
          <w:b/>
        </w:rPr>
        <w:t xml:space="preserve">Entry 71 — THE MULE (Biological Delivery &amp; Investigative Exploitation Scenario)</w:t>
      </w:r>
      <w:r>
        <w:br/>
      </w:r>
      <w:r>
        <w:rPr>
          <w:bCs/>
          <w:b/>
        </w:rPr>
        <w:t xml:space="preserve">Status:</w:t>
      </w:r>
      <w:r>
        <w:t xml:space="preserve"> </w:t>
      </w:r>
      <w:r>
        <w:t xml:space="preserve">Documented Framework — Draft Concept (Pending ONESTAMP)</w:t>
      </w:r>
      <w:r>
        <w:br/>
      </w:r>
      <w:r>
        <w:rPr>
          <w:bCs/>
          <w:b/>
        </w:rPr>
        <w:t xml:space="preserve">Date Logged:</w:t>
      </w:r>
      <w:r>
        <w:t xml:space="preserve"> </w:t>
      </w:r>
      <w:r>
        <w:t xml:space="preserve">July 21, 2026</w:t>
      </w:r>
      <w:r>
        <w:br/>
      </w:r>
      <w:r>
        <w:rPr>
          <w:bCs/>
          <w:b/>
        </w:rPr>
        <w:t xml:space="preserve">Source:</w:t>
      </w:r>
      <w:r>
        <w:t xml:space="preserve"> </w:t>
      </w:r>
      <w:r>
        <w:t xml:space="preserve">Architect voice dump (bus visualization) + supplemental notes + multi-AI structuring (ChatGPT, Perplexity, Claude, Gemini)</w:t>
      </w:r>
    </w:p>
    <w:p>
      <w:pPr>
        <w:pStyle w:val="BodyText"/>
      </w:pPr>
      <w:r>
        <w:rPr>
          <w:bCs/>
          <w:b/>
        </w:rPr>
        <w:t xml:space="preserve">Summary:</w:t>
      </w:r>
      <w:r>
        <w:t xml:space="preserve"> </w:t>
      </w:r>
      <w:r>
        <w:t xml:space="preserve">An unknowing carrier is dosed with a substance that metabolizes and secretes through the pores, designed to kill the carrier and contaminate contacts. Sequential activation of subsequent mules occurs upon death. Orchestrators profile investigators via public records to exploit predictable blind spots, particularly those of a veteran homicide detective nearing retirement. Detection sequence involves an autonomous robot that produces blue residue on contact and green confirmation when the investigator correctly identifies the substance class. Federal interest prioritizes pattern and source over immediate local shutdown. Core themes: deniability, institutional fatigue, weaponized experience, and the social invisibility of certain victims.</w:t>
      </w:r>
    </w:p>
    <w:p>
      <w:pPr>
        <w:pStyle w:val="BodyText"/>
      </w:pPr>
      <w:r>
        <w:rPr>
          <w:bCs/>
          <w:b/>
        </w:rPr>
        <w:t xml:space="preserve">Cross-References:</w:t>
      </w:r>
      <w:r>
        <w:t xml:space="preserve"> </w:t>
      </w:r>
      <w:r>
        <w:t xml:space="preserve">Deception Architecture · OAL Security Framework · Procedural Horror · Bakersfield Grounding · Investigative Exploitation</w:t>
      </w:r>
    </w:p>
    <w:p>
      <w:r>
        <w:pict>
          <v:rect style="width:0;height:1.5pt" o:hralign="center" o:hrstd="t" o:hr="t"/>
        </w:pict>
      </w:r>
    </w:p>
    <w:bookmarkEnd w:id="38"/>
    <w:bookmarkStart w:id="46" w:name="Xeef7220cb0e221da9a2f957a1d676535c395c7b"/>
    <w:p>
      <w:pPr>
        <w:pStyle w:val="Heading2"/>
      </w:pPr>
      <w:r>
        <w:t xml:space="preserve">10. Open Questions Registry — Targeted for Architect Clarification</w:t>
      </w:r>
    </w:p>
    <w:bookmarkStart w:id="39" w:name="a.-substance-carrier-mechanics"/>
    <w:p>
      <w:pPr>
        <w:pStyle w:val="Heading3"/>
      </w:pPr>
      <w:r>
        <w:t xml:space="preserve">A. Substance &amp; Carrier Mechanics</w:t>
      </w:r>
    </w:p>
    <w:p>
      <w:pPr>
        <w:numPr>
          <w:ilvl w:val="0"/>
          <w:numId w:val="1011"/>
        </w:numPr>
        <w:pStyle w:val="Compact"/>
      </w:pPr>
      <w:r>
        <w:t xml:space="preserve">What is the exact nature of the substance (engineered, experimental, biological, chemical, hybrid)?</w:t>
      </w:r>
      <w:r>
        <w:br/>
      </w:r>
    </w:p>
    <w:p>
      <w:pPr>
        <w:numPr>
          <w:ilvl w:val="0"/>
          <w:numId w:val="1011"/>
        </w:numPr>
        <w:pStyle w:val="Compact"/>
      </w:pPr>
      <w:r>
        <w:t xml:space="preserve">Onset, duration, and lethality profile for the carrier and for secondary contacts?</w:t>
      </w:r>
      <w:r>
        <w:br/>
      </w:r>
    </w:p>
    <w:p>
      <w:pPr>
        <w:numPr>
          <w:ilvl w:val="0"/>
          <w:numId w:val="1011"/>
        </w:numPr>
        <w:pStyle w:val="Compact"/>
      </w:pPr>
      <w:r>
        <w:t xml:space="preserve">At what point does secretion escalate to blood from the pores? Trigger or natural terminal stage?</w:t>
      </w:r>
      <w:r>
        <w:br/>
      </w:r>
    </w:p>
    <w:p>
      <w:pPr>
        <w:numPr>
          <w:ilvl w:val="0"/>
          <w:numId w:val="1011"/>
        </w:numPr>
        <w:pStyle w:val="Compact"/>
      </w:pPr>
      <w:r>
        <w:t xml:space="preserve">How is the carrier selected and prepared (knowing, unknowing, memory-suppressed, medical-trial cover)?</w:t>
      </w:r>
      <w:r>
        <w:br/>
      </w:r>
    </w:p>
    <w:p>
      <w:pPr>
        <w:numPr>
          <w:ilvl w:val="0"/>
          <w:numId w:val="1011"/>
        </w:numPr>
        <w:pStyle w:val="Compact"/>
      </w:pPr>
      <w:r>
        <w:t xml:space="preserve">Deployment window (hours / days / weeks)?</w:t>
      </w:r>
    </w:p>
    <w:bookmarkEnd w:id="39"/>
    <w:bookmarkStart w:id="40" w:name="b.-sequential-operation"/>
    <w:p>
      <w:pPr>
        <w:pStyle w:val="Heading3"/>
      </w:pPr>
      <w:r>
        <w:t xml:space="preserve">B. Sequential Operation</w:t>
      </w:r>
    </w:p>
    <w:p>
      <w:pPr>
        <w:numPr>
          <w:ilvl w:val="0"/>
          <w:numId w:val="1012"/>
        </w:numPr>
        <w:pStyle w:val="Compact"/>
      </w:pPr>
      <w:r>
        <w:t xml:space="preserve">How is the next mule activated (automatic biological timer, remote trigger, handler confirmation of death)?</w:t>
      </w:r>
      <w:r>
        <w:br/>
      </w:r>
    </w:p>
    <w:p>
      <w:pPr>
        <w:numPr>
          <w:ilvl w:val="0"/>
          <w:numId w:val="1012"/>
        </w:numPr>
        <w:pStyle w:val="Compact"/>
      </w:pPr>
      <w:r>
        <w:t xml:space="preserve">How many concurrent or staged mules exist at any time?</w:t>
      </w:r>
      <w:r>
        <w:br/>
      </w:r>
    </w:p>
    <w:p>
      <w:pPr>
        <w:numPr>
          <w:ilvl w:val="0"/>
          <w:numId w:val="1012"/>
        </w:numPr>
        <w:pStyle w:val="Compact"/>
      </w:pPr>
      <w:r>
        <w:t xml:space="preserve">Are there dormant carriers already in place?</w:t>
      </w:r>
    </w:p>
    <w:bookmarkEnd w:id="40"/>
    <w:bookmarkStart w:id="41" w:name="c.-adversary-objective"/>
    <w:p>
      <w:pPr>
        <w:pStyle w:val="Heading3"/>
      </w:pPr>
      <w:r>
        <w:t xml:space="preserve">C. Adversary &amp; Objective</w:t>
      </w:r>
    </w:p>
    <w:p>
      <w:pPr>
        <w:numPr>
          <w:ilvl w:val="0"/>
          <w:numId w:val="1013"/>
        </w:numPr>
        <w:pStyle w:val="Compact"/>
      </w:pPr>
      <w:r>
        <w:t xml:space="preserve">What is the real strategic objective beyond any single target elimination (field-testing, mapping response, psychological warfare, institutional capture, something else)?</w:t>
      </w:r>
      <w:r>
        <w:br/>
      </w:r>
    </w:p>
    <w:p>
      <w:pPr>
        <w:numPr>
          <w:ilvl w:val="0"/>
          <w:numId w:val="1013"/>
        </w:numPr>
        <w:pStyle w:val="Compact"/>
      </w:pPr>
      <w:r>
        <w:t xml:space="preserve">How accurate are the OSINT-based predictions of investigator behavior?</w:t>
      </w:r>
      <w:r>
        <w:br/>
      </w:r>
    </w:p>
    <w:p>
      <w:pPr>
        <w:numPr>
          <w:ilvl w:val="0"/>
          <w:numId w:val="1013"/>
        </w:numPr>
        <w:pStyle w:val="Compact"/>
      </w:pPr>
      <w:r>
        <w:t xml:space="preserve">Is the adversary human, institutional, algorithmically assisted, or a hybrid?</w:t>
      </w:r>
    </w:p>
    <w:bookmarkEnd w:id="41"/>
    <w:bookmarkStart w:id="42" w:name="d.-the-detective"/>
    <w:p>
      <w:pPr>
        <w:pStyle w:val="Heading3"/>
      </w:pPr>
      <w:r>
        <w:t xml:space="preserve">D. The Detective</w:t>
      </w:r>
    </w:p>
    <w:p>
      <w:pPr>
        <w:numPr>
          <w:ilvl w:val="0"/>
          <w:numId w:val="1014"/>
        </w:numPr>
        <w:pStyle w:val="Compact"/>
      </w:pPr>
      <w:r>
        <w:t xml:space="preserve">What specific past case, public outcome, or career habit is being exploited?</w:t>
      </w:r>
      <w:r>
        <w:br/>
      </w:r>
    </w:p>
    <w:p>
      <w:pPr>
        <w:numPr>
          <w:ilvl w:val="0"/>
          <w:numId w:val="1014"/>
        </w:numPr>
        <w:pStyle w:val="Compact"/>
      </w:pPr>
      <w:r>
        <w:t xml:space="preserve">At what point (if ever) does he realize he is being played?</w:t>
      </w:r>
      <w:r>
        <w:br/>
      </w:r>
    </w:p>
    <w:p>
      <w:pPr>
        <w:numPr>
          <w:ilvl w:val="0"/>
          <w:numId w:val="1014"/>
        </w:numPr>
        <w:pStyle w:val="Compact"/>
      </w:pPr>
      <w:r>
        <w:t xml:space="preserve">What is the personal or professional cost of that realization?</w:t>
      </w:r>
    </w:p>
    <w:bookmarkEnd w:id="42"/>
    <w:bookmarkStart w:id="43" w:name="e.-investigation-jurisdiction"/>
    <w:p>
      <w:pPr>
        <w:pStyle w:val="Heading3"/>
      </w:pPr>
      <w:r>
        <w:t xml:space="preserve">E. Investigation &amp; Jurisdiction</w:t>
      </w:r>
    </w:p>
    <w:p>
      <w:pPr>
        <w:numPr>
          <w:ilvl w:val="0"/>
          <w:numId w:val="1015"/>
        </w:numPr>
        <w:pStyle w:val="Compact"/>
      </w:pPr>
      <w:r>
        <w:t xml:space="preserve">How large is the practical danger radius around a live or recently deceased mule?</w:t>
      </w:r>
      <w:r>
        <w:br/>
      </w:r>
    </w:p>
    <w:p>
      <w:pPr>
        <w:numPr>
          <w:ilvl w:val="0"/>
          <w:numId w:val="1015"/>
        </w:numPr>
        <w:pStyle w:val="Compact"/>
      </w:pPr>
      <w:r>
        <w:t xml:space="preserve">What remote monitoring methods are used when direct approach is too dangerous?</w:t>
      </w:r>
      <w:r>
        <w:br/>
      </w:r>
    </w:p>
    <w:p>
      <w:pPr>
        <w:numPr>
          <w:ilvl w:val="0"/>
          <w:numId w:val="1015"/>
        </w:numPr>
        <w:pStyle w:val="Compact"/>
      </w:pPr>
      <w:r>
        <w:t xml:space="preserve">How do federal investigators justify allowing continued risk in a populated area?</w:t>
      </w:r>
      <w:r>
        <w:br/>
      </w:r>
    </w:p>
    <w:p>
      <w:pPr>
        <w:numPr>
          <w:ilvl w:val="0"/>
          <w:numId w:val="1015"/>
        </w:numPr>
        <w:pStyle w:val="Compact"/>
      </w:pPr>
      <w:r>
        <w:t xml:space="preserve">Does the local detective know he is being managed by federal priorities, or does he believe he is still in primary control?</w:t>
      </w:r>
    </w:p>
    <w:bookmarkEnd w:id="43"/>
    <w:bookmarkStart w:id="44" w:name="f.-the-robot"/>
    <w:p>
      <w:pPr>
        <w:pStyle w:val="Heading3"/>
      </w:pPr>
      <w:r>
        <w:t xml:space="preserve">F. The Robot</w:t>
      </w:r>
    </w:p>
    <w:p>
      <w:pPr>
        <w:numPr>
          <w:ilvl w:val="0"/>
          <w:numId w:val="1016"/>
        </w:numPr>
        <w:pStyle w:val="Compact"/>
      </w:pPr>
      <w:r>
        <w:t xml:space="preserve">Is the robot standard precinct equipment, specialized, or experimental?</w:t>
      </w:r>
      <w:r>
        <w:br/>
      </w:r>
    </w:p>
    <w:p>
      <w:pPr>
        <w:numPr>
          <w:ilvl w:val="0"/>
          <w:numId w:val="1016"/>
        </w:numPr>
        <w:pStyle w:val="Compact"/>
      </w:pPr>
      <w:r>
        <w:t xml:space="preserve">Can the robot produce false positives, ambiguous signals, or be spoofed by a sophisticated adversary?</w:t>
      </w:r>
      <w:r>
        <w:br/>
      </w:r>
    </w:p>
    <w:p>
      <w:pPr>
        <w:numPr>
          <w:ilvl w:val="0"/>
          <w:numId w:val="1016"/>
        </w:numPr>
        <w:pStyle w:val="Compact"/>
      </w:pPr>
      <w:r>
        <w:t xml:space="preserve">Does the green confirmation carry legal or procedural weight inside the investigation?</w:t>
      </w:r>
    </w:p>
    <w:bookmarkEnd w:id="44"/>
    <w:bookmarkStart w:id="45" w:name="g.-narrative-scope"/>
    <w:p>
      <w:pPr>
        <w:pStyle w:val="Heading3"/>
      </w:pPr>
      <w:r>
        <w:t xml:space="preserve">G. Narrative Scope</w:t>
      </w:r>
    </w:p>
    <w:p>
      <w:pPr>
        <w:numPr>
          <w:ilvl w:val="0"/>
          <w:numId w:val="1017"/>
        </w:numPr>
        <w:pStyle w:val="Compact"/>
      </w:pPr>
      <w:r>
        <w:t xml:space="preserve">Whose primary point-of-view is this story told from (detective, federal agent, the mule, external observer)?</w:t>
      </w:r>
      <w:r>
        <w:br/>
      </w:r>
    </w:p>
    <w:p>
      <w:pPr>
        <w:numPr>
          <w:ilvl w:val="0"/>
          <w:numId w:val="1017"/>
        </w:numPr>
        <w:pStyle w:val="Compact"/>
      </w:pPr>
      <w:r>
        <w:t xml:space="preserve">Is the Architect the intended primary target of the initial mule, a secondary target, or an observer who becomes drawn in?</w:t>
      </w:r>
      <w:r>
        <w:br/>
      </w:r>
    </w:p>
    <w:p>
      <w:pPr>
        <w:numPr>
          <w:ilvl w:val="0"/>
          <w:numId w:val="1017"/>
        </w:numPr>
        <w:pStyle w:val="Compact"/>
      </w:pPr>
      <w:r>
        <w:t xml:space="preserve">What is the first concrete scene that should be written?</w:t>
      </w:r>
    </w:p>
    <w:p>
      <w:r>
        <w:pict>
          <v:rect style="width:0;height:1.5pt" o:hralign="center" o:hrstd="t" o:hr="t"/>
        </w:pict>
      </w:r>
    </w:p>
    <w:bookmarkEnd w:id="45"/>
    <w:bookmarkEnd w:id="46"/>
    <w:bookmarkStart w:id="47" w:name="red-team-risk-notes-narrative"/>
    <w:p>
      <w:pPr>
        <w:pStyle w:val="Heading2"/>
      </w:pPr>
      <w:r>
        <w:t xml:space="preserve">11. Red-Team / Risk Notes (Narrative)</w:t>
      </w:r>
    </w:p>
    <w:tbl>
      <w:tblPr>
        <w:tblStyle w:val="Table"/>
        <w:tblW w:type="pct" w:w="5000"/>
        <w:tblLook w:firstRow="1" w:lastRow="0" w:firstColumn="0" w:lastColumn="0" w:noHBand="0" w:noVBand="0" w:val="0020"/>
        <w:jc w:val="start"/>
      </w:tblPr>
      <w:tblGrid>
        <w:gridCol w:w="1159"/>
        <w:gridCol w:w="2511"/>
        <w:gridCol w:w="4249"/>
      </w:tblGrid>
      <w:tr>
        <w:trPr>
          <w:tblHeader w:val="true"/>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Mitigation Direction</w:t>
            </w:r>
          </w:p>
        </w:tc>
      </w:tr>
      <w:tr>
        <w:tc>
          <w:tcPr/>
          <w:p>
            <w:pPr>
              <w:pStyle w:val="Compact"/>
              <w:jc w:val="left"/>
            </w:pPr>
            <w:r>
              <w:t xml:space="preserve">Omnipotent Adversary</w:t>
            </w:r>
          </w:p>
        </w:tc>
        <w:tc>
          <w:tcPr/>
          <w:p>
            <w:pPr>
              <w:pStyle w:val="Compact"/>
              <w:jc w:val="left"/>
            </w:pPr>
            <w:r>
              <w:t xml:space="preserve">Perfect prediction of the detective removes all tension</w:t>
            </w:r>
          </w:p>
        </w:tc>
        <w:tc>
          <w:tcPr/>
          <w:p>
            <w:pPr>
              <w:pStyle w:val="Compact"/>
              <w:jc w:val="left"/>
            </w:pPr>
            <w:r>
              <w:t xml:space="preserve">Show at least one prediction that is wrong or incomplete; allow the detective a real (if costly) counter-move</w:t>
            </w:r>
          </w:p>
        </w:tc>
      </w:tr>
      <w:tr>
        <w:tc>
          <w:tcPr/>
          <w:p>
            <w:pPr>
              <w:pStyle w:val="Compact"/>
              <w:jc w:val="left"/>
            </w:pPr>
            <w:r>
              <w:t xml:space="preserve">Substance Over-Explanation</w:t>
            </w:r>
          </w:p>
        </w:tc>
        <w:tc>
          <w:tcPr/>
          <w:p>
            <w:pPr>
              <w:pStyle w:val="Compact"/>
              <w:jc w:val="left"/>
            </w:pPr>
            <w:r>
              <w:t xml:space="preserve">Excessive technical detail drains atmosphere</w:t>
            </w:r>
          </w:p>
        </w:tc>
        <w:tc>
          <w:tcPr/>
          <w:p>
            <w:pPr>
              <w:pStyle w:val="Compact"/>
              <w:jc w:val="left"/>
            </w:pPr>
            <w:r>
              <w:t xml:space="preserve">Keep the substance partially mysterious; focus on effects and institutional response</w:t>
            </w:r>
          </w:p>
        </w:tc>
      </w:tr>
      <w:tr>
        <w:tc>
          <w:tcPr/>
          <w:p>
            <w:pPr>
              <w:pStyle w:val="Compact"/>
              <w:jc w:val="left"/>
            </w:pPr>
            <w:r>
              <w:t xml:space="preserve">Social Stereotyping</w:t>
            </w:r>
          </w:p>
        </w:tc>
        <w:tc>
          <w:tcPr/>
          <w:p>
            <w:pPr>
              <w:pStyle w:val="Compact"/>
              <w:jc w:val="left"/>
            </w:pPr>
            <w:r>
              <w:t xml:space="preserve">Risk of reducing the mule to a disposable</w:t>
            </w:r>
            <w:r>
              <w:t xml:space="preserve"> </w:t>
            </w:r>
            <w:r>
              <w:t xml:space="preserve">“</w:t>
            </w:r>
            <w:r>
              <w:t xml:space="preserve">addict</w:t>
            </w:r>
            <w:r>
              <w:t xml:space="preserve">”</w:t>
            </w:r>
            <w:r>
              <w:t xml:space="preserve"> </w:t>
            </w:r>
            <w:r>
              <w:t xml:space="preserve">trope</w:t>
            </w:r>
          </w:p>
        </w:tc>
        <w:tc>
          <w:tcPr/>
          <w:p>
            <w:pPr>
              <w:pStyle w:val="Compact"/>
              <w:jc w:val="left"/>
            </w:pPr>
            <w:r>
              <w:t xml:space="preserve">Emphasize the tragedy and the systemic failure that makes the trap work; give the carrier interiority if POV allows</w:t>
            </w:r>
          </w:p>
        </w:tc>
      </w:tr>
      <w:tr>
        <w:tc>
          <w:tcPr/>
          <w:p>
            <w:pPr>
              <w:pStyle w:val="Compact"/>
              <w:jc w:val="left"/>
            </w:pPr>
            <w:r>
              <w:t xml:space="preserve">Jurisdictional Cliché</w:t>
            </w:r>
          </w:p>
        </w:tc>
        <w:tc>
          <w:tcPr/>
          <w:p>
            <w:pPr>
              <w:pStyle w:val="Compact"/>
              <w:jc w:val="left"/>
            </w:pPr>
            <w:r>
              <w:t xml:space="preserve">Federal vs local conflict can feel generic</w:t>
            </w:r>
          </w:p>
        </w:tc>
        <w:tc>
          <w:tcPr/>
          <w:p>
            <w:pPr>
              <w:pStyle w:val="Compact"/>
              <w:jc w:val="left"/>
            </w:pPr>
            <w:r>
              <w:t xml:space="preserve">Ground it in the specific moral cost of letting the pattern continue in order to learn the source</w:t>
            </w:r>
          </w:p>
        </w:tc>
      </w:tr>
      <w:tr>
        <w:tc>
          <w:tcPr/>
          <w:p>
            <w:pPr>
              <w:pStyle w:val="Compact"/>
              <w:jc w:val="left"/>
            </w:pPr>
            <w:r>
              <w:t xml:space="preserve">Visual Over-Reliance</w:t>
            </w:r>
          </w:p>
        </w:tc>
        <w:tc>
          <w:tcPr/>
          <w:p>
            <w:pPr>
              <w:pStyle w:val="Compact"/>
              <w:jc w:val="left"/>
            </w:pPr>
            <w:r>
              <w:t xml:space="preserve">Blue/green robot sequence is strong but can become a gimmick if repeated without escalation</w:t>
            </w:r>
          </w:p>
        </w:tc>
        <w:tc>
          <w:tcPr/>
          <w:p>
            <w:pPr>
              <w:pStyle w:val="Compact"/>
              <w:jc w:val="left"/>
            </w:pPr>
            <w:r>
              <w:t xml:space="preserve">Use it once as the signature discovery moment; later iterations should feel different or degraded</w:t>
            </w:r>
          </w:p>
        </w:tc>
      </w:tr>
    </w:tbl>
    <w:p>
      <w:r>
        <w:pict>
          <v:rect style="width:0;height:1.5pt" o:hralign="center" o:hrstd="t" o:hr="t"/>
        </w:pict>
      </w:r>
    </w:p>
    <w:bookmarkEnd w:id="47"/>
    <w:bookmarkStart w:id="48" w:name="recommended-next-development-steps"/>
    <w:p>
      <w:pPr>
        <w:pStyle w:val="Heading2"/>
      </w:pPr>
      <w:r>
        <w:t xml:space="preserve">12. Recommended Next Development Steps</w:t>
      </w:r>
    </w:p>
    <w:p>
      <w:pPr>
        <w:numPr>
          <w:ilvl w:val="0"/>
          <w:numId w:val="1018"/>
        </w:numPr>
        <w:pStyle w:val="Compact"/>
      </w:pPr>
      <w:r>
        <w:t xml:space="preserve">Architect answers the highest-priority open questions (especially objective of the operation, nature of the substance at a high level, and the detective’s specific exploitable history).</w:t>
      </w:r>
      <w:r>
        <w:br/>
      </w:r>
    </w:p>
    <w:p>
      <w:pPr>
        <w:numPr>
          <w:ilvl w:val="0"/>
          <w:numId w:val="1018"/>
        </w:numPr>
        <w:pStyle w:val="Compact"/>
      </w:pPr>
      <w:r>
        <w:t xml:space="preserve">Select primary POV and first scene to draft.</w:t>
      </w:r>
      <w:r>
        <w:br/>
      </w:r>
    </w:p>
    <w:p>
      <w:pPr>
        <w:numPr>
          <w:ilvl w:val="0"/>
          <w:numId w:val="1018"/>
        </w:numPr>
        <w:pStyle w:val="Compact"/>
      </w:pPr>
      <w:r>
        <w:t xml:space="preserve">Decide whether the robot is a one-time specialized asset or a recurring piece of investigative technology in this world.</w:t>
      </w:r>
      <w:r>
        <w:br/>
      </w:r>
    </w:p>
    <w:p>
      <w:pPr>
        <w:numPr>
          <w:ilvl w:val="0"/>
          <w:numId w:val="1018"/>
        </w:numPr>
        <w:pStyle w:val="Compact"/>
      </w:pPr>
      <w:r>
        <w:t xml:space="preserve">Determine the scale of the sequential system (how many mules, how long the campaign has already been running).</w:t>
      </w:r>
      <w:r>
        <w:br/>
      </w:r>
    </w:p>
    <w:p>
      <w:pPr>
        <w:numPr>
          <w:ilvl w:val="0"/>
          <w:numId w:val="1018"/>
        </w:numPr>
        <w:pStyle w:val="Compact"/>
      </w:pPr>
      <w:r>
        <w:t xml:space="preserve">Produce a short</w:t>
      </w:r>
      <w:r>
        <w:t xml:space="preserve"> </w:t>
      </w:r>
      <w:r>
        <w:t xml:space="preserve">“</w:t>
      </w:r>
      <w:r>
        <w:t xml:space="preserve">case file</w:t>
      </w:r>
      <w:r>
        <w:t xml:space="preserve">”</w:t>
      </w:r>
      <w:r>
        <w:t xml:space="preserve"> </w:t>
      </w:r>
      <w:r>
        <w:t xml:space="preserve">or incident-report style draft of the interrogation-room sequence for tone testing.</w:t>
      </w:r>
      <w:r>
        <w:br/>
      </w:r>
    </w:p>
    <w:p>
      <w:pPr>
        <w:numPr>
          <w:ilvl w:val="0"/>
          <w:numId w:val="1018"/>
        </w:numPr>
        <w:pStyle w:val="Compact"/>
      </w:pPr>
      <w:r>
        <w:t xml:space="preserve">Cross-check against existing Deception Architecture and OAL Security Framework entries for consistency once core answers are locked.</w:t>
      </w:r>
    </w:p>
    <w:p>
      <w:r>
        <w:pict>
          <v:rect style="width:0;height:1.5pt" o:hralign="center" o:hrstd="t" o:hr="t"/>
        </w:pict>
      </w:r>
    </w:p>
    <w:bookmarkEnd w:id="48"/>
    <w:bookmarkStart w:id="49" w:name="version-history"/>
    <w:p>
      <w:pPr>
        <w:pStyle w:val="Heading2"/>
      </w:pPr>
      <w:r>
        <w:t xml:space="preserve">13. Version History</w:t>
      </w:r>
    </w:p>
    <w:tbl>
      <w:tblPr>
        <w:tblStyle w:val="Table"/>
        <w:tblW w:type="pct" w:w="5000"/>
        <w:tblLook w:firstRow="1" w:lastRow="0" w:firstColumn="0" w:lastColumn="0" w:noHBand="0" w:noVBand="0" w:val="0020"/>
        <w:jc w:val="start"/>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v1.0.0</w:t>
            </w:r>
          </w:p>
        </w:tc>
        <w:tc>
          <w:tcPr/>
          <w:p>
            <w:pPr>
              <w:pStyle w:val="Compact"/>
              <w:jc w:val="left"/>
            </w:pPr>
            <w:r>
              <w:t xml:space="preserve">July 21, 2026</w:t>
            </w:r>
          </w:p>
        </w:tc>
        <w:tc>
          <w:tcPr/>
          <w:p>
            <w:pPr>
              <w:pStyle w:val="Compact"/>
              <w:jc w:val="left"/>
            </w:pPr>
            <w:r>
              <w:t xml:space="preserve">Grok (xAI)</w:t>
            </w:r>
          </w:p>
        </w:tc>
        <w:tc>
          <w:tcPr/>
          <w:p>
            <w:pPr>
              <w:pStyle w:val="Compact"/>
              <w:jc w:val="left"/>
            </w:pPr>
            <w:r>
              <w:t xml:space="preserve">Initial synthesis from Architect voice dump, supplemental notes, and multi-AI feedback (ChatGPT, Perplexity, Claude, Gemini). Structured as standalone concept dossier. Pending Architect review.</w:t>
            </w:r>
          </w:p>
        </w:tc>
      </w:tr>
    </w:tbl>
    <w:p>
      <w:r>
        <w:pict>
          <v:rect style="width:0;height:1.5pt" o:hralign="center" o:hrstd="t" o:hr="t"/>
        </w:pict>
      </w:r>
    </w:p>
    <w:p>
      <w:pPr>
        <w:pStyle w:val="FirstParagraph"/>
      </w:pPr>
      <w:r>
        <w:rPr>
          <w:iCs/>
          <w:i/>
        </w:rPr>
        <w:t xml:space="preserve">End of Document</w:t>
      </w:r>
      <w:r>
        <w:br/>
      </w:r>
      <w:r>
        <w:rPr>
          <w:iCs/>
          <w:i/>
        </w:rPr>
        <w:t xml:space="preserve">The Mule — Scenario Concept Dossier v1.0.0</w:t>
      </w:r>
      <w:r>
        <w:br/>
      </w:r>
      <w:r>
        <w:rPr>
          <w:iCs/>
          <w:i/>
        </w:rPr>
        <w:t xml:space="preserve">Prepared for the OAL collaborative team</w:t>
      </w:r>
      <w:r>
        <w:br/>
      </w:r>
      <w:r>
        <w:rPr>
          <w:iCs/>
          <w:i/>
        </w:rPr>
        <w:t xml:space="preserve">Status: DRAFT — Awaiting Architect clarification and ONESTAMP</w:t>
      </w:r>
      <w:r>
        <w:br/>
      </w:r>
      <w:r>
        <w:rPr>
          <w:iCs/>
          <w:i/>
        </w:rPr>
        <w:t xml:space="preserve">July 21, 2026</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2026-07-21T23:35:25Z</dcterms:created>
  <dcterms:modified xsi:type="dcterms:W3CDTF">2026-07-21T23:35:25Z</dcterms:modified>
</cp:coreProperties>
</file>

<file path=docProps/custom.xml><?xml version="1.0" encoding="utf-8"?>
<Properties xmlns="http://schemas.openxmlformats.org/officeDocument/2006/custom-properties" xmlns:vt="http://schemas.openxmlformats.org/officeDocument/2006/docPropsVTypes"/>
</file>