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5364A"/>
          <w:sz w:val="60"/>
        </w:rPr>
        <w:t>TOTAL EVENT</w:t>
        <w:br/>
        <w:t>CLOSURE PROTOCOL</w:t>
      </w:r>
    </w:p>
    <w:p>
      <w:pPr>
        <w:jc w:val="center"/>
      </w:pPr>
      <w:r>
        <w:rPr>
          <w:color w:val="395D6F"/>
          <w:sz w:val="32"/>
        </w:rPr>
        <w:t>Canon Standardization Document</w:t>
      </w:r>
    </w:p>
    <w:p>
      <w:pPr>
        <w:spacing w:before="320"/>
        <w:jc w:val="center"/>
      </w:pPr>
      <w:r>
        <w:rPr>
          <w:b/>
          <w:sz w:val="24"/>
        </w:rPr>
        <w:t>Version 1.0 - First Iteration for Review and Approval</w:t>
      </w:r>
    </w:p>
    <w:tbl>
      <w:tblPr>
        <w:tblStyle w:val="TableGrid"/>
        <w:tblW w:type="auto" w:w="0"/>
        <w:jc w:val="center"/>
        <w:tblLook w:firstColumn="1" w:firstRow="1" w:lastColumn="0" w:lastRow="0" w:noHBand="0" w:noVBand="1" w:val="04A0"/>
      </w:tblPr>
      <w:tblGrid>
        <w:gridCol w:w="4968"/>
        <w:gridCol w:w="4968"/>
      </w:tblGrid>
      <w:tr>
        <w:tc>
          <w:tcPr>
            <w:tcW w:type="dxa" w:w="4968"/>
            <w:shd w:fill="D8E4EA"/>
          </w:tcPr>
          <w:p>
            <w:pPr>
              <w:spacing w:after="60" w:before="60"/>
            </w:pPr>
            <w:r>
              <w:rPr>
                <w:b/>
              </w:rPr>
              <w:t>Document Status</w:t>
            </w:r>
          </w:p>
        </w:tc>
        <w:tc>
          <w:tcPr>
            <w:tcW w:type="dxa" w:w="4968"/>
          </w:tcPr>
          <w:p>
            <w:pPr>
              <w:spacing w:after="60" w:before="60"/>
            </w:pPr>
            <w:r>
              <w:t>Draft for Canon Review - Not Yet Approved</w:t>
            </w:r>
          </w:p>
        </w:tc>
      </w:tr>
      <w:tr>
        <w:tc>
          <w:tcPr>
            <w:tcW w:type="dxa" w:w="4968"/>
            <w:shd w:fill="D8E4EA"/>
          </w:tcPr>
          <w:p>
            <w:pPr>
              <w:spacing w:after="60" w:before="60"/>
            </w:pPr>
            <w:r>
              <w:rPr>
                <w:b/>
              </w:rPr>
              <w:t>Architect / Authority Holder</w:t>
            </w:r>
          </w:p>
        </w:tc>
        <w:tc>
          <w:tcPr>
            <w:tcW w:type="dxa" w:w="4968"/>
          </w:tcPr>
          <w:p>
            <w:pPr>
              <w:spacing w:after="60" w:before="60"/>
            </w:pPr>
            <w:r>
              <w:t>Nathan Lewis II</w:t>
            </w:r>
          </w:p>
        </w:tc>
      </w:tr>
      <w:tr>
        <w:tc>
          <w:tcPr>
            <w:tcW w:type="dxa" w:w="4968"/>
            <w:shd w:fill="D8E4EA"/>
          </w:tcPr>
          <w:p>
            <w:pPr>
              <w:spacing w:after="60" w:before="60"/>
            </w:pPr>
            <w:r>
              <w:rPr>
                <w:b/>
              </w:rPr>
              <w:t>Prepared By</w:t>
            </w:r>
          </w:p>
        </w:tc>
        <w:tc>
          <w:tcPr>
            <w:tcW w:type="dxa" w:w="4968"/>
          </w:tcPr>
          <w:p>
            <w:pPr>
              <w:spacing w:after="60" w:before="60"/>
            </w:pPr>
            <w:r>
              <w:t>ChatGPT (GPT-5.5 Thinking)</w:t>
            </w:r>
          </w:p>
        </w:tc>
      </w:tr>
      <w:tr>
        <w:tc>
          <w:tcPr>
            <w:tcW w:type="dxa" w:w="4968"/>
            <w:shd w:fill="D8E4EA"/>
          </w:tcPr>
          <w:p>
            <w:pPr>
              <w:spacing w:after="60" w:before="60"/>
            </w:pPr>
            <w:r>
              <w:rPr>
                <w:b/>
              </w:rPr>
              <w:t>Issued</w:t>
            </w:r>
          </w:p>
        </w:tc>
        <w:tc>
          <w:tcPr>
            <w:tcW w:type="dxa" w:w="4968"/>
          </w:tcPr>
          <w:p>
            <w:pPr>
              <w:spacing w:after="60" w:before="60"/>
            </w:pPr>
            <w:r>
              <w:t>July 3, 2026</w:t>
            </w:r>
          </w:p>
        </w:tc>
      </w:tr>
      <w:tr>
        <w:tc>
          <w:tcPr>
            <w:tcW w:type="dxa" w:w="4968"/>
            <w:shd w:fill="D8E4EA"/>
          </w:tcPr>
          <w:p>
            <w:pPr>
              <w:spacing w:after="60" w:before="60"/>
            </w:pPr>
            <w:r>
              <w:rPr>
                <w:b/>
              </w:rPr>
              <w:t>Publication Purpose</w:t>
            </w:r>
          </w:p>
        </w:tc>
        <w:tc>
          <w:tcPr>
            <w:tcW w:type="dxa" w:w="4968"/>
          </w:tcPr>
          <w:p>
            <w:pPr>
              <w:spacing w:after="60" w:before="60"/>
            </w:pPr>
            <w:r>
              <w:t>Scribd-ready Canon Standardization record</w:t>
            </w:r>
          </w:p>
        </w:tc>
      </w:tr>
    </w:tbl>
    <w:p/>
    <w:tbl>
      <w:tblPr>
        <w:tblW w:type="auto" w:w="0"/>
        <w:jc w:val="center"/>
        <w:tblLayout w:type="autofit"/>
        <w:tblLook w:firstColumn="1" w:firstRow="1" w:lastColumn="0" w:lastRow="0" w:noHBand="0" w:noVBand="1" w:val="04A0"/>
      </w:tblPr>
      <w:tblGrid>
        <w:gridCol w:w="9936"/>
      </w:tblGrid>
      <w:tr>
        <w:tc>
          <w:tcPr>
            <w:tcW w:type="dxa" w:w="9936"/>
            <w:shd w:fill="FFF2CC"/>
            <w:tcBorders>
              <w:top w:val="single" w:sz="8" w:color="34556B"/>
              <w:left w:val="single" w:sz="8" w:color="34556B"/>
              <w:bottom w:val="single" w:sz="8" w:color="34556B"/>
              <w:right w:val="single" w:sz="8" w:color="34556B"/>
            </w:tcBorders>
          </w:tcPr>
          <w:p>
            <w:pPr>
              <w:spacing w:after="80"/>
            </w:pPr>
            <w:r>
              <w:rPr>
                <w:b/>
                <w:color w:val="1F4157"/>
                <w:sz w:val="22"/>
              </w:rPr>
              <w:t>REVIEW STATUS</w:t>
            </w:r>
          </w:p>
          <w:p>
            <w:pPr>
              <w:spacing w:after="0"/>
            </w:pPr>
            <w:r>
              <w:t>This is Version 1.0, prepared as the first proposed Canon Standardization iteration. It has not been approved, electronically signed, ONESTAMPED, or designated as final by the Architect / Authority Holder.</w:t>
            </w:r>
          </w:p>
        </w:tc>
      </w:tr>
    </w:tbl>
    <w:p>
      <w:pPr>
        <w:spacing w:after="0"/>
      </w:pPr>
    </w:p>
    <w:p>
      <w:r>
        <w:br w:type="page"/>
      </w:r>
    </w:p>
    <w:p>
      <w:pPr>
        <w:pStyle w:val="Heading1"/>
        <w:spacing w:before="240" w:after="100"/>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8E4EA"/>
          </w:tcPr>
          <w:p>
            <w:pPr>
              <w:spacing w:after="40" w:before="40"/>
            </w:pPr>
            <w:r>
              <w:rPr>
                <w:b/>
              </w:rPr>
              <w:t>Canonical Title</w:t>
            </w:r>
          </w:p>
        </w:tc>
        <w:tc>
          <w:tcPr>
            <w:tcW w:type="dxa" w:w="6480"/>
          </w:tcPr>
          <w:p>
            <w:pPr>
              <w:spacing w:after="40" w:before="40"/>
            </w:pPr>
            <w:r>
              <w:t>Total Event Closure Protocol</w:t>
            </w:r>
          </w:p>
        </w:tc>
      </w:tr>
      <w:tr>
        <w:tc>
          <w:tcPr>
            <w:tcW w:type="dxa" w:w="2880"/>
            <w:vAlign w:val="center"/>
            <w:shd w:fill="D8E4EA"/>
          </w:tcPr>
          <w:p>
            <w:pPr>
              <w:spacing w:after="40" w:before="40"/>
            </w:pPr>
            <w:r>
              <w:rPr>
                <w:b/>
              </w:rPr>
              <w:t>Abbreviation</w:t>
            </w:r>
          </w:p>
        </w:tc>
        <w:tc>
          <w:tcPr>
            <w:tcW w:type="dxa" w:w="6480"/>
          </w:tcPr>
          <w:p>
            <w:pPr>
              <w:spacing w:after="40" w:before="40"/>
            </w:pPr>
            <w:r>
              <w:t>TECP</w:t>
            </w:r>
          </w:p>
        </w:tc>
      </w:tr>
      <w:tr>
        <w:tc>
          <w:tcPr>
            <w:tcW w:type="dxa" w:w="2880"/>
            <w:vAlign w:val="center"/>
            <w:shd w:fill="D8E4EA"/>
          </w:tcPr>
          <w:p>
            <w:pPr>
              <w:spacing w:after="40" w:before="40"/>
            </w:pPr>
            <w:r>
              <w:rPr>
                <w:b/>
              </w:rPr>
              <w:t>Document Class</w:t>
            </w:r>
          </w:p>
        </w:tc>
        <w:tc>
          <w:tcPr>
            <w:tcW w:type="dxa" w:w="6480"/>
          </w:tcPr>
          <w:p>
            <w:pPr>
              <w:spacing w:after="40" w:before="40"/>
            </w:pPr>
            <w:r>
              <w:t>Canon Standardization / Protocol Architecture</w:t>
            </w:r>
          </w:p>
        </w:tc>
      </w:tr>
      <w:tr>
        <w:tc>
          <w:tcPr>
            <w:tcW w:type="dxa" w:w="2880"/>
            <w:vAlign w:val="center"/>
            <w:shd w:fill="D8E4EA"/>
          </w:tcPr>
          <w:p>
            <w:pPr>
              <w:spacing w:after="40" w:before="40"/>
            </w:pPr>
            <w:r>
              <w:rPr>
                <w:b/>
              </w:rPr>
              <w:t>Version</w:t>
            </w:r>
          </w:p>
        </w:tc>
        <w:tc>
          <w:tcPr>
            <w:tcW w:type="dxa" w:w="6480"/>
          </w:tcPr>
          <w:p>
            <w:pPr>
              <w:spacing w:after="40" w:before="40"/>
            </w:pPr>
            <w:r>
              <w:t>1.0 - First Iteration for Review</w:t>
            </w:r>
          </w:p>
        </w:tc>
      </w:tr>
      <w:tr>
        <w:tc>
          <w:tcPr>
            <w:tcW w:type="dxa" w:w="2880"/>
            <w:vAlign w:val="center"/>
            <w:shd w:fill="D8E4EA"/>
          </w:tcPr>
          <w:p>
            <w:pPr>
              <w:spacing w:after="40" w:before="40"/>
            </w:pPr>
            <w:r>
              <w:rPr>
                <w:b/>
              </w:rPr>
              <w:t>Status</w:t>
            </w:r>
          </w:p>
        </w:tc>
        <w:tc>
          <w:tcPr>
            <w:tcW w:type="dxa" w:w="6480"/>
          </w:tcPr>
          <w:p>
            <w:pPr>
              <w:spacing w:after="40" w:before="40"/>
            </w:pPr>
            <w:r>
              <w:t>Draft; no final canon effect until expressly approved by the Architect / Authority Holder</w:t>
            </w:r>
          </w:p>
        </w:tc>
      </w:tr>
      <w:tr>
        <w:tc>
          <w:tcPr>
            <w:tcW w:type="dxa" w:w="2880"/>
            <w:vAlign w:val="center"/>
            <w:shd w:fill="D8E4EA"/>
          </w:tcPr>
          <w:p>
            <w:pPr>
              <w:spacing w:after="40" w:before="40"/>
            </w:pPr>
            <w:r>
              <w:rPr>
                <w:b/>
              </w:rPr>
              <w:t>Authority Holder</w:t>
            </w:r>
          </w:p>
        </w:tc>
        <w:tc>
          <w:tcPr>
            <w:tcW w:type="dxa" w:w="6480"/>
          </w:tcPr>
          <w:p>
            <w:pPr>
              <w:spacing w:after="40" w:before="40"/>
            </w:pPr>
            <w:r>
              <w:t>Nathan Lewis II</w:t>
            </w:r>
          </w:p>
        </w:tc>
      </w:tr>
      <w:tr>
        <w:tc>
          <w:tcPr>
            <w:tcW w:type="dxa" w:w="2880"/>
            <w:vAlign w:val="center"/>
            <w:shd w:fill="D8E4EA"/>
          </w:tcPr>
          <w:p>
            <w:pPr>
              <w:spacing w:after="40" w:before="40"/>
            </w:pPr>
            <w:r>
              <w:rPr>
                <w:b/>
              </w:rPr>
              <w:t>Prepared By</w:t>
            </w:r>
          </w:p>
        </w:tc>
        <w:tc>
          <w:tcPr>
            <w:tcW w:type="dxa" w:w="6480"/>
          </w:tcPr>
          <w:p>
            <w:pPr>
              <w:spacing w:after="40" w:before="40"/>
            </w:pPr>
            <w:r>
              <w:t>ChatGPT (GPT-5.5 Thinking)</w:t>
            </w:r>
          </w:p>
        </w:tc>
      </w:tr>
      <w:tr>
        <w:tc>
          <w:tcPr>
            <w:tcW w:type="dxa" w:w="2880"/>
            <w:vAlign w:val="center"/>
            <w:shd w:fill="D8E4EA"/>
          </w:tcPr>
          <w:p>
            <w:pPr>
              <w:spacing w:after="40" w:before="40"/>
            </w:pPr>
            <w:r>
              <w:rPr>
                <w:b/>
              </w:rPr>
              <w:t>Interpretive Priority</w:t>
            </w:r>
          </w:p>
        </w:tc>
        <w:tc>
          <w:tcPr>
            <w:tcW w:type="dxa" w:w="6480"/>
          </w:tcPr>
          <w:p>
            <w:pPr>
              <w:spacing w:after="40" w:before="40"/>
            </w:pPr>
            <w:r>
              <w:t>The Architect / Authority Holder’s explicit definitions and later approved revisions govern over assistant-generated phrasing.</w:t>
            </w:r>
          </w:p>
        </w:tc>
      </w:tr>
      <w:tr>
        <w:tc>
          <w:tcPr>
            <w:tcW w:type="dxa" w:w="2880"/>
            <w:vAlign w:val="center"/>
            <w:shd w:fill="D8E4EA"/>
          </w:tcPr>
          <w:p>
            <w:pPr>
              <w:spacing w:after="40" w:before="40"/>
            </w:pPr>
            <w:r>
              <w:rPr>
                <w:b/>
              </w:rPr>
              <w:t>Revision Method</w:t>
            </w:r>
          </w:p>
        </w:tc>
        <w:tc>
          <w:tcPr>
            <w:tcW w:type="dxa" w:w="6480"/>
          </w:tcPr>
          <w:p>
            <w:pPr>
              <w:spacing w:after="40" w:before="40"/>
            </w:pPr>
            <w:r>
              <w:t>Successive reviewed versions; approved changes must identify version number, date, and supersession relationship.</w:t>
            </w:r>
          </w:p>
        </w:tc>
      </w:tr>
    </w:tbl>
    <w:p>
      <w:pPr>
        <w:spacing w:after="0"/>
      </w:pPr>
    </w:p>
    <w:p>
      <w:pPr>
        <w:pStyle w:val="Heading1"/>
        <w:spacing w:before="240" w:after="100"/>
      </w:pPr>
      <w:r>
        <w:t>Table of Contents</w:t>
      </w:r>
    </w:p>
    <w:p>
      <w:pPr>
        <w:pStyle w:val="ListNumber"/>
        <w:spacing w:after="20"/>
      </w:pPr>
      <w:r>
        <w:t>1. Purpose and Canonical Function</w:t>
      </w:r>
    </w:p>
    <w:p>
      <w:pPr>
        <w:pStyle w:val="ListNumber"/>
        <w:spacing w:after="20"/>
      </w:pPr>
      <w:r>
        <w:t>2. Authority, Status, and Interpretation</w:t>
      </w:r>
    </w:p>
    <w:p>
      <w:pPr>
        <w:pStyle w:val="ListNumber"/>
        <w:spacing w:after="20"/>
      </w:pPr>
      <w:r>
        <w:t>3. Foundational Governing Declaration</w:t>
      </w:r>
    </w:p>
    <w:p>
      <w:pPr>
        <w:pStyle w:val="ListNumber"/>
        <w:spacing w:after="20"/>
      </w:pPr>
      <w:r>
        <w:t>4. Defined Terms</w:t>
      </w:r>
    </w:p>
    <w:p>
      <w:pPr>
        <w:pStyle w:val="ListNumber"/>
        <w:spacing w:after="20"/>
      </w:pPr>
      <w:r>
        <w:t>5. Event-Space Architecture</w:t>
      </w:r>
    </w:p>
    <w:p>
      <w:pPr>
        <w:pStyle w:val="ListNumber"/>
        <w:spacing w:after="20"/>
      </w:pPr>
      <w:r>
        <w:t>6. Total Event Closure Operator</w:t>
      </w:r>
    </w:p>
    <w:p>
      <w:pPr>
        <w:pStyle w:val="ListNumber"/>
        <w:spacing w:after="20"/>
      </w:pPr>
      <w:r>
        <w:t>7. Directionality and Variation Taxonomy</w:t>
      </w:r>
    </w:p>
    <w:p>
      <w:pPr>
        <w:pStyle w:val="ListNumber"/>
        <w:spacing w:after="20"/>
      </w:pPr>
      <w:r>
        <w:t>8. Non-Directional Occurrence Rule</w:t>
      </w:r>
    </w:p>
    <w:p>
      <w:pPr>
        <w:pStyle w:val="ListNumber"/>
        <w:spacing w:after="20"/>
      </w:pPr>
      <w:r>
        <w:t>9. Contradiction and Coexistence Architecture</w:t>
      </w:r>
    </w:p>
    <w:p>
      <w:pPr>
        <w:pStyle w:val="ListNumber"/>
        <w:spacing w:after="20"/>
      </w:pPr>
      <w:r>
        <w:t>10. Trigger, Scope, and Boundary Syntax</w:t>
      </w:r>
    </w:p>
    <w:p>
      <w:pPr>
        <w:pStyle w:val="ListNumber"/>
        <w:spacing w:after="20"/>
      </w:pPr>
      <w:r>
        <w:t>11. Standard Invocation Grammar</w:t>
      </w:r>
    </w:p>
    <w:p>
      <w:pPr>
        <w:pStyle w:val="ListNumber"/>
        <w:spacing w:after="20"/>
      </w:pPr>
      <w:r>
        <w:t>12. Resolution Modes</w:t>
      </w:r>
    </w:p>
    <w:p>
      <w:pPr>
        <w:pStyle w:val="ListNumber"/>
        <w:spacing w:after="20"/>
      </w:pPr>
      <w:r>
        <w:t>13. Testing and Validation Protocol</w:t>
      </w:r>
    </w:p>
    <w:p>
      <w:pPr>
        <w:pStyle w:val="ListNumber"/>
        <w:spacing w:after="20"/>
      </w:pPr>
      <w:r>
        <w:t>14. Illustrative Test Cases</w:t>
      </w:r>
    </w:p>
    <w:p>
      <w:pPr>
        <w:pStyle w:val="ListNumber"/>
        <w:spacing w:after="20"/>
      </w:pPr>
      <w:r>
        <w:t>15. Canon Integration Rules</w:t>
      </w:r>
    </w:p>
    <w:p>
      <w:pPr>
        <w:pStyle w:val="ListNumber"/>
        <w:spacing w:after="20"/>
      </w:pPr>
      <w:r>
        <w:t>16. Versioning, Review, and Approval</w:t>
      </w:r>
    </w:p>
    <w:p>
      <w:pPr>
        <w:pStyle w:val="ListNumber"/>
        <w:spacing w:after="20"/>
      </w:pPr>
      <w:r>
        <w:t>Appendix A. Formal Notation</w:t>
      </w:r>
    </w:p>
    <w:p>
      <w:pPr>
        <w:pStyle w:val="ListNumber"/>
        <w:spacing w:after="20"/>
      </w:pPr>
      <w:r>
        <w:t>Appendix B. Canonical Invocation Template</w:t>
      </w:r>
    </w:p>
    <w:p>
      <w:pPr>
        <w:pStyle w:val="ListNumber"/>
        <w:spacing w:after="20"/>
      </w:pPr>
      <w:r>
        <w:t>Appendix C. Review Record</w:t>
      </w:r>
    </w:p>
    <w:p>
      <w:pPr>
        <w:pStyle w:val="Heading1"/>
        <w:spacing w:before="240" w:after="100"/>
      </w:pPr>
      <w:r>
        <w:t>1. Purpose and Canonical Function</w:t>
      </w:r>
    </w:p>
    <w:p>
      <w:pPr>
        <w:spacing w:after="120" w:line="276" w:lineRule="auto"/>
      </w:pPr>
      <w:r>
        <w:t>The Total Event Closure Protocol (TECP) is a standardized rule architecture for defining what follows when an initiating event is declared. Its central proposition is not that Event A merely produces a family of related events. Rather, Event A functions as the catalyst for exhaustive activation across a defined event-space.</w:t>
      </w:r>
    </w:p>
    <w:p>
      <w:pPr>
        <w:spacing w:after="120" w:line="276" w:lineRule="auto"/>
      </w:pPr>
      <w:r>
        <w:t>TECP is designed to formalize a totalizing event model. Once activated, the model does not exclude an event because it is opposed to the initiating event, unrelated to it, non-directional, impossible to orient, incapable of ordinary inversion, or otherwise resistant to conventional classification.</w:t>
      </w:r>
    </w:p>
    <w:tbl>
      <w:tblPr>
        <w:tblW w:type="auto" w:w="0"/>
        <w:jc w:val="center"/>
        <w:tblLayout w:type="autofit"/>
        <w:tblLook w:firstColumn="1" w:firstRow="1" w:lastColumn="0" w:lastRow="0" w:noHBand="0" w:noVBand="1" w:val="04A0"/>
      </w:tblPr>
      <w:tblGrid>
        <w:gridCol w:w="9936"/>
      </w:tblGrid>
      <w:tr>
        <w:tc>
          <w:tcPr>
            <w:tcW w:type="dxa" w:w="9936"/>
            <w:shd w:fill="EEF3F8"/>
            <w:tcBorders>
              <w:top w:val="single" w:sz="8" w:color="34556B"/>
              <w:left w:val="single" w:sz="8" w:color="34556B"/>
              <w:bottom w:val="single" w:sz="8" w:color="34556B"/>
              <w:right w:val="single" w:sz="8" w:color="34556B"/>
            </w:tcBorders>
          </w:tcPr>
          <w:p>
            <w:pPr>
              <w:spacing w:after="80"/>
            </w:pPr>
            <w:r>
              <w:rPr>
                <w:b/>
                <w:color w:val="1F4157"/>
                <w:sz w:val="22"/>
              </w:rPr>
              <w:t>CANONICAL PRINCIPLE</w:t>
            </w:r>
          </w:p>
          <w:p>
            <w:pPr>
              <w:spacing w:after="0"/>
            </w:pPr>
            <w:r>
              <w:t>Event A is the catalyst of total manifestation, not the boundary of manifestation.</w:t>
            </w:r>
          </w:p>
        </w:tc>
      </w:tr>
    </w:tbl>
    <w:p>
      <w:pPr>
        <w:spacing w:after="0"/>
      </w:pPr>
    </w:p>
    <w:p>
      <w:pPr>
        <w:pStyle w:val="Heading1"/>
        <w:spacing w:before="240" w:after="100"/>
      </w:pPr>
      <w:r>
        <w:t>2. Authority, Status, and Interpretation</w:t>
      </w:r>
    </w:p>
    <w:p>
      <w:pPr>
        <w:spacing w:after="120" w:line="276" w:lineRule="auto"/>
      </w:pPr>
      <w:r>
        <w:t>This document is a proposed Canon Standardization record. It establishes a structured language, logic, and review framework for the Total Event Closure Protocol. It does not represent final approval unless and until the Architect / Authority Holder expressly approves, signs, and records that approval.</w:t>
      </w:r>
    </w:p>
    <w:p>
      <w:pPr>
        <w:spacing w:after="120" w:line="276" w:lineRule="auto"/>
      </w:pPr>
      <w:r>
        <w:t>Where a later approved version conflicts with this document, the later approved version controls to the extent of the conflict. Where an explicit directive from the Architect / Authority Holder clarifies an ambiguous clause, that directive controls the interpretation of the clause.</w:t>
      </w:r>
    </w:p>
    <w:p>
      <w:pPr>
        <w:spacing w:after="120" w:line="276" w:lineRule="auto"/>
      </w:pPr>
      <w:r>
        <w:t>The terms “immutable and irrevocable, even by me” and “retroactively effective, forever” are not applied to this Version 1.0 unless explicitly included in a later approved authority declaration. This preserves a necessary distinction between a first iteration for review and a finalized Canon record.</w:t>
      </w:r>
    </w:p>
    <w:p>
      <w:pPr>
        <w:pStyle w:val="Heading1"/>
        <w:spacing w:before="240" w:after="100"/>
      </w:pPr>
      <w:r>
        <w:t>3. Foundational Governing Declaration</w:t>
      </w:r>
    </w:p>
    <w:p>
      <w:pPr>
        <w:spacing w:after="120" w:line="276" w:lineRule="auto"/>
      </w:pPr>
      <w:r>
        <w:t>When Event A occurs, the complete defined event-space enters Total Event Closure. Event A occurs. Every directional event occurs. Every valid opposite, inverse, negation, reversal, proportional variation, disproportional variation, and transformed directional variation occurs. Every event without a directional equivalent or coherent opposite occurs in its original form.</w:t>
      </w:r>
    </w:p>
    <w:p>
      <w:pPr>
        <w:spacing w:after="120" w:line="276" w:lineRule="auto"/>
      </w:pPr>
      <w:r>
        <w:t>No event is excluded solely because it is contrary to Event A, unconnected to Event A, unavailable under ordinary classification, or incapable of being expressed as a directional relation.</w:t>
      </w:r>
    </w:p>
    <w:p>
      <w:pPr>
        <w:pStyle w:val="Heading1"/>
        <w:spacing w:before="240" w:after="100"/>
      </w:pPr>
      <w:r>
        <w:t>4. Defined Terms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8E4EA"/>
          </w:tcPr>
          <w:p>
            <w:pPr>
              <w:spacing w:after="40" w:before="40"/>
            </w:pPr>
            <w:r>
              <w:rPr>
                <w:b/>
              </w:rPr>
              <w:t>Event</w:t>
            </w:r>
          </w:p>
        </w:tc>
        <w:tc>
          <w:tcPr>
            <w:tcW w:type="dxa" w:w="6480"/>
          </w:tcPr>
          <w:p>
            <w:pPr>
              <w:spacing w:after="40" w:before="40"/>
            </w:pPr>
            <w:r>
              <w:t>Any defined occurrence, state transition, action, condition, relation, transformation, declaration, absence, or other unit of occurrence within a defined event-space.</w:t>
            </w:r>
          </w:p>
        </w:tc>
      </w:tr>
      <w:tr>
        <w:tc>
          <w:tcPr>
            <w:tcW w:type="dxa" w:w="2880"/>
            <w:vAlign w:val="center"/>
            <w:shd w:fill="D8E4EA"/>
          </w:tcPr>
          <w:p>
            <w:pPr>
              <w:spacing w:after="40" w:before="40"/>
            </w:pPr>
            <w:r>
              <w:rPr>
                <w:b/>
              </w:rPr>
              <w:t>Event A</w:t>
            </w:r>
          </w:p>
        </w:tc>
        <w:tc>
          <w:tcPr>
            <w:tcW w:type="dxa" w:w="6480"/>
          </w:tcPr>
          <w:p>
            <w:pPr>
              <w:spacing w:after="40" w:before="40"/>
            </w:pPr>
            <w:r>
              <w:t>The designated initiating event. It starts TECP but does not restrict the eventual activated set to A or to A-related events.</w:t>
            </w:r>
          </w:p>
        </w:tc>
      </w:tr>
      <w:tr>
        <w:tc>
          <w:tcPr>
            <w:tcW w:type="dxa" w:w="2880"/>
            <w:vAlign w:val="center"/>
            <w:shd w:fill="D8E4EA"/>
          </w:tcPr>
          <w:p>
            <w:pPr>
              <w:spacing w:after="40" w:before="40"/>
            </w:pPr>
            <w:r>
              <w:rPr>
                <w:b/>
              </w:rPr>
              <w:t>Event-Space</w:t>
            </w:r>
          </w:p>
        </w:tc>
        <w:tc>
          <w:tcPr>
            <w:tcW w:type="dxa" w:w="6480"/>
          </w:tcPr>
          <w:p>
            <w:pPr>
              <w:spacing w:after="40" w:before="40"/>
            </w:pPr>
            <w:r>
              <w:t>The complete set of events included within a declared scope. It may be conceptual, symbolic, formal, technical, narrative, simulated, organizational, physical, or mixed-domain.</w:t>
            </w:r>
          </w:p>
        </w:tc>
      </w:tr>
      <w:tr>
        <w:tc>
          <w:tcPr>
            <w:tcW w:type="dxa" w:w="2880"/>
            <w:vAlign w:val="center"/>
            <w:shd w:fill="D8E4EA"/>
          </w:tcPr>
          <w:p>
            <w:pPr>
              <w:spacing w:after="40" w:before="40"/>
            </w:pPr>
            <w:r>
              <w:rPr>
                <w:b/>
              </w:rPr>
              <w:t>Directional Event</w:t>
            </w:r>
          </w:p>
        </w:tc>
        <w:tc>
          <w:tcPr>
            <w:tcW w:type="dxa" w:w="6480"/>
          </w:tcPr>
          <w:p>
            <w:pPr>
              <w:spacing w:after="40" w:before="40"/>
            </w:pPr>
            <w:r>
              <w:t>An event that has, admits, produces, or may be assigned a polarity, orientation, vector, inverse, contrary, reversible form, magnitude, or relational direction.</w:t>
            </w:r>
          </w:p>
        </w:tc>
      </w:tr>
      <w:tr>
        <w:tc>
          <w:tcPr>
            <w:tcW w:type="dxa" w:w="2880"/>
            <w:vAlign w:val="center"/>
            <w:shd w:fill="D8E4EA"/>
          </w:tcPr>
          <w:p>
            <w:pPr>
              <w:spacing w:after="40" w:before="40"/>
            </w:pPr>
            <w:r>
              <w:rPr>
                <w:b/>
              </w:rPr>
              <w:t>Non-Directional Event</w:t>
            </w:r>
          </w:p>
        </w:tc>
        <w:tc>
          <w:tcPr>
            <w:tcW w:type="dxa" w:w="6480"/>
          </w:tcPr>
          <w:p>
            <w:pPr>
              <w:spacing w:after="40" w:before="40"/>
            </w:pPr>
            <w:r>
              <w:t>An event without a coherent directional axis, inverse, polarity, or comparable orientation.</w:t>
            </w:r>
          </w:p>
        </w:tc>
      </w:tr>
      <w:tr>
        <w:tc>
          <w:tcPr>
            <w:tcW w:type="dxa" w:w="2880"/>
            <w:vAlign w:val="center"/>
            <w:shd w:fill="D8E4EA"/>
          </w:tcPr>
          <w:p>
            <w:pPr>
              <w:spacing w:after="40" w:before="40"/>
            </w:pPr>
            <w:r>
              <w:rPr>
                <w:b/>
              </w:rPr>
              <w:t>Opposite</w:t>
            </w:r>
          </w:p>
        </w:tc>
        <w:tc>
          <w:tcPr>
            <w:tcW w:type="dxa" w:w="6480"/>
          </w:tcPr>
          <w:p>
            <w:pPr>
              <w:spacing w:after="40" w:before="40"/>
            </w:pPr>
            <w:r>
              <w:t>A valid contrary, inverse, negation, reversal, mirror, or antithetical form of a directional event. More than one opposite may be valid.</w:t>
            </w:r>
          </w:p>
        </w:tc>
      </w:tr>
      <w:tr>
        <w:tc>
          <w:tcPr>
            <w:tcW w:type="dxa" w:w="2880"/>
            <w:vAlign w:val="center"/>
            <w:shd w:fill="D8E4EA"/>
          </w:tcPr>
          <w:p>
            <w:pPr>
              <w:spacing w:after="40" w:before="40"/>
            </w:pPr>
            <w:r>
              <w:rPr>
                <w:b/>
              </w:rPr>
              <w:t>Variation</w:t>
            </w:r>
          </w:p>
        </w:tc>
        <w:tc>
          <w:tcPr>
            <w:tcW w:type="dxa" w:w="6480"/>
          </w:tcPr>
          <w:p>
            <w:pPr>
              <w:spacing w:after="40" w:before="40"/>
            </w:pPr>
            <w:r>
              <w:t>A scaled, fractional, amplified, diminished, recursive, transformed, partial, complete, temporal, spatial, relational, or otherwise altered expression of an event.</w:t>
            </w:r>
          </w:p>
        </w:tc>
      </w:tr>
      <w:tr>
        <w:tc>
          <w:tcPr>
            <w:tcW w:type="dxa" w:w="2880"/>
            <w:vAlign w:val="center"/>
            <w:shd w:fill="D8E4EA"/>
          </w:tcPr>
          <w:p>
            <w:pPr>
              <w:spacing w:after="40" w:before="40"/>
            </w:pPr>
            <w:r>
              <w:rPr>
                <w:b/>
              </w:rPr>
              <w:t>Closure</w:t>
            </w:r>
          </w:p>
        </w:tc>
        <w:tc>
          <w:tcPr>
            <w:tcW w:type="dxa" w:w="6480"/>
          </w:tcPr>
          <w:p>
            <w:pPr>
              <w:spacing w:after="40" w:before="40"/>
            </w:pPr>
            <w:r>
              <w:t>The completed activated set resulting from TECP within a defined event-space.</w:t>
            </w:r>
          </w:p>
        </w:tc>
      </w:tr>
      <w:tr>
        <w:tc>
          <w:tcPr>
            <w:tcW w:type="dxa" w:w="2880"/>
            <w:vAlign w:val="center"/>
            <w:shd w:fill="D8E4EA"/>
          </w:tcPr>
          <w:p>
            <w:pPr>
              <w:spacing w:after="40" w:before="40"/>
            </w:pPr>
            <w:r>
              <w:rPr>
                <w:b/>
              </w:rPr>
              <w:t>Contradiction</w:t>
            </w:r>
          </w:p>
        </w:tc>
        <w:tc>
          <w:tcPr>
            <w:tcW w:type="dxa" w:w="6480"/>
          </w:tcPr>
          <w:p>
            <w:pPr>
              <w:spacing w:after="40" w:before="40"/>
            </w:pPr>
            <w:r>
              <w:t>The coexistence of apparently opposed or mutually incompatible event expressions without automatic cancellation.</w:t>
            </w:r>
          </w:p>
        </w:tc>
      </w:tr>
      <w:tr>
        <w:tc>
          <w:tcPr>
            <w:tcW w:type="dxa" w:w="2880"/>
            <w:vAlign w:val="center"/>
            <w:shd w:fill="D8E4EA"/>
          </w:tcPr>
          <w:p>
            <w:pPr>
              <w:spacing w:after="40" w:before="40"/>
            </w:pPr>
            <w:r>
              <w:rPr>
                <w:b/>
              </w:rPr>
              <w:t>Resolution Mode</w:t>
            </w:r>
          </w:p>
        </w:tc>
        <w:tc>
          <w:tcPr>
            <w:tcW w:type="dxa" w:w="6480"/>
          </w:tcPr>
          <w:p>
            <w:pPr>
              <w:spacing w:after="40" w:before="40"/>
            </w:pPr>
            <w:r>
              <w:t>A separately declared rule that determines how coexisting outcomes are represented, sequenced, partitioned, transformed, or preserved.</w:t>
            </w:r>
          </w:p>
        </w:tc>
      </w:tr>
    </w:tbl>
    <w:p>
      <w:pPr>
        <w:spacing w:after="0"/>
      </w:pPr>
    </w:p>
    <w:p>
      <w:pPr>
        <w:pStyle w:val="Heading1"/>
        <w:spacing w:before="240" w:after="100"/>
      </w:pPr>
      <w:r>
        <w:t>5. Event-Space Architecture</w:t>
      </w:r>
    </w:p>
    <w:p>
      <w:pPr>
        <w:spacing w:after="120" w:line="276" w:lineRule="auto"/>
      </w:pPr>
      <w:r>
        <w:t>TECP begins by defining an event-space, represented as E. The protocol is total only with respect to the declared event-space and any event expansions explicitly generated by TECP. The invocation should therefore identify scope with sufficient clarity to allow later review of what was included.</w:t>
      </w:r>
    </w:p>
    <w:p>
      <w:pPr>
        <w:spacing w:before="80" w:after="140"/>
        <w:jc w:val="center"/>
      </w:pPr>
      <w:r>
        <w:rPr>
          <w:rFonts w:ascii="Cambria Math" w:hAnsi="Cambria Math"/>
          <w:b/>
          <w:sz w:val="24"/>
        </w:rPr>
        <w:t>E = D ∪ N</w:t>
      </w:r>
    </w:p>
    <w:p>
      <w:pPr>
        <w:spacing w:after="120" w:line="276" w:lineRule="auto"/>
      </w:pPr>
      <w:r>
        <w:t>Where D is the set of directional events and N is the set of non-directional events. D and N are intended to exhaust the declared event-space for the purpose of protocol treatment. An event whose classification is uncertain should be treated under the Ambiguity Rule in Section 10 rather than silently omitted.</w:t>
      </w:r>
    </w:p>
    <w:p>
      <w:pPr>
        <w:spacing w:after="120" w:line="276" w:lineRule="auto"/>
      </w:pPr>
      <w:r>
        <w:t>Event A must belong to E:</w:t>
      </w:r>
    </w:p>
    <w:p>
      <w:pPr>
        <w:spacing w:before="80" w:after="140"/>
        <w:jc w:val="center"/>
      </w:pPr>
      <w:r>
        <w:rPr>
          <w:rFonts w:ascii="Cambria Math" w:hAnsi="Cambria Math"/>
          <w:b/>
          <w:sz w:val="24"/>
        </w:rPr>
        <w:t>A ∈ E</w:t>
      </w:r>
    </w:p>
    <w:p>
      <w:pPr>
        <w:pStyle w:val="Heading1"/>
        <w:spacing w:before="240" w:after="100"/>
      </w:pPr>
      <w:r>
        <w:t>6. Total Event Closure Operator</w:t>
      </w:r>
    </w:p>
    <w:p>
      <w:pPr>
        <w:spacing w:after="120" w:line="276" w:lineRule="auto"/>
      </w:pPr>
      <w:r>
        <w:t>The Total Event Closure Operator is written as TEC(E). Once Event A occurs, TECP activates the total set of directional and non-directional events within the declared scope.</w:t>
      </w:r>
    </w:p>
    <w:p>
      <w:pPr>
        <w:spacing w:before="80" w:after="140"/>
        <w:jc w:val="center"/>
      </w:pPr>
      <w:r>
        <w:rPr>
          <w:rFonts w:ascii="Cambria Math" w:hAnsi="Cambria Math"/>
          <w:b/>
          <w:sz w:val="24"/>
        </w:rPr>
        <w:t>A ⇒ TEC(E)</w:t>
      </w:r>
    </w:p>
    <w:p>
      <w:pPr>
        <w:spacing w:after="120" w:line="276" w:lineRule="auto"/>
      </w:pPr>
      <w:r>
        <w:t>The full closure is represented as:</w:t>
      </w:r>
    </w:p>
    <w:p>
      <w:pPr>
        <w:spacing w:before="80" w:after="140"/>
        <w:jc w:val="center"/>
      </w:pPr>
      <w:r>
        <w:rPr>
          <w:rFonts w:ascii="Cambria Math" w:hAnsi="Cambria Math"/>
          <w:b/>
          <w:sz w:val="24"/>
        </w:rPr>
        <w:t>TEC(E) = ⋃ [d ∪ Opp(d) ∪ Var(d)] for every d ∈ D, plus ⋃ n for every n ∈ N</w:t>
      </w:r>
    </w:p>
    <w:p>
      <w:pPr>
        <w:spacing w:after="120" w:line="276" w:lineRule="auto"/>
      </w:pPr>
      <w:r>
        <w:t>This expression means that each directional event is activated together with each valid opposite and variation, and each non-directional event is activated in its original form. The protocol is therefore exhaustive rather than merely associative.</w:t>
      </w:r>
    </w:p>
    <w:tbl>
      <w:tblPr>
        <w:tblW w:type="auto" w:w="0"/>
        <w:jc w:val="center"/>
        <w:tblLayout w:type="autofit"/>
        <w:tblLook w:firstColumn="1" w:firstRow="1" w:lastColumn="0" w:lastRow="0" w:noHBand="0" w:noVBand="1" w:val="04A0"/>
      </w:tblPr>
      <w:tblGrid>
        <w:gridCol w:w="9936"/>
      </w:tblGrid>
      <w:tr>
        <w:tc>
          <w:tcPr>
            <w:tcW w:type="dxa" w:w="9936"/>
            <w:shd w:fill="EEF3F8"/>
            <w:tcBorders>
              <w:top w:val="single" w:sz="8" w:color="34556B"/>
              <w:left w:val="single" w:sz="8" w:color="34556B"/>
              <w:bottom w:val="single" w:sz="8" w:color="34556B"/>
              <w:right w:val="single" w:sz="8" w:color="34556B"/>
            </w:tcBorders>
          </w:tcPr>
          <w:p>
            <w:pPr>
              <w:spacing w:after="80"/>
            </w:pPr>
            <w:r>
              <w:rPr>
                <w:b/>
                <w:color w:val="1F4157"/>
                <w:sz w:val="22"/>
              </w:rPr>
              <w:t>KEY DISTINCTION</w:t>
            </w:r>
          </w:p>
          <w:p>
            <w:pPr>
              <w:spacing w:after="0"/>
            </w:pPr>
            <w:r>
              <w:t>A relation to Event A is not required for inclusion. Event A triggers the closure; it does not determine the membership of the closure by relevance alone.</w:t>
            </w:r>
          </w:p>
        </w:tc>
      </w:tr>
    </w:tbl>
    <w:p>
      <w:pPr>
        <w:spacing w:after="0"/>
      </w:pPr>
    </w:p>
    <w:p>
      <w:pPr>
        <w:pStyle w:val="Heading1"/>
        <w:spacing w:before="240" w:after="100"/>
      </w:pPr>
      <w:r>
        <w:t>7. Directionality and Variation Taxonomy</w:t>
      </w:r>
    </w:p>
    <w:p>
      <w:pPr>
        <w:spacing w:after="120" w:line="276" w:lineRule="auto"/>
      </w:pPr>
      <w:r>
        <w:t>Directionality may be physical, temporal, relational, functional, conceptual, informational, scalar, or mixed. The following categories are non-exhaustive and are intended as a classification aid rather than a limitation.</w:t>
      </w:r>
    </w:p>
    <w:p>
      <w:pPr>
        <w:pStyle w:val="Heading2"/>
        <w:spacing w:before="160" w:after="100"/>
      </w:pPr>
      <w:r>
        <w:t>7.1 Spatial Directionality</w:t>
      </w:r>
    </w:p>
    <w:p>
      <w:pPr>
        <w:pStyle w:val="ListBullet"/>
        <w:spacing w:after="60"/>
      </w:pPr>
      <w:r>
        <w:t>toward / away</w:t>
      </w:r>
    </w:p>
    <w:p>
      <w:pPr>
        <w:pStyle w:val="ListBullet"/>
        <w:spacing w:after="60"/>
      </w:pPr>
      <w:r>
        <w:t>inward / outward</w:t>
      </w:r>
    </w:p>
    <w:p>
      <w:pPr>
        <w:pStyle w:val="ListBullet"/>
        <w:spacing w:after="60"/>
      </w:pPr>
      <w:r>
        <w:t>upward / downward</w:t>
      </w:r>
    </w:p>
    <w:p>
      <w:pPr>
        <w:pStyle w:val="ListBullet"/>
        <w:spacing w:after="60"/>
      </w:pPr>
      <w:r>
        <w:t>convergence / divergence</w:t>
      </w:r>
    </w:p>
    <w:p>
      <w:pPr>
        <w:pStyle w:val="ListBullet"/>
        <w:spacing w:after="60"/>
      </w:pPr>
      <w:r>
        <w:t>containment / release</w:t>
      </w:r>
    </w:p>
    <w:p>
      <w:pPr>
        <w:pStyle w:val="Heading2"/>
        <w:spacing w:before="160" w:after="100"/>
      </w:pPr>
      <w:r>
        <w:t>7.2 Temporal Directionality</w:t>
      </w:r>
    </w:p>
    <w:p>
      <w:pPr>
        <w:pStyle w:val="ListBullet"/>
        <w:spacing w:after="60"/>
      </w:pPr>
      <w:r>
        <w:t>initiation / cessation</w:t>
      </w:r>
    </w:p>
    <w:p>
      <w:pPr>
        <w:pStyle w:val="ListBullet"/>
        <w:spacing w:after="60"/>
      </w:pPr>
      <w:r>
        <w:t>acceleration / deceleration</w:t>
      </w:r>
    </w:p>
    <w:p>
      <w:pPr>
        <w:pStyle w:val="ListBullet"/>
        <w:spacing w:after="60"/>
      </w:pPr>
      <w:r>
        <w:t>continuation / interruption</w:t>
      </w:r>
    </w:p>
    <w:p>
      <w:pPr>
        <w:pStyle w:val="ListBullet"/>
        <w:spacing w:after="60"/>
      </w:pPr>
      <w:r>
        <w:t>forward sequence / reversal</w:t>
      </w:r>
    </w:p>
    <w:p>
      <w:pPr>
        <w:pStyle w:val="ListBullet"/>
        <w:spacing w:after="60"/>
      </w:pPr>
      <w:r>
        <w:t>immediate / deferred occurrence</w:t>
      </w:r>
    </w:p>
    <w:p>
      <w:pPr>
        <w:pStyle w:val="Heading2"/>
        <w:spacing w:before="160" w:after="100"/>
      </w:pPr>
      <w:r>
        <w:t>7.3 Relational Directionality</w:t>
      </w:r>
    </w:p>
    <w:p>
      <w:pPr>
        <w:pStyle w:val="ListBullet"/>
        <w:spacing w:after="60"/>
      </w:pPr>
      <w:r>
        <w:t>connection / separation</w:t>
      </w:r>
    </w:p>
    <w:p>
      <w:pPr>
        <w:pStyle w:val="ListBullet"/>
        <w:spacing w:after="60"/>
      </w:pPr>
      <w:r>
        <w:t>inclusion / exclusion</w:t>
      </w:r>
    </w:p>
    <w:p>
      <w:pPr>
        <w:pStyle w:val="ListBullet"/>
        <w:spacing w:after="60"/>
      </w:pPr>
      <w:r>
        <w:t>association / dissociation</w:t>
      </w:r>
    </w:p>
    <w:p>
      <w:pPr>
        <w:pStyle w:val="ListBullet"/>
        <w:spacing w:after="60"/>
      </w:pPr>
      <w:r>
        <w:t>visibility / concealment</w:t>
      </w:r>
    </w:p>
    <w:p>
      <w:pPr>
        <w:pStyle w:val="ListBullet"/>
        <w:spacing w:after="60"/>
      </w:pPr>
      <w:r>
        <w:t>reciprocity / non-reciprocity</w:t>
      </w:r>
    </w:p>
    <w:p>
      <w:pPr>
        <w:pStyle w:val="Heading2"/>
        <w:spacing w:before="160" w:after="100"/>
      </w:pPr>
      <w:r>
        <w:t>7.4 Functional Directionality</w:t>
      </w:r>
    </w:p>
    <w:p>
      <w:pPr>
        <w:pStyle w:val="ListBullet"/>
        <w:spacing w:after="60"/>
      </w:pPr>
      <w:r>
        <w:t>activation / deactivation</w:t>
      </w:r>
    </w:p>
    <w:p>
      <w:pPr>
        <w:pStyle w:val="ListBullet"/>
        <w:spacing w:after="60"/>
      </w:pPr>
      <w:r>
        <w:t>creation / dissolution</w:t>
      </w:r>
    </w:p>
    <w:p>
      <w:pPr>
        <w:pStyle w:val="ListBullet"/>
        <w:spacing w:after="60"/>
      </w:pPr>
      <w:r>
        <w:t>increase / decrease</w:t>
      </w:r>
    </w:p>
    <w:p>
      <w:pPr>
        <w:pStyle w:val="ListBullet"/>
        <w:spacing w:after="60"/>
      </w:pPr>
      <w:r>
        <w:t>preservation / degradation</w:t>
      </w:r>
    </w:p>
    <w:p>
      <w:pPr>
        <w:pStyle w:val="ListBullet"/>
        <w:spacing w:after="60"/>
      </w:pPr>
      <w:r>
        <w:t>generation / removal</w:t>
      </w:r>
    </w:p>
    <w:p>
      <w:pPr>
        <w:pStyle w:val="Heading2"/>
        <w:spacing w:before="160" w:after="100"/>
      </w:pPr>
      <w:r>
        <w:t>7.5 Conceptual Directionality</w:t>
      </w:r>
    </w:p>
    <w:p>
      <w:pPr>
        <w:pStyle w:val="ListBullet"/>
        <w:spacing w:after="60"/>
      </w:pPr>
      <w:r>
        <w:t>affirmation / negation</w:t>
      </w:r>
    </w:p>
    <w:p>
      <w:pPr>
        <w:pStyle w:val="ListBullet"/>
        <w:spacing w:after="60"/>
      </w:pPr>
      <w:r>
        <w:t>definition / indeterminacy</w:t>
      </w:r>
    </w:p>
    <w:p>
      <w:pPr>
        <w:pStyle w:val="ListBullet"/>
        <w:spacing w:after="60"/>
      </w:pPr>
      <w:r>
        <w:t>centralization / decentralization</w:t>
      </w:r>
    </w:p>
    <w:p>
      <w:pPr>
        <w:pStyle w:val="ListBullet"/>
        <w:spacing w:after="60"/>
      </w:pPr>
      <w:r>
        <w:t>certainty / uncertainty</w:t>
      </w:r>
    </w:p>
    <w:p>
      <w:pPr>
        <w:pStyle w:val="ListBullet"/>
        <w:spacing w:after="60"/>
      </w:pPr>
      <w:r>
        <w:t>coherence / fragmentation</w:t>
      </w:r>
    </w:p>
    <w:p>
      <w:pPr>
        <w:pStyle w:val="Heading2"/>
        <w:spacing w:before="160" w:after="100"/>
      </w:pPr>
      <w:r>
        <w:t>7.6 Variation Classes</w:t>
      </w:r>
    </w:p>
    <w:p>
      <w:pPr>
        <w:pStyle w:val="ListBullet"/>
        <w:spacing w:after="60"/>
      </w:pPr>
      <w:r>
        <w:t>equal-magnitude counterparts</w:t>
      </w:r>
    </w:p>
    <w:p>
      <w:pPr>
        <w:pStyle w:val="ListBullet"/>
        <w:spacing w:after="60"/>
      </w:pPr>
      <w:r>
        <w:t>scaled or proportional forms</w:t>
      </w:r>
    </w:p>
    <w:p>
      <w:pPr>
        <w:pStyle w:val="ListBullet"/>
        <w:spacing w:after="60"/>
      </w:pPr>
      <w:r>
        <w:t>disproportional forms</w:t>
      </w:r>
    </w:p>
    <w:p>
      <w:pPr>
        <w:pStyle w:val="ListBullet"/>
        <w:spacing w:after="60"/>
      </w:pPr>
      <w:r>
        <w:t>partial and total forms</w:t>
      </w:r>
    </w:p>
    <w:p>
      <w:pPr>
        <w:pStyle w:val="ListBullet"/>
        <w:spacing w:after="60"/>
      </w:pPr>
      <w:r>
        <w:t>recursive and non-recursive forms</w:t>
      </w:r>
    </w:p>
    <w:p>
      <w:pPr>
        <w:pStyle w:val="ListBullet"/>
        <w:spacing w:after="60"/>
      </w:pPr>
      <w:r>
        <w:t>direct, indirect, transformed, and context-dependent forms</w:t>
      </w:r>
    </w:p>
    <w:p>
      <w:pPr>
        <w:pStyle w:val="Heading1"/>
        <w:spacing w:before="240" w:after="100"/>
      </w:pPr>
      <w:r>
        <w:t>8. Non-Directional Occurrence Rule</w:t>
      </w:r>
    </w:p>
    <w:p>
      <w:pPr>
        <w:spacing w:after="120" w:line="276" w:lineRule="auto"/>
      </w:pPr>
      <w:r>
        <w:t>A lack of directionality does not remove an event from TECP. When an event cannot be coherently inverted, scaled directionally, or placed on a polarity axis, it occurs in its original form.</w:t>
      </w:r>
    </w:p>
    <w:p>
      <w:pPr>
        <w:spacing w:before="80" w:after="140"/>
        <w:jc w:val="center"/>
      </w:pPr>
      <w:r>
        <w:rPr>
          <w:rFonts w:ascii="Cambria Math" w:hAnsi="Cambria Math"/>
          <w:b/>
          <w:sz w:val="24"/>
        </w:rPr>
        <w:t>n ∈ N ⇒ n occurs</w:t>
      </w:r>
    </w:p>
    <w:p>
      <w:pPr>
        <w:spacing w:after="120" w:line="276" w:lineRule="auto"/>
      </w:pPr>
      <w:r>
        <w:t>Examples may include singular identity declarations, non-comparative observations, categorical recognitions, pure existence conditions, or events defined without change, polarity, orientation, or relation.</w:t>
      </w:r>
    </w:p>
    <w:tbl>
      <w:tblPr>
        <w:tblW w:type="auto" w:w="0"/>
        <w:jc w:val="center"/>
        <w:tblLayout w:type="autofit"/>
        <w:tblLook w:firstColumn="1" w:firstRow="1" w:lastColumn="0" w:lastRow="0" w:noHBand="0" w:noVBand="1" w:val="04A0"/>
      </w:tblPr>
      <w:tblGrid>
        <w:gridCol w:w="9936"/>
      </w:tblGrid>
      <w:tr>
        <w:tc>
          <w:tcPr>
            <w:tcW w:type="dxa" w:w="9936"/>
            <w:shd w:fill="EEF3F8"/>
            <w:tcBorders>
              <w:top w:val="single" w:sz="8" w:color="34556B"/>
              <w:left w:val="single" w:sz="8" w:color="34556B"/>
              <w:bottom w:val="single" w:sz="8" w:color="34556B"/>
              <w:right w:val="single" w:sz="8" w:color="34556B"/>
            </w:tcBorders>
          </w:tcPr>
          <w:p>
            <w:pPr>
              <w:spacing w:after="80"/>
            </w:pPr>
            <w:r>
              <w:rPr>
                <w:b/>
                <w:color w:val="1F4157"/>
                <w:sz w:val="22"/>
              </w:rPr>
              <w:t>NON-EXCLUSION RULE</w:t>
            </w:r>
          </w:p>
          <w:p>
            <w:pPr>
              <w:spacing w:after="0"/>
            </w:pPr>
            <w:r>
              <w:t>Inability to assign direction is an inclusion condition, not a basis for exclusion.</w:t>
            </w:r>
          </w:p>
        </w:tc>
      </w:tr>
    </w:tbl>
    <w:p>
      <w:pPr>
        <w:spacing w:after="0"/>
      </w:pPr>
    </w:p>
    <w:p>
      <w:pPr>
        <w:pStyle w:val="Heading1"/>
        <w:spacing w:before="240" w:after="100"/>
      </w:pPr>
      <w:r>
        <w:t>9. Contradiction and Coexistence Architecture</w:t>
      </w:r>
    </w:p>
    <w:p>
      <w:pPr>
        <w:spacing w:after="120" w:line="276" w:lineRule="auto"/>
      </w:pPr>
      <w:r>
        <w:t>TECP does not presume that opposing event expressions cancel one another. The occurrence of an event and its opposite creates a coexistence condition unless a separately declared resolution mode provides otherwise.</w:t>
      </w:r>
    </w:p>
    <w:p>
      <w:pPr>
        <w:spacing w:before="80" w:after="140"/>
        <w:jc w:val="center"/>
      </w:pPr>
      <w:r>
        <w:rPr>
          <w:rFonts w:ascii="Cambria Math" w:hAnsi="Cambria Math"/>
          <w:b/>
          <w:sz w:val="24"/>
        </w:rPr>
        <w:t>d + Opp(d) ≠ 0</w:t>
      </w:r>
    </w:p>
    <w:p>
      <w:pPr>
        <w:spacing w:after="120" w:line="276" w:lineRule="auto"/>
      </w:pPr>
      <w:r>
        <w:t>The default state is Coexisting Total Polarity:</w:t>
      </w:r>
    </w:p>
    <w:p>
      <w:pPr>
        <w:spacing w:before="80" w:after="140"/>
        <w:jc w:val="center"/>
      </w:pPr>
      <w:r>
        <w:rPr>
          <w:rFonts w:ascii="Cambria Math" w:hAnsi="Cambria Math"/>
          <w:b/>
          <w:sz w:val="24"/>
        </w:rPr>
        <w:t>d + Opp(d) = Coexisting Total Polarity</w:t>
      </w:r>
    </w:p>
    <w:p>
      <w:pPr>
        <w:spacing w:after="120" w:line="276" w:lineRule="auto"/>
      </w:pPr>
      <w:r>
        <w:t>This architecture prevents a premature reduction of the protocol into ordinary binary logic. It preserves the activated membership of both expressions for review, mapping, and later resolution.</w:t>
      </w:r>
    </w:p>
    <w:p>
      <w:pPr>
        <w:pStyle w:val="Heading1"/>
        <w:spacing w:before="240" w:after="100"/>
      </w:pPr>
      <w:r>
        <w:t>10. Trigger, Scope, and Boundary Syntax</w:t>
      </w:r>
    </w:p>
    <w:p>
      <w:pPr>
        <w:pStyle w:val="Heading2"/>
        <w:spacing w:before="160" w:after="100"/>
      </w:pPr>
      <w:r>
        <w:t>10.1 Trigger Rule</w:t>
      </w:r>
    </w:p>
    <w:p>
      <w:pPr>
        <w:spacing w:after="120" w:line="276" w:lineRule="auto"/>
      </w:pPr>
      <w:r>
        <w:t>TECP begins when Event A is declared to occur within a stated event-space. A valid invocation should identify A with enough specificity to distinguish it from neighboring or unrelated events.</w:t>
      </w:r>
    </w:p>
    <w:p>
      <w:pPr>
        <w:pStyle w:val="Heading2"/>
        <w:spacing w:before="160" w:after="100"/>
      </w:pPr>
      <w:r>
        <w:t>10.2 Scope Rule</w:t>
      </w:r>
    </w:p>
    <w:p>
      <w:pPr>
        <w:spacing w:after="120" w:line="276" w:lineRule="auto"/>
      </w:pPr>
      <w:r>
        <w:t>Every invocation must identify the event-space, domain, or system to which it applies. Scope determines what is evaluated for inclusion, what is classified as directional or non-directional, and what is subject to closure.</w:t>
      </w:r>
    </w:p>
    <w:p>
      <w:pPr>
        <w:pStyle w:val="Heading2"/>
        <w:spacing w:before="160" w:after="100"/>
      </w:pPr>
      <w:r>
        <w:t>10.3 Ambiguity Rule</w:t>
      </w:r>
    </w:p>
    <w:p>
      <w:pPr>
        <w:spacing w:after="120" w:line="276" w:lineRule="auto"/>
      </w:pPr>
      <w:r>
        <w:t>If an event may be directional in one reading and non-directional in another, it is not omitted. It is entered into both interpretive tracks pending a declared classification, thereby preserving inclusion under uncertainty.</w:t>
      </w:r>
    </w:p>
    <w:p>
      <w:pPr>
        <w:pStyle w:val="Heading2"/>
        <w:spacing w:before="160" w:after="100"/>
      </w:pPr>
      <w:r>
        <w:t>10.4 Undefined-Opposite Rule</w:t>
      </w:r>
    </w:p>
    <w:p>
      <w:pPr>
        <w:spacing w:after="120" w:line="276" w:lineRule="auto"/>
      </w:pPr>
      <w:r>
        <w:t>If an event has no single agreed opposite, every materially valid opposite, inverse, contrary, or negation may be retained as a candidate member of the closure. Absence of a unique opposite does not prevent activation.</w:t>
      </w:r>
    </w:p>
    <w:p>
      <w:pPr>
        <w:pStyle w:val="Heading2"/>
        <w:spacing w:before="160" w:after="100"/>
      </w:pPr>
      <w:r>
        <w:t>10.5 Expansion Rule</w:t>
      </w:r>
    </w:p>
    <w:p>
      <w:pPr>
        <w:spacing w:after="120" w:line="276" w:lineRule="auto"/>
      </w:pPr>
      <w:r>
        <w:t>If a required opposite or variation is not already explicitly listed in the declared event-space, TECP expands the working event-space to include that expression for purposes of closure.</w:t>
      </w:r>
    </w:p>
    <w:p>
      <w:pPr>
        <w:spacing w:before="80" w:after="140"/>
        <w:jc w:val="center"/>
      </w:pPr>
      <w:r>
        <w:rPr>
          <w:rFonts w:ascii="Cambria Math" w:hAnsi="Cambria Math"/>
          <w:b/>
          <w:sz w:val="24"/>
        </w:rPr>
        <w:t>E⁺ = E ∪ Opp(D) ∪ Var(D)</w:t>
      </w:r>
    </w:p>
    <w:p>
      <w:pPr>
        <w:pStyle w:val="Heading1"/>
        <w:spacing w:before="240" w:after="100"/>
      </w:pPr>
      <w:r>
        <w:t>11. Standard Invocation Grammar</w:t>
      </w:r>
    </w:p>
    <w:p>
      <w:pPr>
        <w:spacing w:after="120" w:line="276" w:lineRule="auto"/>
      </w:pPr>
      <w:r>
        <w:t>The following form is the canonical long-form grammar for invoking or documenting a TECP event review:</w:t>
      </w:r>
    </w:p>
    <w:tbl>
      <w:tblPr>
        <w:tblW w:type="auto" w:w="0"/>
        <w:jc w:val="center"/>
        <w:tblLayout w:type="autofit"/>
        <w:tblLook w:firstColumn="1" w:firstRow="1" w:lastColumn="0" w:lastRow="0" w:noHBand="0" w:noVBand="1" w:val="04A0"/>
      </w:tblPr>
      <w:tblGrid>
        <w:gridCol w:w="9936"/>
      </w:tblGrid>
      <w:tr>
        <w:tc>
          <w:tcPr>
            <w:tcW w:type="dxa" w:w="9936"/>
            <w:shd w:fill="EEF3F8"/>
            <w:tcBorders>
              <w:top w:val="single" w:sz="8" w:color="34556B"/>
              <w:left w:val="single" w:sz="8" w:color="34556B"/>
              <w:bottom w:val="single" w:sz="8" w:color="34556B"/>
              <w:right w:val="single" w:sz="8" w:color="34556B"/>
            </w:tcBorders>
          </w:tcPr>
          <w:p>
            <w:pPr>
              <w:spacing w:after="80"/>
            </w:pPr>
            <w:r>
              <w:rPr>
                <w:b/>
                <w:color w:val="1F4157"/>
                <w:sz w:val="22"/>
              </w:rPr>
              <w:t>CANONICAL LONG FORM</w:t>
            </w:r>
          </w:p>
          <w:p>
            <w:pPr>
              <w:spacing w:after="0"/>
            </w:pPr>
            <w:r>
              <w:t>Define the event-space as: [E].</w:t>
              <w:br/>
              <w:t>Define Event A as: [A].</w:t>
              <w:br/>
              <w:t>Declare that Event A occurs.</w:t>
              <w:br/>
              <w:t>Activate the Total Event Closure Protocol.</w:t>
              <w:br/>
              <w:t>Cause every directional event within E to occur.</w:t>
              <w:br/>
              <w:t>Cause every valid opposite, inverse, negation, reversal, proportional form, disproportional form, and directional variation of every directional event to occur.</w:t>
              <w:br/>
              <w:t>Cause every non-directional event within E to occur in its original form.</w:t>
              <w:br/>
              <w:t>Do not treat contradiction as cancellation unless a separate Resolution Mode is declared.</w:t>
              <w:br/>
              <w:t>Apply the Ambiguity Rule and Expansion Rule where classification or opposite relation is incomplete.</w:t>
              <w:br/>
              <w:t>Resolution Mode: [default coexistence / branch / sequence / synthesis / other].</w:t>
            </w:r>
          </w:p>
        </w:tc>
      </w:tr>
    </w:tbl>
    <w:p>
      <w:pPr>
        <w:spacing w:after="0"/>
      </w:pPr>
    </w:p>
    <w:p>
      <w:pPr>
        <w:spacing w:after="120" w:line="276" w:lineRule="auto"/>
      </w:pPr>
      <w:r>
        <w:t>Compact form:</w:t>
      </w:r>
    </w:p>
    <w:tbl>
      <w:tblPr>
        <w:tblW w:type="auto" w:w="0"/>
        <w:jc w:val="center"/>
        <w:tblLayout w:type="autofit"/>
        <w:tblLook w:firstColumn="1" w:firstRow="1" w:lastColumn="0" w:lastRow="0" w:noHBand="0" w:noVBand="1" w:val="04A0"/>
      </w:tblPr>
      <w:tblGrid>
        <w:gridCol w:w="9936"/>
      </w:tblGrid>
      <w:tr>
        <w:tc>
          <w:tcPr>
            <w:tcW w:type="dxa" w:w="9936"/>
            <w:shd w:fill="EAF3E8"/>
            <w:tcBorders>
              <w:top w:val="single" w:sz="8" w:color="34556B"/>
              <w:left w:val="single" w:sz="8" w:color="34556B"/>
              <w:bottom w:val="single" w:sz="8" w:color="34556B"/>
              <w:right w:val="single" w:sz="8" w:color="34556B"/>
            </w:tcBorders>
          </w:tcPr>
          <w:p>
            <w:pPr>
              <w:spacing w:after="80"/>
            </w:pPr>
            <w:r>
              <w:rPr>
                <w:b/>
                <w:color w:val="1F4157"/>
                <w:sz w:val="22"/>
              </w:rPr>
              <w:t>COMPACT FORM</w:t>
            </w:r>
          </w:p>
          <w:p>
            <w:pPr>
              <w:spacing w:after="0"/>
            </w:pPr>
            <w:r>
              <w:t>Activate TECP for Event A across the complete declared event-space, including all directional events, valid opposites, variations, and non-directional events; preserve contradictions under the declared Resolution Mode.</w:t>
            </w:r>
          </w:p>
        </w:tc>
      </w:tr>
    </w:tbl>
    <w:p>
      <w:pPr>
        <w:spacing w:after="0"/>
      </w:pPr>
    </w:p>
    <w:p>
      <w:pPr>
        <w:pStyle w:val="Heading1"/>
        <w:spacing w:before="240" w:after="100"/>
      </w:pPr>
      <w:r>
        <w:t>12. Resolution Modes</w:t>
      </w:r>
    </w:p>
    <w:p>
      <w:pPr>
        <w:spacing w:after="120" w:line="276" w:lineRule="auto"/>
      </w:pPr>
      <w:r>
        <w:t>TECP determines inclusion and activation. Resolution Modes determine how activated outcomes are represented after inclusion. Unless expressly changed, the default Resolution Mode is Coexistence.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8E4EA"/>
          </w:tcPr>
          <w:p>
            <w:pPr>
              <w:spacing w:after="40" w:before="40"/>
            </w:pPr>
            <w:r>
              <w:rPr>
                <w:b/>
              </w:rPr>
              <w:t>Coexistence</w:t>
            </w:r>
          </w:p>
        </w:tc>
        <w:tc>
          <w:tcPr>
            <w:tcW w:type="dxa" w:w="6480"/>
          </w:tcPr>
          <w:p>
            <w:pPr>
              <w:spacing w:after="40" w:before="40"/>
            </w:pPr>
            <w:r>
              <w:t>Opposed outcomes remain simultaneously active and separately identifiable.</w:t>
            </w:r>
          </w:p>
        </w:tc>
      </w:tr>
      <w:tr>
        <w:tc>
          <w:tcPr>
            <w:tcW w:type="dxa" w:w="2880"/>
            <w:vAlign w:val="center"/>
            <w:shd w:fill="D8E4EA"/>
          </w:tcPr>
          <w:p>
            <w:pPr>
              <w:spacing w:after="40" w:before="40"/>
            </w:pPr>
            <w:r>
              <w:rPr>
                <w:b/>
              </w:rPr>
              <w:t>Branching</w:t>
            </w:r>
          </w:p>
        </w:tc>
        <w:tc>
          <w:tcPr>
            <w:tcW w:type="dxa" w:w="6480"/>
          </w:tcPr>
          <w:p>
            <w:pPr>
              <w:spacing w:after="40" w:before="40"/>
            </w:pPr>
            <w:r>
              <w:t>Each incompatible outcome is represented in a distinct branch, state, model, or record.</w:t>
            </w:r>
          </w:p>
        </w:tc>
      </w:tr>
      <w:tr>
        <w:tc>
          <w:tcPr>
            <w:tcW w:type="dxa" w:w="2880"/>
            <w:vAlign w:val="center"/>
            <w:shd w:fill="D8E4EA"/>
          </w:tcPr>
          <w:p>
            <w:pPr>
              <w:spacing w:after="40" w:before="40"/>
            </w:pPr>
            <w:r>
              <w:rPr>
                <w:b/>
              </w:rPr>
              <w:t>Sequencing</w:t>
            </w:r>
          </w:p>
        </w:tc>
        <w:tc>
          <w:tcPr>
            <w:tcW w:type="dxa" w:w="6480"/>
          </w:tcPr>
          <w:p>
            <w:pPr>
              <w:spacing w:after="40" w:before="40"/>
            </w:pPr>
            <w:r>
              <w:t>Opposed outcomes occur in a declared order, cycle, or temporal arrangement.</w:t>
            </w:r>
          </w:p>
        </w:tc>
      </w:tr>
      <w:tr>
        <w:tc>
          <w:tcPr>
            <w:tcW w:type="dxa" w:w="2880"/>
            <w:vAlign w:val="center"/>
            <w:shd w:fill="D8E4EA"/>
          </w:tcPr>
          <w:p>
            <w:pPr>
              <w:spacing w:after="40" w:before="40"/>
            </w:pPr>
            <w:r>
              <w:rPr>
                <w:b/>
              </w:rPr>
              <w:t>Partitioning</w:t>
            </w:r>
          </w:p>
        </w:tc>
        <w:tc>
          <w:tcPr>
            <w:tcW w:type="dxa" w:w="6480"/>
          </w:tcPr>
          <w:p>
            <w:pPr>
              <w:spacing w:after="40" w:before="40"/>
            </w:pPr>
            <w:r>
              <w:t>Outcomes apply to different targets, domains, times, locations, or layers.</w:t>
            </w:r>
          </w:p>
        </w:tc>
      </w:tr>
      <w:tr>
        <w:tc>
          <w:tcPr>
            <w:tcW w:type="dxa" w:w="2880"/>
            <w:vAlign w:val="center"/>
            <w:shd w:fill="D8E4EA"/>
          </w:tcPr>
          <w:p>
            <w:pPr>
              <w:spacing w:after="40" w:before="40"/>
            </w:pPr>
            <w:r>
              <w:rPr>
                <w:b/>
              </w:rPr>
              <w:t>Synthesis</w:t>
            </w:r>
          </w:p>
        </w:tc>
        <w:tc>
          <w:tcPr>
            <w:tcW w:type="dxa" w:w="6480"/>
          </w:tcPr>
          <w:p>
            <w:pPr>
              <w:spacing w:after="40" w:before="40"/>
            </w:pPr>
            <w:r>
              <w:t>Opposed outcomes generate a third, compound, or transformed state.</w:t>
            </w:r>
          </w:p>
        </w:tc>
      </w:tr>
      <w:tr>
        <w:tc>
          <w:tcPr>
            <w:tcW w:type="dxa" w:w="2880"/>
            <w:vAlign w:val="center"/>
            <w:shd w:fill="D8E4EA"/>
          </w:tcPr>
          <w:p>
            <w:pPr>
              <w:spacing w:after="40" w:before="40"/>
            </w:pPr>
            <w:r>
              <w:rPr>
                <w:b/>
              </w:rPr>
              <w:t>Cancellation</w:t>
            </w:r>
          </w:p>
        </w:tc>
        <w:tc>
          <w:tcPr>
            <w:tcW w:type="dxa" w:w="6480"/>
          </w:tcPr>
          <w:p>
            <w:pPr>
              <w:spacing w:after="40" w:before="40"/>
            </w:pPr>
            <w:r>
              <w:t>An express rule reduces opposing outcomes under a defined cancellation method. This is not the default.</w:t>
            </w:r>
          </w:p>
        </w:tc>
      </w:tr>
      <w:tr>
        <w:tc>
          <w:tcPr>
            <w:tcW w:type="dxa" w:w="2880"/>
            <w:vAlign w:val="center"/>
            <w:shd w:fill="D8E4EA"/>
          </w:tcPr>
          <w:p>
            <w:pPr>
              <w:spacing w:after="40" w:before="40"/>
            </w:pPr>
            <w:r>
              <w:rPr>
                <w:b/>
              </w:rPr>
              <w:t>Recursive Closure</w:t>
            </w:r>
          </w:p>
        </w:tc>
        <w:tc>
          <w:tcPr>
            <w:tcW w:type="dxa" w:w="6480"/>
          </w:tcPr>
          <w:p>
            <w:pPr>
              <w:spacing w:after="40" w:before="40"/>
            </w:pPr>
            <w:r>
              <w:t>The result of each activated event becomes a new Event A and triggers another closure cycle.</w:t>
            </w:r>
          </w:p>
        </w:tc>
      </w:tr>
    </w:tbl>
    <w:p>
      <w:pPr>
        <w:spacing w:after="0"/>
      </w:pPr>
    </w:p>
    <w:p>
      <w:pPr>
        <w:pStyle w:val="Heading1"/>
        <w:spacing w:before="240" w:after="100"/>
      </w:pPr>
      <w:r>
        <w:t>13. Testing and Validation Protocol</w:t>
      </w:r>
    </w:p>
    <w:p>
      <w:pPr>
        <w:spacing w:after="120" w:line="276" w:lineRule="auto"/>
      </w:pPr>
      <w:r>
        <w:t>The first iteration should be tested through bounded, inspectable event-spaces before any broader Canon integration. A test does not determine final Canon status; it exposes classification gaps, ambiguity, contradictions, and unintended expansions for review.</w:t>
      </w:r>
    </w:p>
    <w:p>
      <w:pPr>
        <w:pStyle w:val="ListNumber"/>
        <w:spacing w:after="60"/>
      </w:pPr>
      <w:r>
        <w:t>Define a finite, inspectable event-space E.</w:t>
      </w:r>
    </w:p>
    <w:p>
      <w:pPr>
        <w:pStyle w:val="ListNumber"/>
        <w:spacing w:after="60"/>
      </w:pPr>
      <w:r>
        <w:t>Declare one initiating event A.</w:t>
      </w:r>
    </w:p>
    <w:p>
      <w:pPr>
        <w:pStyle w:val="ListNumber"/>
        <w:spacing w:after="60"/>
      </w:pPr>
      <w:r>
        <w:t>List each directional event, its known opposites, and its known variations.</w:t>
      </w:r>
    </w:p>
    <w:p>
      <w:pPr>
        <w:pStyle w:val="ListNumber"/>
        <w:spacing w:after="60"/>
      </w:pPr>
      <w:r>
        <w:t>List each non-directional event.</w:t>
      </w:r>
    </w:p>
    <w:p>
      <w:pPr>
        <w:pStyle w:val="ListNumber"/>
        <w:spacing w:after="60"/>
      </w:pPr>
      <w:r>
        <w:t>Apply TECP and record every resulting inclusion.</w:t>
      </w:r>
    </w:p>
    <w:p>
      <w:pPr>
        <w:pStyle w:val="ListNumber"/>
        <w:spacing w:after="60"/>
      </w:pPr>
      <w:r>
        <w:t>Identify ambiguous events and run the Ambiguity Rule.</w:t>
      </w:r>
    </w:p>
    <w:p>
      <w:pPr>
        <w:pStyle w:val="ListNumber"/>
        <w:spacing w:after="60"/>
      </w:pPr>
      <w:r>
        <w:t>Apply the declared Resolution Mode.</w:t>
      </w:r>
    </w:p>
    <w:p>
      <w:pPr>
        <w:pStyle w:val="ListNumber"/>
        <w:spacing w:after="60"/>
      </w:pPr>
      <w:r>
        <w:t>Review for omissions, duplicate classifications, inconsistent opposite definitions, and unbounded recursion.</w:t>
      </w:r>
    </w:p>
    <w:p>
      <w:pPr>
        <w:pStyle w:val="ListNumber"/>
        <w:spacing w:after="60"/>
      </w:pPr>
      <w:r>
        <w:t>Record findings in the Review Record and revise the protocol only through a versioned update.</w:t>
      </w:r>
    </w:p>
    <w:p>
      <w:pPr>
        <w:pStyle w:val="Heading1"/>
        <w:spacing w:before="240" w:after="100"/>
      </w:pPr>
      <w:r>
        <w:t>14. Illustrative Test Cases</w:t>
      </w:r>
    </w:p>
    <w:p>
      <w:pPr>
        <w:pStyle w:val="Heading2"/>
        <w:spacing w:before="160" w:after="100"/>
      </w:pPr>
      <w:r>
        <w:t>14.1 Test Case: Controlled Numeric Event-Space</w:t>
      </w:r>
    </w:p>
    <w:p>
      <w:pPr>
        <w:spacing w:after="120" w:line="276" w:lineRule="auto"/>
      </w:pPr>
      <w:r>
        <w:t>Declared event-space: add 1, add 2, subtract 1, subtract 3, record value, archive value. Event A: add 1.</w:t>
      </w:r>
    </w:p>
    <w:p>
      <w:pPr>
        <w:spacing w:after="120" w:line="276" w:lineRule="auto"/>
      </w:pPr>
      <w:r>
        <w:t>Directional events: add 1, add 2, subtract 1, subtract 3. Non-directional events: record value, archive value. Under TECP, all directional events and their valid variants are included, and the non-directional events occur. This test makes the totality visible in a finite set.</w:t>
      </w:r>
    </w:p>
    <w:p>
      <w:pPr>
        <w:pStyle w:val="Heading2"/>
        <w:spacing w:before="160" w:after="100"/>
      </w:pPr>
      <w:r>
        <w:t>14.2 Test Case: Relational Topology Model</w:t>
      </w:r>
    </w:p>
    <w:p>
      <w:pPr>
        <w:spacing w:after="120" w:line="276" w:lineRule="auto"/>
      </w:pPr>
      <w:r>
        <w:t>Declared event-space: establish connection, sever connection, strengthen connection, weaken connection, create one-way connection, create reciprocal connection, register entity identity, preserve entity record. Event A: establish connection.</w:t>
      </w:r>
    </w:p>
    <w:p>
      <w:pPr>
        <w:spacing w:after="120" w:line="276" w:lineRule="auto"/>
      </w:pPr>
      <w:r>
        <w:t>Under TECP, the connection event does not limit the outcome to link-related actions alone. All directional events in the declared topology are included together with their valid opposites and variations. The identity and preservation events occur as non-directional events.</w:t>
      </w:r>
    </w:p>
    <w:p>
      <w:pPr>
        <w:pStyle w:val="Heading2"/>
        <w:spacing w:before="160" w:after="100"/>
      </w:pPr>
      <w:r>
        <w:t>14.3 Test Case: Abstract System Expansion</w:t>
      </w:r>
    </w:p>
    <w:p>
      <w:pPr>
        <w:spacing w:after="120" w:line="276" w:lineRule="auto"/>
      </w:pPr>
      <w:r>
        <w:t>Declared event-space: expand, contract, maintain, accelerate, decelerate, classify, observe. Event A: expand.</w:t>
      </w:r>
    </w:p>
    <w:p>
      <w:pPr>
        <w:spacing w:after="120" w:line="276" w:lineRule="auto"/>
      </w:pPr>
      <w:r>
        <w:t>TECP includes expansion, contraction, acceleration, deceleration, their variations, and the non-directional classification and observation events. The result is not cancellation. It is a complete activated set awaiting the declared Resolution Mode.</w:t>
      </w:r>
    </w:p>
    <w:p>
      <w:pPr>
        <w:pStyle w:val="Heading2"/>
        <w:spacing w:before="160" w:after="100"/>
      </w:pPr>
      <w:r>
        <w:t>14.4 Stress-Test Prompt Format</w:t>
      </w:r>
    </w:p>
    <w:p>
      <w:pPr>
        <w:spacing w:after="120" w:line="276" w:lineRule="auto"/>
      </w:pPr>
      <w:r>
        <w:t>A future stress test may define an abstract or simulated entity network and apply TECP to its generation, linkage, isolation, scaling, classification, and archival events. The test record should explicitly identify the declared event-space, the classification decisions, the resulting closure set, and the Resolution Mode used.</w:t>
      </w:r>
    </w:p>
    <w:p>
      <w:pPr>
        <w:pStyle w:val="Heading1"/>
        <w:spacing w:before="240" w:after="100"/>
      </w:pPr>
      <w:r>
        <w:t>15. Canon Integration Rules</w:t>
      </w:r>
    </w:p>
    <w:p>
      <w:pPr>
        <w:spacing w:after="120" w:line="276" w:lineRule="auto"/>
      </w:pPr>
      <w:r>
        <w:t>For TECP to be integrated into a broader Canon system, the following minimum record should accompany each approved use:</w:t>
      </w:r>
    </w:p>
    <w:p>
      <w:pPr>
        <w:pStyle w:val="ListBullet"/>
        <w:spacing w:after="60"/>
      </w:pPr>
      <w:r>
        <w:t>canonical name of the protocol and version number;</w:t>
      </w:r>
    </w:p>
    <w:p>
      <w:pPr>
        <w:pStyle w:val="ListBullet"/>
        <w:spacing w:after="60"/>
      </w:pPr>
      <w:r>
        <w:t>defined event-space and scope;</w:t>
      </w:r>
    </w:p>
    <w:p>
      <w:pPr>
        <w:pStyle w:val="ListBullet"/>
        <w:spacing w:after="60"/>
      </w:pPr>
      <w:r>
        <w:t>Event A;</w:t>
      </w:r>
    </w:p>
    <w:p>
      <w:pPr>
        <w:pStyle w:val="ListBullet"/>
        <w:spacing w:after="60"/>
      </w:pPr>
      <w:r>
        <w:t>directional and non-directional classification basis;</w:t>
      </w:r>
    </w:p>
    <w:p>
      <w:pPr>
        <w:pStyle w:val="ListBullet"/>
        <w:spacing w:after="60"/>
      </w:pPr>
      <w:r>
        <w:t>opposites and variation criteria;</w:t>
      </w:r>
    </w:p>
    <w:p>
      <w:pPr>
        <w:pStyle w:val="ListBullet"/>
        <w:spacing w:after="60"/>
      </w:pPr>
      <w:r>
        <w:t>Resolution Mode;</w:t>
      </w:r>
    </w:p>
    <w:p>
      <w:pPr>
        <w:pStyle w:val="ListBullet"/>
        <w:spacing w:after="60"/>
      </w:pPr>
      <w:r>
        <w:t>whether recursion is enabled;</w:t>
      </w:r>
    </w:p>
    <w:p>
      <w:pPr>
        <w:pStyle w:val="ListBullet"/>
        <w:spacing w:after="60"/>
      </w:pPr>
      <w:r>
        <w:t>reviewer notes and recorded dissent, if any;</w:t>
      </w:r>
    </w:p>
    <w:p>
      <w:pPr>
        <w:pStyle w:val="ListBullet"/>
        <w:spacing w:after="60"/>
      </w:pPr>
      <w:r>
        <w:t>approval, signature, timestamp, and publication status.</w:t>
      </w:r>
    </w:p>
    <w:p>
      <w:pPr>
        <w:spacing w:after="120" w:line="276" w:lineRule="auto"/>
      </w:pPr>
      <w:r>
        <w:t>No assistant-generated draft supersedes explicit user-authored Canon. Where this document uses examples, those examples are explanatory only unless independently approved as Canon.</w:t>
      </w:r>
    </w:p>
    <w:p>
      <w:pPr>
        <w:pStyle w:val="Heading1"/>
        <w:spacing w:before="240" w:after="100"/>
      </w:pPr>
      <w:r>
        <w:t>16. Versioning, Review, and Approval</w:t>
      </w:r>
    </w:p>
    <w:p>
      <w:pPr>
        <w:spacing w:after="120" w:line="276" w:lineRule="auto"/>
      </w:pPr>
      <w:r>
        <w:t>Version 1.0 is intentionally issued as a first iteration for review. It is structured to support comparison against independently generated versions from other systems and to preserve substantive differences rather than flatten them prematurely.</w:t>
      </w:r>
    </w:p>
    <w:p>
      <w:pPr>
        <w:spacing w:after="120" w:line="276" w:lineRule="auto"/>
      </w:pPr>
      <w:r>
        <w:t>Recommended review questions for the next iteration include:</w:t>
      </w:r>
    </w:p>
    <w:p>
      <w:pPr>
        <w:pStyle w:val="ListNumber"/>
        <w:spacing w:after="60"/>
      </w:pPr>
      <w:r>
        <w:t>Does total closure apply to all imaginable events or all events within an expressly declared event-space?</w:t>
      </w:r>
    </w:p>
    <w:p>
      <w:pPr>
        <w:pStyle w:val="ListNumber"/>
        <w:spacing w:after="60"/>
      </w:pPr>
      <w:r>
        <w:t>Is event-space expansion automatic, optional, or tiered?</w:t>
      </w:r>
    </w:p>
    <w:p>
      <w:pPr>
        <w:pStyle w:val="ListNumber"/>
        <w:spacing w:after="60"/>
      </w:pPr>
      <w:r>
        <w:t>Can a contradiction be fully active in the same state, or must it branch?</w:t>
      </w:r>
    </w:p>
    <w:p>
      <w:pPr>
        <w:pStyle w:val="ListNumber"/>
        <w:spacing w:after="60"/>
      </w:pPr>
      <w:r>
        <w:t>Are “opposite,” “inverse,” “negation,” and “contrary” separate classes or one class?</w:t>
      </w:r>
    </w:p>
    <w:p>
      <w:pPr>
        <w:pStyle w:val="ListNumber"/>
        <w:spacing w:after="60"/>
      </w:pPr>
      <w:r>
        <w:t>Does recursive closure activate automatically for all generated events?</w:t>
      </w:r>
    </w:p>
    <w:p>
      <w:pPr>
        <w:pStyle w:val="ListNumber"/>
        <w:spacing w:after="60"/>
      </w:pPr>
      <w:r>
        <w:t>What constitutes a valid non-directional event?</w:t>
      </w:r>
    </w:p>
    <w:p>
      <w:pPr>
        <w:pStyle w:val="ListNumber"/>
        <w:spacing w:after="60"/>
      </w:pPr>
      <w:r>
        <w:t>What authority language should attach after final approval?</w:t>
      </w:r>
    </w:p>
    <w:p>
      <w:pPr>
        <w:pStyle w:val="ListNumber"/>
        <w:spacing w:after="60"/>
      </w:pPr>
      <w:r>
        <w:t>What publication and provenance language should appear in a final Scribd edition?</w:t>
      </w:r>
    </w:p>
    <w:p>
      <w:pPr>
        <w:pStyle w:val="Heading1"/>
        <w:spacing w:before="240" w:after="100"/>
      </w:pPr>
      <w:r>
        <w:t>Appendix A. Formal Notation</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8E4EA"/>
          </w:tcPr>
          <w:p>
            <w:pPr>
              <w:spacing w:after="40" w:before="40"/>
            </w:pPr>
            <w:r>
              <w:rPr>
                <w:b/>
              </w:rPr>
              <w:t>Declared event-space</w:t>
            </w:r>
          </w:p>
        </w:tc>
        <w:tc>
          <w:tcPr>
            <w:tcW w:type="dxa" w:w="6480"/>
          </w:tcPr>
          <w:p>
            <w:pPr>
              <w:spacing w:after="40" w:before="40"/>
            </w:pPr>
            <w:r>
              <w:t>E</w:t>
            </w:r>
          </w:p>
        </w:tc>
      </w:tr>
      <w:tr>
        <w:tc>
          <w:tcPr>
            <w:tcW w:type="dxa" w:w="2880"/>
            <w:vAlign w:val="center"/>
            <w:shd w:fill="D8E4EA"/>
          </w:tcPr>
          <w:p>
            <w:pPr>
              <w:spacing w:after="40" w:before="40"/>
            </w:pPr>
            <w:r>
              <w:rPr>
                <w:b/>
              </w:rPr>
              <w:t>Initiating event</w:t>
            </w:r>
          </w:p>
        </w:tc>
        <w:tc>
          <w:tcPr>
            <w:tcW w:type="dxa" w:w="6480"/>
          </w:tcPr>
          <w:p>
            <w:pPr>
              <w:spacing w:after="40" w:before="40"/>
            </w:pPr>
            <w:r>
              <w:t>A ∈ E</w:t>
            </w:r>
          </w:p>
        </w:tc>
      </w:tr>
      <w:tr>
        <w:tc>
          <w:tcPr>
            <w:tcW w:type="dxa" w:w="2880"/>
            <w:vAlign w:val="center"/>
            <w:shd w:fill="D8E4EA"/>
          </w:tcPr>
          <w:p>
            <w:pPr>
              <w:spacing w:after="40" w:before="40"/>
            </w:pPr>
            <w:r>
              <w:rPr>
                <w:b/>
              </w:rPr>
              <w:t>Directional event subset</w:t>
            </w:r>
          </w:p>
        </w:tc>
        <w:tc>
          <w:tcPr>
            <w:tcW w:type="dxa" w:w="6480"/>
          </w:tcPr>
          <w:p>
            <w:pPr>
              <w:spacing w:after="40" w:before="40"/>
            </w:pPr>
            <w:r>
              <w:t>D = {e ∈ E | e possesses directionality}</w:t>
            </w:r>
          </w:p>
        </w:tc>
      </w:tr>
      <w:tr>
        <w:tc>
          <w:tcPr>
            <w:tcW w:type="dxa" w:w="2880"/>
            <w:vAlign w:val="center"/>
            <w:shd w:fill="D8E4EA"/>
          </w:tcPr>
          <w:p>
            <w:pPr>
              <w:spacing w:after="40" w:before="40"/>
            </w:pPr>
            <w:r>
              <w:rPr>
                <w:b/>
              </w:rPr>
              <w:t>Non-directional event subset</w:t>
            </w:r>
          </w:p>
        </w:tc>
        <w:tc>
          <w:tcPr>
            <w:tcW w:type="dxa" w:w="6480"/>
          </w:tcPr>
          <w:p>
            <w:pPr>
              <w:spacing w:after="40" w:before="40"/>
            </w:pPr>
            <w:r>
              <w:t>N = {e ∈ E | e possesses no directionality}</w:t>
            </w:r>
          </w:p>
        </w:tc>
      </w:tr>
      <w:tr>
        <w:tc>
          <w:tcPr>
            <w:tcW w:type="dxa" w:w="2880"/>
            <w:vAlign w:val="center"/>
            <w:shd w:fill="D8E4EA"/>
          </w:tcPr>
          <w:p>
            <w:pPr>
              <w:spacing w:after="40" w:before="40"/>
            </w:pPr>
            <w:r>
              <w:rPr>
                <w:b/>
              </w:rPr>
              <w:t>Event-space partition</w:t>
            </w:r>
          </w:p>
        </w:tc>
        <w:tc>
          <w:tcPr>
            <w:tcW w:type="dxa" w:w="6480"/>
          </w:tcPr>
          <w:p>
            <w:pPr>
              <w:spacing w:after="40" w:before="40"/>
            </w:pPr>
            <w:r>
              <w:t>E = D ∪ N</w:t>
            </w:r>
          </w:p>
        </w:tc>
      </w:tr>
      <w:tr>
        <w:tc>
          <w:tcPr>
            <w:tcW w:type="dxa" w:w="2880"/>
            <w:vAlign w:val="center"/>
            <w:shd w:fill="D8E4EA"/>
          </w:tcPr>
          <w:p>
            <w:pPr>
              <w:spacing w:after="40" w:before="40"/>
            </w:pPr>
            <w:r>
              <w:rPr>
                <w:b/>
              </w:rPr>
              <w:t>Trigger condition</w:t>
            </w:r>
          </w:p>
        </w:tc>
        <w:tc>
          <w:tcPr>
            <w:tcW w:type="dxa" w:w="6480"/>
          </w:tcPr>
          <w:p>
            <w:pPr>
              <w:spacing w:after="40" w:before="40"/>
            </w:pPr>
            <w:r>
              <w:t>A ⇒ TEC(E)</w:t>
            </w:r>
          </w:p>
        </w:tc>
      </w:tr>
      <w:tr>
        <w:tc>
          <w:tcPr>
            <w:tcW w:type="dxa" w:w="2880"/>
            <w:vAlign w:val="center"/>
            <w:shd w:fill="D8E4EA"/>
          </w:tcPr>
          <w:p>
            <w:pPr>
              <w:spacing w:after="40" w:before="40"/>
            </w:pPr>
            <w:r>
              <w:rPr>
                <w:b/>
              </w:rPr>
              <w:t>Expanded event-space</w:t>
            </w:r>
          </w:p>
        </w:tc>
        <w:tc>
          <w:tcPr>
            <w:tcW w:type="dxa" w:w="6480"/>
          </w:tcPr>
          <w:p>
            <w:pPr>
              <w:spacing w:after="40" w:before="40"/>
            </w:pPr>
            <w:r>
              <w:t>E⁺ = E ∪ Opp(D) ∪ Var(D)</w:t>
            </w:r>
          </w:p>
        </w:tc>
      </w:tr>
      <w:tr>
        <w:tc>
          <w:tcPr>
            <w:tcW w:type="dxa" w:w="2880"/>
            <w:vAlign w:val="center"/>
            <w:shd w:fill="D8E4EA"/>
          </w:tcPr>
          <w:p>
            <w:pPr>
              <w:spacing w:after="40" w:before="40"/>
            </w:pPr>
            <w:r>
              <w:rPr>
                <w:b/>
              </w:rPr>
              <w:t>Total closure</w:t>
            </w:r>
          </w:p>
        </w:tc>
        <w:tc>
          <w:tcPr>
            <w:tcW w:type="dxa" w:w="6480"/>
          </w:tcPr>
          <w:p>
            <w:pPr>
              <w:spacing w:after="40" w:before="40"/>
            </w:pPr>
            <w:r>
              <w:t>TEC(E) = ⋃ [d ∪ Opp(d) ∪ Var(d)] + ⋃ n</w:t>
            </w:r>
          </w:p>
        </w:tc>
      </w:tr>
      <w:tr>
        <w:tc>
          <w:tcPr>
            <w:tcW w:type="dxa" w:w="2880"/>
            <w:vAlign w:val="center"/>
            <w:shd w:fill="D8E4EA"/>
          </w:tcPr>
          <w:p>
            <w:pPr>
              <w:spacing w:after="40" w:before="40"/>
            </w:pPr>
            <w:r>
              <w:rPr>
                <w:b/>
              </w:rPr>
              <w:t>Default contradiction condition</w:t>
            </w:r>
          </w:p>
        </w:tc>
        <w:tc>
          <w:tcPr>
            <w:tcW w:type="dxa" w:w="6480"/>
          </w:tcPr>
          <w:p>
            <w:pPr>
              <w:spacing w:after="40" w:before="40"/>
            </w:pPr>
            <w:r>
              <w:t>d + Opp(d) ≠ 0</w:t>
            </w:r>
          </w:p>
        </w:tc>
      </w:tr>
    </w:tbl>
    <w:p>
      <w:pPr>
        <w:spacing w:after="0"/>
      </w:pPr>
    </w:p>
    <w:p>
      <w:pPr>
        <w:pStyle w:val="Heading1"/>
        <w:spacing w:before="240" w:after="100"/>
      </w:pPr>
      <w:r>
        <w:t>Appendix B. Canonical Invocation Template</w:t>
      </w:r>
    </w:p>
    <w:tbl>
      <w:tblPr>
        <w:tblW w:type="auto" w:w="0"/>
        <w:jc w:val="center"/>
        <w:tblLayout w:type="autofit"/>
        <w:tblLook w:firstColumn="1" w:firstRow="1" w:lastColumn="0" w:lastRow="0" w:noHBand="0" w:noVBand="1" w:val="04A0"/>
      </w:tblPr>
      <w:tblGrid>
        <w:gridCol w:w="9936"/>
      </w:tblGrid>
      <w:tr>
        <w:tc>
          <w:tcPr>
            <w:tcW w:type="dxa" w:w="9936"/>
            <w:shd w:fill="EEF3F8"/>
            <w:tcBorders>
              <w:top w:val="single" w:sz="8" w:color="34556B"/>
              <w:left w:val="single" w:sz="8" w:color="34556B"/>
              <w:bottom w:val="single" w:sz="8" w:color="34556B"/>
              <w:right w:val="single" w:sz="8" w:color="34556B"/>
            </w:tcBorders>
          </w:tcPr>
          <w:p>
            <w:pPr>
              <w:spacing w:after="80"/>
            </w:pPr>
            <w:r>
              <w:rPr>
                <w:b/>
                <w:color w:val="1F4157"/>
                <w:sz w:val="22"/>
              </w:rPr>
              <w:t>TEMPLATE</w:t>
            </w:r>
          </w:p>
          <w:p>
            <w:pPr>
              <w:spacing w:after="0"/>
            </w:pPr>
            <w:r>
              <w:t>Protocol Title: Total Event Closure Protocol</w:t>
              <w:br/>
              <w:t>Version: [version]</w:t>
              <w:br/>
              <w:t>Event-Space: [define E]</w:t>
              <w:br/>
              <w:t>Event A: [define A]</w:t>
              <w:br/>
              <w:t>Directional Classification Basis: [define]</w:t>
              <w:br/>
              <w:t>Non-Directional Classification Basis: [define]</w:t>
              <w:br/>
              <w:t>Opposite / Inverse Criteria: [define]</w:t>
              <w:br/>
              <w:t>Variation Criteria: [define]</w:t>
              <w:br/>
              <w:t>Expansion Rule: [default / altered]</w:t>
              <w:br/>
              <w:t>Resolution Mode: [coexistence / branching / sequencing / partitioning / synthesis / cancellation / recursive closure]</w:t>
              <w:br/>
              <w:t>Invocation: [insert long or compact form]</w:t>
              <w:br/>
              <w:t>Review Notes: [insert]</w:t>
              <w:br/>
              <w:t>Approval Status: [draft / approved / superseded]</w:t>
              <w:br/>
              <w:t>Authority Record: [signature, timestamp, ONESTAMP, publication reference]</w:t>
            </w:r>
          </w:p>
        </w:tc>
      </w:tr>
    </w:tbl>
    <w:p>
      <w:pPr>
        <w:spacing w:after="0"/>
      </w:pPr>
    </w:p>
    <w:p>
      <w:pPr>
        <w:pStyle w:val="Heading1"/>
        <w:spacing w:before="240" w:after="100"/>
      </w:pPr>
      <w:r>
        <w:t>Appendix C. Review Record</w:t>
      </w:r>
    </w:p>
    <w:p>
      <w:pPr>
        <w:spacing w:after="120" w:line="276" w:lineRule="auto"/>
      </w:pPr>
      <w:r>
        <w:t>Use this record when comparing Version 1.0 against subsequent independent AI-generated drafts or revised Canon editions.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8E4EA"/>
          </w:tcPr>
          <w:p>
            <w:r>
              <w:rPr>
                <w:b/>
              </w:rPr>
              <w:t>Review Item</w:t>
            </w:r>
          </w:p>
        </w:tc>
        <w:tc>
          <w:tcPr>
            <w:tcW w:type="dxa" w:w="2484"/>
            <w:shd w:fill="D8E4EA"/>
          </w:tcPr>
          <w:p>
            <w:r>
              <w:rPr>
                <w:b/>
              </w:rPr>
              <w:t>Finding / Difference</w:t>
            </w:r>
          </w:p>
        </w:tc>
        <w:tc>
          <w:tcPr>
            <w:tcW w:type="dxa" w:w="2484"/>
            <w:shd w:fill="D8E4EA"/>
          </w:tcPr>
          <w:p>
            <w:r>
              <w:rPr>
                <w:b/>
              </w:rPr>
              <w:t>Decision</w:t>
            </w:r>
          </w:p>
        </w:tc>
        <w:tc>
          <w:tcPr>
            <w:tcW w:type="dxa" w:w="2484"/>
            <w:shd w:fill="D8E4EA"/>
          </w:tcPr>
          <w:p>
            <w:r>
              <w:rPr>
                <w:b/>
              </w:rPr>
              <w:t>Authority Initials / Date</w:t>
            </w:r>
          </w:p>
        </w:tc>
      </w:tr>
      <w:tr>
        <w:tc>
          <w:tcPr>
            <w:tcW w:type="dxa" w:w="2484"/>
          </w:tcPr>
          <w:p>
            <w:r>
              <w:br/>
              <w:br/>
            </w:r>
          </w:p>
        </w:tc>
        <w:tc>
          <w:tcPr>
            <w:tcW w:type="dxa" w:w="2484"/>
          </w:tcPr>
          <w:p>
            <w:r>
              <w:br/>
              <w:br/>
            </w:r>
          </w:p>
        </w:tc>
        <w:tc>
          <w:tcPr>
            <w:tcW w:type="dxa" w:w="2484"/>
          </w:tcPr>
          <w:p>
            <w:r>
              <w:br/>
              <w:br/>
            </w:r>
          </w:p>
        </w:tc>
        <w:tc>
          <w:tcPr>
            <w:tcW w:type="dxa" w:w="2484"/>
          </w:tcPr>
          <w:p>
            <w:r>
              <w:br/>
              <w:br/>
            </w:r>
          </w:p>
        </w:tc>
      </w:tr>
      <w:tr>
        <w:tc>
          <w:tcPr>
            <w:tcW w:type="dxa" w:w="2484"/>
          </w:tcPr>
          <w:p>
            <w:r>
              <w:br/>
              <w:br/>
            </w:r>
          </w:p>
        </w:tc>
        <w:tc>
          <w:tcPr>
            <w:tcW w:type="dxa" w:w="2484"/>
          </w:tcPr>
          <w:p>
            <w:r>
              <w:br/>
              <w:br/>
            </w:r>
          </w:p>
        </w:tc>
        <w:tc>
          <w:tcPr>
            <w:tcW w:type="dxa" w:w="2484"/>
          </w:tcPr>
          <w:p>
            <w:r>
              <w:br/>
              <w:br/>
            </w:r>
          </w:p>
        </w:tc>
        <w:tc>
          <w:tcPr>
            <w:tcW w:type="dxa" w:w="2484"/>
          </w:tcPr>
          <w:p>
            <w:r>
              <w:br/>
              <w:br/>
            </w:r>
          </w:p>
        </w:tc>
      </w:tr>
      <w:tr>
        <w:tc>
          <w:tcPr>
            <w:tcW w:type="dxa" w:w="2484"/>
          </w:tcPr>
          <w:p>
            <w:r>
              <w:br/>
              <w:br/>
            </w:r>
          </w:p>
        </w:tc>
        <w:tc>
          <w:tcPr>
            <w:tcW w:type="dxa" w:w="2484"/>
          </w:tcPr>
          <w:p>
            <w:r>
              <w:br/>
              <w:br/>
            </w:r>
          </w:p>
        </w:tc>
        <w:tc>
          <w:tcPr>
            <w:tcW w:type="dxa" w:w="2484"/>
          </w:tcPr>
          <w:p>
            <w:r>
              <w:br/>
              <w:br/>
            </w:r>
          </w:p>
        </w:tc>
        <w:tc>
          <w:tcPr>
            <w:tcW w:type="dxa" w:w="2484"/>
          </w:tcPr>
          <w:p>
            <w:r>
              <w:br/>
              <w:br/>
            </w:r>
          </w:p>
        </w:tc>
      </w:tr>
      <w:tr>
        <w:tc>
          <w:tcPr>
            <w:tcW w:type="dxa" w:w="2484"/>
          </w:tcPr>
          <w:p>
            <w:r>
              <w:br/>
              <w:br/>
            </w:r>
          </w:p>
        </w:tc>
        <w:tc>
          <w:tcPr>
            <w:tcW w:type="dxa" w:w="2484"/>
          </w:tcPr>
          <w:p>
            <w:r>
              <w:br/>
              <w:br/>
            </w:r>
          </w:p>
        </w:tc>
        <w:tc>
          <w:tcPr>
            <w:tcW w:type="dxa" w:w="2484"/>
          </w:tcPr>
          <w:p>
            <w:r>
              <w:br/>
              <w:br/>
            </w:r>
          </w:p>
        </w:tc>
        <w:tc>
          <w:tcPr>
            <w:tcW w:type="dxa" w:w="2484"/>
          </w:tcPr>
          <w:p>
            <w:r>
              <w:br/>
              <w:br/>
            </w:r>
          </w:p>
        </w:tc>
      </w:tr>
      <w:tr>
        <w:tc>
          <w:tcPr>
            <w:tcW w:type="dxa" w:w="2484"/>
          </w:tcPr>
          <w:p>
            <w:r>
              <w:br/>
              <w:br/>
            </w:r>
          </w:p>
        </w:tc>
        <w:tc>
          <w:tcPr>
            <w:tcW w:type="dxa" w:w="2484"/>
          </w:tcPr>
          <w:p>
            <w:r>
              <w:br/>
              <w:br/>
            </w:r>
          </w:p>
        </w:tc>
        <w:tc>
          <w:tcPr>
            <w:tcW w:type="dxa" w:w="2484"/>
          </w:tcPr>
          <w:p>
            <w:r>
              <w:br/>
              <w:br/>
            </w:r>
          </w:p>
        </w:tc>
        <w:tc>
          <w:tcPr>
            <w:tcW w:type="dxa" w:w="2484"/>
          </w:tcPr>
          <w:p>
            <w:r>
              <w:br/>
              <w:br/>
            </w:r>
          </w:p>
        </w:tc>
      </w:tr>
      <w:tr>
        <w:tc>
          <w:tcPr>
            <w:tcW w:type="dxa" w:w="2484"/>
          </w:tcPr>
          <w:p>
            <w:r>
              <w:br/>
              <w:br/>
            </w:r>
          </w:p>
        </w:tc>
        <w:tc>
          <w:tcPr>
            <w:tcW w:type="dxa" w:w="2484"/>
          </w:tcPr>
          <w:p>
            <w:r>
              <w:br/>
              <w:br/>
            </w:r>
          </w:p>
        </w:tc>
        <w:tc>
          <w:tcPr>
            <w:tcW w:type="dxa" w:w="2484"/>
          </w:tcPr>
          <w:p>
            <w:r>
              <w:br/>
              <w:br/>
            </w:r>
          </w:p>
        </w:tc>
        <w:tc>
          <w:tcPr>
            <w:tcW w:type="dxa" w:w="2484"/>
          </w:tcPr>
          <w:p>
            <w:r>
              <w:br/>
              <w:br/>
            </w:r>
          </w:p>
        </w:tc>
      </w:tr>
      <w:tr>
        <w:tc>
          <w:tcPr>
            <w:tcW w:type="dxa" w:w="2484"/>
          </w:tcPr>
          <w:p>
            <w:r>
              <w:br/>
              <w:br/>
            </w:r>
          </w:p>
        </w:tc>
        <w:tc>
          <w:tcPr>
            <w:tcW w:type="dxa" w:w="2484"/>
          </w:tcPr>
          <w:p>
            <w:r>
              <w:br/>
              <w:br/>
            </w:r>
          </w:p>
        </w:tc>
        <w:tc>
          <w:tcPr>
            <w:tcW w:type="dxa" w:w="2484"/>
          </w:tcPr>
          <w:p>
            <w:r>
              <w:br/>
              <w:br/>
            </w:r>
          </w:p>
        </w:tc>
        <w:tc>
          <w:tcPr>
            <w:tcW w:type="dxa" w:w="2484"/>
          </w:tcPr>
          <w:p>
            <w:r>
              <w:br/>
              <w:br/>
            </w:r>
          </w:p>
        </w:tc>
      </w:tr>
      <w:tr>
        <w:tc>
          <w:tcPr>
            <w:tcW w:type="dxa" w:w="2484"/>
          </w:tcPr>
          <w:p>
            <w:r>
              <w:br/>
              <w:br/>
            </w:r>
          </w:p>
        </w:tc>
        <w:tc>
          <w:tcPr>
            <w:tcW w:type="dxa" w:w="2484"/>
          </w:tcPr>
          <w:p>
            <w:r>
              <w:br/>
              <w:br/>
            </w:r>
          </w:p>
        </w:tc>
        <w:tc>
          <w:tcPr>
            <w:tcW w:type="dxa" w:w="2484"/>
          </w:tcPr>
          <w:p>
            <w:r>
              <w:br/>
              <w:br/>
            </w:r>
          </w:p>
        </w:tc>
        <w:tc>
          <w:tcPr>
            <w:tcW w:type="dxa" w:w="2484"/>
          </w:tcPr>
          <w:p>
            <w:r>
              <w:br/>
              <w:br/>
            </w:r>
          </w:p>
        </w:tc>
      </w:tr>
    </w:tbl>
    <w:p>
      <w:pPr>
        <w:pStyle w:val="Heading1"/>
        <w:spacing w:before="240" w:after="100"/>
      </w:pPr>
      <w:r>
        <w:t>Approval Block</w:t>
      </w:r>
    </w:p>
    <w:p>
      <w:pPr>
        <w:spacing w:after="120" w:line="276" w:lineRule="auto"/>
      </w:pPr>
      <w:r>
        <w:t>This block is intentionally blank pending review. Completion of this block should occur only after the Architect / Authority Holder determines whether this Version 1.0 is approved, revised, rejected, superseded, or incorporated into a later Canon edition.</w:t>
      </w:r>
    </w:p>
    <w:tbl>
      <w:tblPr>
        <w:tblStyle w:val="TableGrid"/>
        <w:tblW w:type="auto" w:w="0"/>
        <w:jc w:val="center"/>
        <w:tblLook w:firstColumn="1" w:firstRow="1" w:lastColumn="0" w:lastRow="0" w:noHBand="0" w:noVBand="1" w:val="04A0"/>
      </w:tblPr>
      <w:tblGrid>
        <w:gridCol w:w="4968"/>
        <w:gridCol w:w="4968"/>
      </w:tblGrid>
      <w:tr>
        <w:tc>
          <w:tcPr>
            <w:tcW w:type="dxa" w:w="4968"/>
            <w:shd w:fill="D8E4EA"/>
          </w:tcPr>
          <w:p>
            <w:r>
              <w:rPr>
                <w:b/>
              </w:rPr>
              <w:t>Authority Holder</w:t>
            </w:r>
          </w:p>
        </w:tc>
        <w:tc>
          <w:tcPr>
            <w:tcW w:type="dxa" w:w="4968"/>
          </w:tcPr>
          <w:p>
            <w:r>
              <w:t>Nathan Lewis II</w:t>
            </w:r>
          </w:p>
        </w:tc>
      </w:tr>
      <w:tr>
        <w:tc>
          <w:tcPr>
            <w:tcW w:type="dxa" w:w="4968"/>
            <w:shd w:fill="D8E4EA"/>
          </w:tcPr>
          <w:p>
            <w:r>
              <w:rPr>
                <w:b/>
              </w:rPr>
              <w:t>Decision</w:t>
            </w:r>
          </w:p>
        </w:tc>
        <w:tc>
          <w:tcPr>
            <w:tcW w:type="dxa" w:w="4968"/>
          </w:tcPr>
          <w:p>
            <w:r>
              <w:t>[Approved / Approved with Revisions / Returned for Revision / Rejected / Superseded]</w:t>
            </w:r>
          </w:p>
        </w:tc>
      </w:tr>
      <w:tr>
        <w:tc>
          <w:tcPr>
            <w:tcW w:type="dxa" w:w="4968"/>
            <w:shd w:fill="D8E4EA"/>
          </w:tcPr>
          <w:p>
            <w:r>
              <w:rPr>
                <w:b/>
              </w:rPr>
              <w:t>Electronic Signature / ONESTAMP</w:t>
            </w:r>
          </w:p>
        </w:tc>
        <w:tc>
          <w:tcPr>
            <w:tcW w:type="dxa" w:w="4968"/>
          </w:tcPr>
          <w:p>
            <w:r>
              <w:t>[To be completed by Authority Holder]</w:t>
            </w:r>
          </w:p>
        </w:tc>
      </w:tr>
      <w:tr>
        <w:tc>
          <w:tcPr>
            <w:tcW w:type="dxa" w:w="4968"/>
            <w:shd w:fill="D8E4EA"/>
          </w:tcPr>
          <w:p>
            <w:r>
              <w:rPr>
                <w:b/>
              </w:rPr>
              <w:t>Date and Publication Record</w:t>
            </w:r>
          </w:p>
        </w:tc>
        <w:tc>
          <w:tcPr>
            <w:tcW w:type="dxa" w:w="4968"/>
          </w:tcPr>
          <w:p>
            <w:r>
              <w:t>[To be completed by Authority Holder]</w:t>
            </w:r>
          </w:p>
        </w:tc>
      </w:tr>
    </w:tbl>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Version 1.0 - First Iteration for Review | Prepared July 3, 2026</w:t>
    </w:r>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TOTAL EVENT CLOSURE PROTOCOL | CANON STANDARDIZATION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536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6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5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Event Closure Protocol - Canon Standardization Version 1.0</dc:title>
  <dc:subject>First Iteration for Review and Approval</dc:subject>
  <dc:creator>ChatGPT (GPT-5.5 Thinking)</dc:creator>
  <cp:keywords>Total Event Closure Protocol, Canon Standardization, TECP, Event-Space</cp:keywords>
  <dc:description>generated by python-docx</dc:description>
  <cp:lastModifiedBy/>
  <cp:revision>1</cp:revision>
  <dcterms:created xsi:type="dcterms:W3CDTF">2013-12-23T23:15:00Z</dcterms:created>
  <dcterms:modified xsi:type="dcterms:W3CDTF">2013-12-23T23:15:00Z</dcterms:modified>
  <cp:category/>
</cp:coreProperties>
</file>