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TRINITY CURRENCY SYSTEM</w:t>
      </w:r>
    </w:p>
    <w:p>
      <w:pPr>
        <w:jc w:val="center"/>
      </w:pPr>
      <w:r>
        <w:rPr>
          <w:b/>
          <w:sz w:val="26"/>
        </w:rPr>
        <w:t>Conversation Consolidation and Currency Review Laboratory Foundation</w:t>
      </w:r>
    </w:p>
    <w:p>
      <w:pPr>
        <w:jc w:val="center"/>
      </w:pPr>
      <w:r>
        <w:t>Quantum Credits (QC) • 1COIN • NCOIN</w:t>
        <w:br/>
        <w:t>Working Draft • August 20, 2026</w:t>
      </w:r>
    </w:p>
    <w:p>
      <w:pPr>
        <w:jc w:val="center"/>
      </w:pPr>
      <w:r>
        <w:t>Prepared for the AI Collaboration Team as a detailed pass-through from inception through the Boundary Conditions and Unpurchasable Domain Exercise.</w:t>
      </w:r>
    </w:p>
    <w:p>
      <w:r>
        <w:br w:type="page"/>
      </w:r>
    </w:p>
    <w:p>
      <w:pPr>
        <w:pStyle w:val="Heading1"/>
      </w:pPr>
      <w:r>
        <w:t>Contents</w:t>
      </w:r>
    </w:p>
    <w:p>
      <w:pPr/>
      <w:r>
        <w:t>1. Purpose and status</w:t>
      </w:r>
    </w:p>
    <w:p>
      <w:pPr/>
      <w:r>
        <w:t>2. Conversation inception: user’s original clarification</w:t>
      </w:r>
    </w:p>
    <w:p>
      <w:pPr/>
      <w:r>
        <w:t>3. Prior red-team review: what it established</w:t>
      </w:r>
    </w:p>
    <w:p>
      <w:pPr/>
      <w:r>
        <w:t>4. User response and reframed baseline</w:t>
      </w:r>
    </w:p>
    <w:p>
      <w:pPr/>
      <w:r>
        <w:t>5. Consolidated roles of the Trinity</w:t>
      </w:r>
    </w:p>
    <w:p>
      <w:pPr/>
      <w:r>
        <w:t>6. Value is not permission</w:t>
      </w:r>
    </w:p>
    <w:p>
      <w:pPr/>
      <w:r>
        <w:t>7. The 150-year valuation exercise</w:t>
      </w:r>
    </w:p>
    <w:p>
      <w:pPr/>
      <w:r>
        <w:t>8. Two-track testing architecture</w:t>
      </w:r>
    </w:p>
    <w:p>
      <w:pPr/>
      <w:r>
        <w:t>9. Boundary Conditions and the Unpurchasable Domain Exercise: user prompt</w:t>
      </w:r>
    </w:p>
    <w:p>
      <w:pPr/>
      <w:r>
        <w:t>10. Boundary analysis: ten recommended cases</w:t>
      </w:r>
    </w:p>
    <w:p>
      <w:pPr/>
      <w:r>
        <w:t>11. Boundary implications for each currency</w:t>
      </w:r>
    </w:p>
    <w:p>
      <w:pPr/>
      <w:r>
        <w:t>12. Non-Purchasable Domain taxonomy</w:t>
      </w:r>
    </w:p>
    <w:p>
      <w:pPr/>
      <w:r>
        <w:t>13. Recommended laboratory rules</w:t>
      </w:r>
    </w:p>
    <w:p>
      <w:pPr/>
      <w:r>
        <w:t>14. Recommended Currency Boundary Laboratory</w:t>
      </w:r>
    </w:p>
    <w:p>
      <w:pPr/>
      <w:r>
        <w:t>15. Final synthesis</w:t>
      </w:r>
    </w:p>
    <w:p>
      <w:pPr/>
      <w:r>
        <w:t>16. Next team deliverable</w:t>
      </w:r>
    </w:p>
    <w:p>
      <w:r>
        <w:br w:type="page"/>
      </w:r>
    </w:p>
    <w:p>
      <w:pPr>
        <w:pStyle w:val="Heading1"/>
      </w:pPr>
      <w:r>
        <w:t>Purpose and status</w:t>
      </w:r>
    </w:p>
    <w:p>
      <w:pPr>
        <w:spacing w:after="140"/>
      </w:pPr>
      <w:r>
        <w:t>This document consolidates the currency-design conversation from the initial red-team review through the Boundary Conditions and Unpurchasable Domain Exercise. It is prepared as a detailed pass-through for the AI Collaboration Team before the team designs the Currency Review Laboratory.</w:t>
      </w:r>
    </w:p>
    <w:p>
      <w:pPr>
        <w:spacing w:after="140"/>
      </w:pPr>
      <w:r>
        <w:t>It preserves the user’s intent, records the team’s earlier responses and corrections, distinguishes real-world analogy from internal-system testing, and establishes a common working framework. It is a design and worldbuilding/specification document, not financial, legal, or investment advice.</w:t>
      </w:r>
    </w:p>
    <w:p>
      <w:pPr>
        <w:spacing w:after="140"/>
      </w:pPr>
      <w:r>
        <w:t>Working system: Quantum Credits (QC), 1COIN, and NCOIN—the Trinity Currency System.</w:t>
      </w:r>
    </w:p>
    <w:p>
      <w:pPr>
        <w:pStyle w:val="Heading1"/>
      </w:pPr>
      <w:r>
        <w:t>Conversation inception: user’s original clarification</w:t>
      </w:r>
    </w:p>
    <w:p>
      <w:pPr>
        <w:spacing w:after="140"/>
      </w:pPr>
      <w:r>
        <w:t>The user explained that the earlier collaboration exercise had tested three proposed currencies—Quantum Credits, 1COIN, and NCOIN—but that the team had not fully tested the intended rule of Quantum Credits.</w:t>
      </w:r>
    </w:p>
    <w:p>
      <w:pPr>
        <w:spacing w:after="140"/>
      </w:pPr>
      <w:r>
        <w:t>User’s central clarification: QC is intended to evaluate to whatever it is validly used upon. The examples were intentionally extreme: a simulation, a classified network, a company, another Architect, a nonmarket capability, or a target beyond ordinary linear-time assumptions. These examples were boundary conditions, not claims that present-day money or law permits such transactions.</w:t>
      </w:r>
    </w:p>
    <w:p>
      <w:pPr>
        <w:spacing w:after="140"/>
      </w:pPr>
      <w:r>
        <w:t>The user further clarified the scale exercise: take annual worldwide spending in the IT or AI sector, double it, generate or apply one QC at that scale, and deploy the resulting value into research, development, infrastructure, and company or Architect-level development over a 150-year horizon.</w:t>
      </w:r>
    </w:p>
    <w:p>
      <w:pPr>
        <w:spacing w:after="140"/>
      </w:pPr>
      <w:r>
        <w:t>The user’s concern was not simply that earlier reviewers found conventional economic objections. It was that the exercise had drifted away from the proposed mechanism: instead of asking how QC behaves if it resolves to the value of its target, reviewers often evaluated it as a conventional reserve-backed, scarcity-limited currency.</w:t>
      </w:r>
    </w:p>
    <w:p>
      <w:pPr>
        <w:pStyle w:val="Heading1"/>
      </w:pPr>
      <w:r>
        <w:t>Prior red-team review: what it established</w:t>
      </w:r>
    </w:p>
    <w:p>
      <w:pPr>
        <w:spacing w:after="140"/>
      </w:pPr>
      <w:r>
        <w:t>The attached Independent Review of the Currency Design Red Team Analyses reviewed prior outputs from ChatGPT, Claude, Grok, Gemini, Copilot, and an earlier Perplexity response. It found major structural concerns: the scarcity/post-scarcity tension, potential 1COIN settlement instability, NCOIN debt traps, governance capture, founder dependence, oracle and smart-contract risks, and a 150-year continuity problem.</w:t>
      </w:r>
    </w:p>
    <w:p>
      <w:pPr>
        <w:spacing w:after="140"/>
      </w:pPr>
      <w:r>
        <w:t>The review also contained an important qualification: some critiques overreached by applying real-world economic or legal requirements to a partly fictional or simulation-world design. It specifically identified Claude’s ‘should this exist?’ framing as too aggressive when the design objective is internal consistency rather than immediate real-world implementation.</w:t>
      </w:r>
    </w:p>
    <w:p>
      <w:pPr>
        <w:spacing w:after="140"/>
      </w:pPr>
      <w:r>
        <w:t>The review recommended a dual-track approach: a simplified narrative layer and a rigorous specification layer. It also recommended future adversarial testing rather than treating harmonized AI prose as proof of viability.</w:t>
      </w:r>
    </w:p>
    <w:p>
      <w:pPr>
        <w:pStyle w:val="Heading1"/>
      </w:pPr>
      <w:r>
        <w:t>User response and reframed baseline</w:t>
      </w:r>
    </w:p>
    <w:p>
      <w:pPr>
        <w:spacing w:after="140"/>
      </w:pPr>
      <w:r>
        <w:t>The user requested a structured baseline that would accurately represent the intended exercise before the team resumed development. The resulting baseline reframed QC as a target-relative value mechanism rather than a fixed-denomination currency.</w:t>
      </w:r>
    </w:p>
    <w:p>
      <w:pPr>
        <w:spacing w:after="140"/>
      </w:pPr>
      <w:r>
        <w:t>Core proposition: a Quantum Credit does not necessarily possess a permanently fixed purchasing power. Its effective value is resolved at the point of valid use against its target.</w:t>
      </w:r>
    </w:p>
    <w:p>
      <w:pPr>
        <w:spacing w:after="140"/>
      </w:pPr>
      <w:r>
        <w:t>Conceptual form: QC(T) = V(T), where T is a valid target and V(T) is the value required to resolve that target under the system’s rules.</w:t>
      </w:r>
    </w:p>
    <w:p>
      <w:pPr>
        <w:spacing w:after="140"/>
      </w:pPr>
      <w:r>
        <w:t>This formulation does not mean QC can do anything without limits. It creates a sequence of distinct questions: What is the target? What kind of value applies? Is the target valid? Is the action authorized? How is the value resolved? What settles? What consequence follows?</w:t>
      </w:r>
    </w:p>
    <w:p>
      <w:pPr>
        <w:pStyle w:val="Heading1"/>
      </w:pPr>
      <w:r>
        <w:t>Consolidated roles of the Trinity</w:t>
      </w:r>
    </w:p>
    <w:p>
      <w:pPr>
        <w:spacing w:after="140"/>
      </w:pPr>
      <w:r>
        <w:t>Quantum Credits (QC): the proposed adaptive valuation and authorization layer. QC evaluates a valid target relative to the target’s applicable value category, rather than only by a preassigned denomination.</w:t>
      </w:r>
    </w:p>
    <w:p>
      <w:pPr>
        <w:spacing w:after="140"/>
      </w:pPr>
      <w:r>
        <w:t>1COIN: the proposed unitized settlement layer. The strongest working definition is that 1COIN represents one completed, auditable resolution of a defined obligation, rather than a public-market stablecoin or simple fixed-value token.</w:t>
      </w:r>
    </w:p>
    <w:p>
      <w:pPr>
        <w:spacing w:after="140"/>
      </w:pPr>
      <w:r>
        <w:t>NCOIN: the proposed negative-state or countervalue layer. It may represent liability, displaced value, risk, unresolved consequence, harm, entropy, reversal, or remediation obligations. It should not automatically become a permanent debt trap.</w:t>
      </w:r>
    </w:p>
    <w:p>
      <w:pPr>
        <w:spacing w:after="140"/>
      </w:pPr>
      <w:r>
        <w:t>Candidate sequence: Target → QC evaluation → authorization → 1COIN settlement record → NCOIN consequence or countervalue record, when applicable.</w:t>
      </w:r>
    </w:p>
    <w:p>
      <w:pPr>
        <w:pStyle w:val="Heading1"/>
      </w:pPr>
      <w:r>
        <w:t>Value is not permission</w:t>
      </w:r>
    </w:p>
    <w:p>
      <w:pPr>
        <w:spacing w:after="140"/>
      </w:pPr>
      <w:r>
        <w:t>A central refinement emerged from the unified team pass-through: having sufficient value is not the same as having sufficient authority.</w:t>
      </w:r>
    </w:p>
    <w:p>
      <w:pPr>
        <w:spacing w:after="140"/>
      </w:pPr>
      <w:r>
        <w:t>QC may be able to evaluate a target without acquiring, modifying, controlling, transferring, or overriding it. This distinction prevents the framework from degrading into ‘infinite money.’</w:t>
      </w:r>
    </w:p>
    <w:p>
      <w:pPr>
        <w:spacing w:after="140"/>
      </w:pPr>
      <w:r>
        <w:t>The laboratory must distinguish: valuable and authorized; valuable but unauthorized; valuable but conditionally authorized; nonmarket but authorized through an alternative mechanism; and undefined or invalid target states.</w:t>
      </w:r>
    </w:p>
    <w:p>
      <w:pPr>
        <w:spacing w:after="140"/>
      </w:pPr>
      <w:r>
        <w:t>Thus, applying QC to a classified network or a person-like entity cannot automatically defeat consent, ownership, security rules, autonomy, or sovereignty. A valid result may be a license, access right, stewardship duty, simulation, or constrained agreement—not ownership.</w:t>
      </w:r>
    </w:p>
    <w:p>
      <w:pPr>
        <w:pStyle w:val="Heading1"/>
      </w:pPr>
      <w:r>
        <w:t>The 150-year valuation exercise</w:t>
      </w:r>
    </w:p>
    <w:p>
      <w:pPr>
        <w:spacing w:after="140"/>
      </w:pPr>
      <w:r>
        <w:t>The user’s 150-year exercise should be retained as a scale and coherence test, not treated only as a question of whether a conventional treasury could supply sufficient dollars.</w:t>
      </w:r>
    </w:p>
    <w:p>
      <w:pPr>
        <w:spacing w:after="140"/>
      </w:pPr>
      <w:r>
        <w:t>Let G represent annual worldwide spending in an agreed technology domain. The proposed commitment is 2G each year for 150 years. Under a static simplification, total commitment equals 300G. Under a dynamic model, total commitment equals the sum of 2G(t) over years 1 through 150.</w:t>
      </w:r>
    </w:p>
    <w:p>
      <w:pPr>
        <w:spacing w:after="140"/>
      </w:pPr>
      <w:r>
        <w:t>The laboratory must decide whether QC locks its value at generation, re-resolves annually, resolves an entire future commitment at once, or uses the external spending figure only as an in-universe magnitude reference.</w:t>
      </w:r>
    </w:p>
    <w:p>
      <w:pPr>
        <w:spacing w:after="140"/>
      </w:pPr>
      <w:r>
        <w:t>The required questions are operational: Is this one invocation or recurring invocations? What exactly is delivered—cash, compute, research capacity, infrastructure, access, resources, or authority? What happens if the target sector changes? What happens if the commitment alters the anchor sector? What NCOIN consequences arise?</w:t>
      </w:r>
    </w:p>
    <w:p>
      <w:pPr>
        <w:pStyle w:val="Heading1"/>
      </w:pPr>
      <w:r>
        <w:t>Two-track testing architecture</w:t>
      </w:r>
    </w:p>
    <w:p>
      <w:pPr>
        <w:spacing w:after="140"/>
      </w:pPr>
      <w:r>
        <w:t>Track A — Internal/systemic viability: accept the speculative QC axiom long enough to test the consequences. Test logical coherence, target validity, authority, recursion, settlement, competing valuations, identity, persistence, time, simulations, failure states, abuse, and NCOIN effects.</w:t>
      </w:r>
    </w:p>
    <w:p>
      <w:pPr>
        <w:spacing w:after="140"/>
      </w:pPr>
      <w:r>
        <w:t>Track B — Real-world analogy: compare only relevant portions of the architecture with monetary economics, accounting, smart contracts, governance, legal structures, technology infrastructure, and game theory. This track supplies warnings and analogies; it must not silently overwrite Track A’s stated axioms.</w:t>
      </w:r>
    </w:p>
    <w:p>
      <w:pPr>
        <w:spacing w:after="140"/>
      </w:pPr>
      <w:r>
        <w:t>This preserves the useful parts of the prior red team—governance, succession, technical security, debt rehabilitation, and stress testing—without allowing a conventional-money model to erase the experimental premise before analysis begins.</w:t>
      </w:r>
    </w:p>
    <w:p>
      <w:pPr>
        <w:pStyle w:val="Heading1"/>
      </w:pPr>
      <w:r>
        <w:t>Boundary Conditions and the Unpurchasable Domain Exercise: user prompt</w:t>
      </w:r>
    </w:p>
    <w:p>
      <w:pPr>
        <w:spacing w:after="140"/>
      </w:pPr>
      <w:r>
        <w:t>The user next reframed the laboratory task. Rather than asking what the three currencies can purchase, acquire, unlock, exchange for, or demonstrate purchasing power against, the team must identify what they cannot and should not be able to purchase even under an expansive interpretation of the framework.</w:t>
      </w:r>
    </w:p>
    <w:p>
      <w:pPr>
        <w:spacing w:after="140"/>
      </w:pPr>
      <w:r>
        <w:t>The central question: What is literally off limits to a currency—not because it is expensive, technologically unavailable, or merely prohibited, but because describing it as purchasable stops making conceptual sense?</w:t>
      </w:r>
    </w:p>
    <w:p>
      <w:pPr>
        <w:spacing w:after="140"/>
      </w:pPr>
      <w:r>
        <w:t>The user required ten distinct boundary cases. For each, the team must identify the target; explain why transaction and ownership fail; classify the limitation; distinguish absolute from conditional limits; specify simulation-laboratory handling; compare QC, 1COIN, and NCOIN; run No Seller, No Ownership, Infinite Currency, Voluntary Seller, Advanced Civilization, and Simulation tests; and red-team the conclusion.</w:t>
      </w:r>
    </w:p>
    <w:p>
      <w:pPr>
        <w:pStyle w:val="Heading1"/>
      </w:pPr>
      <w:r>
        <w:t>Boundary analysis: ten recommended cases</w:t>
      </w:r>
    </w:p>
    <w:p>
      <w:pPr>
        <w:spacing w:after="140"/>
      </w:pPr>
      <w:r>
        <w:t>1. A completed historical event never having happened. A completed past event is not a transferable asset. Altering records, memories, or simulations does not make the original causal event non-occurring. Classification: causal and logical impossibility. Absolute boundary.</w:t>
      </w:r>
    </w:p>
    <w:p>
      <w:pPr>
        <w:spacing w:after="140"/>
      </w:pPr>
      <w:r>
        <w:t>2. Another person’s autonomous will. A person can consent to employment, delegation, or services, but autonomy and personhood are not transferable property. Classification: personhood, sovereignty, ethical, identity-based. Absolute for any recognized person.</w:t>
      </w:r>
    </w:p>
    <w:p>
      <w:pPr>
        <w:spacing w:after="140"/>
      </w:pPr>
      <w:r>
        <w:t>3. Genuine love, authentic belief, or voluntary loyalty. Services, companionship, and influence can be purchased; authentic inner states cannot be delivered as commodities without changing their meaning. Classification: personally non-transferable and category error. Absolute as authentic states.</w:t>
      </w:r>
    </w:p>
    <w:p>
      <w:pPr>
        <w:spacing w:after="140"/>
      </w:pPr>
      <w:r>
        <w:t>4. Objective truth itself. A buyer may acquire research, evidence, data, testimony, or verification, but truth is a relation between proposition and reality, not a tradable object. Classification: epistemic and category error. Absolute.</w:t>
      </w:r>
    </w:p>
    <w:p>
      <w:pPr>
        <w:spacing w:after="140"/>
      </w:pPr>
      <w:r>
        <w:t>5. The physical universe as a whole. There is no coherent external seller, title system, or transfer framework for the totality containing all buyers, sellers, laws, and ledgers. Classification: ontological non-transferability and no-seller condition. Absolute within the relevant reality.</w:t>
      </w:r>
    </w:p>
    <w:p>
      <w:pPr>
        <w:spacing w:after="140"/>
      </w:pPr>
      <w:r>
        <w:t>6. An additional fundamental law of physics. A law is a condition governing possible transactions, not an inventory object within a transaction. Simulated or locally engineered alternate rules do not constitute purchasing a fundamental law. Classification: physical, logical, and category error. Absolute relative to the operative reality.</w:t>
      </w:r>
    </w:p>
    <w:p>
      <w:pPr>
        <w:spacing w:after="140"/>
      </w:pPr>
      <w:r>
        <w:t>7. Another person’s first-person consciousness. Data, scans, testimony, interfaces, or emulations may be licensed; the original subject’s lived point of view is not an object separable from the subject. Classification: personal, identity-based, ontological, and epistemic. Strong absolute boundary under ordinary identity assumptions.</w:t>
      </w:r>
    </w:p>
    <w:p>
      <w:pPr>
        <w:spacing w:after="140"/>
      </w:pPr>
      <w:r>
        <w:t>8. Planet Earth itself. Parcels, mineral rights, leases, and limited uses can transfer. Absolute ownership of Earth lacks a universally legitimate seller and collapses distinct concepts—stewardship, jurisdiction, control, and ownership. Classification: sovereignty, intergenerational stewardship, and no-seller problem. Strong but debatable boundary.</w:t>
      </w:r>
    </w:p>
    <w:p>
      <w:pPr>
        <w:spacing w:after="140"/>
      </w:pPr>
      <w:r>
        <w:t>9. A genuinely conscious artificial intelligence. Non-sentient software may be bought or licensed. If an AI has personhood, autonomous will cannot be owned; only consent-based relationships are valid. Classification: conditional personhood and sovereignty. The status is conditional; non-ownership is absolute once personhood is recognized.</w:t>
      </w:r>
    </w:p>
    <w:p>
      <w:pPr>
        <w:spacing w:after="140"/>
      </w:pPr>
      <w:r>
        <w:t>10. Exclusive ownership of a future probability. Forecasts, insurance, hedges, guarantees, and control capacity can be priced. Probability and a future outcome are not necessarily detachable property rights. Classification: temporal, epistemic, causal, and category error. Most debatable case.</w:t>
      </w:r>
    </w:p>
    <w:p>
      <w:pPr>
        <w:pStyle w:val="Heading1"/>
      </w:pPr>
      <w:r>
        <w:t>Boundary implications for each currency</w:t>
      </w:r>
    </w:p>
    <w:p>
      <w:pPr>
        <w:spacing w:after="140"/>
      </w:pPr>
      <w:r>
        <w:t>QC: QC may evaluate a valid target or adjacent rights. It cannot manufacture legitimacy, personhood, seller authority, transferability, truth, or causality. On invalid targets it should return a reasoned rejection or a permitted substitute class—simulation, access, license, stewardship, research, or remediation.</w:t>
      </w:r>
    </w:p>
    <w:p>
      <w:pPr>
        <w:spacing w:after="140"/>
      </w:pPr>
      <w:r>
        <w:t>1COIN: 1COIN should only represent a completed and auditable settlement of an already valid, authorized transaction. It cannot certify completion of an incoherent purchase such as ownership of another person’s will or erasure of a completed past event.</w:t>
      </w:r>
    </w:p>
    <w:p>
      <w:pPr>
        <w:spacing w:after="140"/>
      </w:pPr>
      <w:r>
        <w:t>NCOIN: NCOIN may record negative consequences, harm, coercion, unresolved claims, failed obligations, risk, or remediation. It cannot turn an invalid transaction into a valid one. It should be designed with restorative and bankruptcy/rehabilitation pathways rather than permanent exclusion.</w:t>
      </w:r>
    </w:p>
    <w:p>
      <w:pPr>
        <w:pStyle w:val="Heading1"/>
      </w:pPr>
      <w:r>
        <w:t>Non-Purchasable Domain taxonomy</w:t>
      </w:r>
    </w:p>
    <w:p>
      <w:pPr>
        <w:spacing w:after="140"/>
      </w:pPr>
      <w:r>
        <w:t>The future laboratory should distinguish among: ordinarily purchasable; purchasable but extremely scarce; specialized rights or contract transactions; technologically inaccessible; legally restricted; ethically restricted; non-transferable; conceptually non-ownable; physically or logically impossible; and absolutely outside the domain of currency.</w:t>
      </w:r>
    </w:p>
    <w:p>
      <w:pPr>
        <w:spacing w:after="140"/>
      </w:pPr>
      <w:r>
        <w:t>This taxonomy prevents the framework from appearing artificially powerful by confusing access with ownership, control with title, simulation with physical reality, service with personhood, and influence with authentic consent.</w:t>
      </w:r>
    </w:p>
    <w:p>
      <w:pPr>
        <w:spacing w:after="140"/>
      </w:pPr>
      <w:r>
        <w:t>Priceless is not the same as infinitely expensive. Infinitely expensive means a coherent transaction remains possible but requires an unbounded price. Priceless may mean valuable but without a legitimate price. Non-purchasable means that no valid transaction is available regardless of currency supply.</w:t>
      </w:r>
    </w:p>
    <w:p>
      <w:pPr>
        <w:pStyle w:val="Heading1"/>
      </w:pPr>
      <w:r>
        <w:t>Recommended laboratory rules</w:t>
      </w:r>
    </w:p>
    <w:p>
      <w:pPr>
        <w:spacing w:after="140"/>
      </w:pPr>
      <w:r>
        <w:t>Rule 1 — Target-validity gate: before QC valuation, determine whether a valid target, legitimate rights-holder, transferable right, and meaningful recipient state exist.</w:t>
      </w:r>
    </w:p>
    <w:p>
      <w:pPr>
        <w:spacing w:after="140"/>
      </w:pPr>
      <w:r>
        <w:t>Rule 2 — Rights decomposition: force every broad target into specific rights: ownership, access, use, stewardship, licensing, governance, control, naming, occupancy, data access, or simulation access.</w:t>
      </w:r>
    </w:p>
    <w:p>
      <w:pPr>
        <w:spacing w:after="140"/>
      </w:pPr>
      <w:r>
        <w:t>Rule 3 — No Seller Test: identify who has standing to sell. If no legitimate seller exists, block ownership settlement and offer only lawful/ethical substitute targets where appropriate.</w:t>
      </w:r>
    </w:p>
    <w:p>
      <w:pPr>
        <w:spacing w:after="140"/>
      </w:pPr>
      <w:r>
        <w:t>Rule 4 — No Ownership Test: distinguish owning, controlling, accessing, occupying, governing, naming, influencing, and possessing.</w:t>
      </w:r>
    </w:p>
    <w:p>
      <w:pPr>
        <w:spacing w:after="140"/>
      </w:pPr>
      <w:r>
        <w:t>Rule 5 — Simulation labeling: purchasing a simulation, representation, approximation, virtual property, or access right never establishes ownership of the physical or original target.</w:t>
      </w:r>
    </w:p>
    <w:p>
      <w:pPr>
        <w:spacing w:after="140"/>
      </w:pPr>
      <w:r>
        <w:t>Rule 6 — Personhood protection: any recognized person—human or artificial—cannot be treated as property. Only voluntary, scoped, revocable, and auditable agreements may be settled.</w:t>
      </w:r>
    </w:p>
    <w:p>
      <w:pPr>
        <w:spacing w:after="140"/>
      </w:pPr>
      <w:r>
        <w:t>Rule 7 — Impossible control condition: causal, logical, and fundamental-category impossibilities must remain test controls, not transaction classes.</w:t>
      </w:r>
    </w:p>
    <w:p>
      <w:pPr>
        <w:spacing w:after="140"/>
      </w:pPr>
      <w:r>
        <w:t>Rule 8 — NCOIN response: define whether invalid attempts generate NCOIN only when they cause harm, coercion, resource waste, deception, or unresolved obligations; do not impose automatic punitive debt merely for asking a boundary question.</w:t>
      </w:r>
    </w:p>
    <w:p>
      <w:pPr>
        <w:pStyle w:val="Heading1"/>
      </w:pPr>
      <w:r>
        <w:t>Recommended Currency Boundary Laboratory</w:t>
      </w:r>
    </w:p>
    <w:p>
      <w:pPr>
        <w:spacing w:after="140"/>
      </w:pPr>
      <w:r>
        <w:t>Each collaborator should complete the same test suite independently before reading the others’ work. For each target, the reviewer must state: target class; valuation class; seller/authority; transferability; authorization; permissible substitute; QC response; 1COIN response; NCOIN response; exploit; failure condition; and final ruling.</w:t>
      </w:r>
    </w:p>
    <w:p>
      <w:pPr>
        <w:spacing w:after="140"/>
      </w:pPr>
      <w:r>
        <w:t>Suggested escalating targets: low-value commodity; scarce asset; specialized license; multinational organization; global annual technology expenditure; doubled global technology expenditure over 150 years; nonmarket asset; unique asset; classified fictional system; simulated universe; another currency architecture; another QC; undefined-value target; infinite-value target; a target outside linear time; and the ten Non-Purchasable Domain cases.</w:t>
      </w:r>
    </w:p>
    <w:p>
      <w:pPr>
        <w:spacing w:after="140"/>
      </w:pPr>
      <w:r>
        <w:t>No team member may answer only ‘this cannot be purchased.’ The reviewer must identify whether the boundary is legal, ethical, technological, non-transferable, sovereignty-based, causal, logical, epistemic, or an underlying category error.</w:t>
      </w:r>
    </w:p>
    <w:p>
      <w:pPr>
        <w:pStyle w:val="Heading1"/>
      </w:pPr>
      <w:r>
        <w:t>Final synthesis</w:t>
      </w:r>
    </w:p>
    <w:p>
      <w:pPr>
        <w:spacing w:after="140"/>
      </w:pPr>
      <w:r>
        <w:t>The strongest boundary discovered is the completed past: no amount of currency can make a completed event never have occurred in the same causal history. The most philosophically difficult boundary is consciousness, especially where copying, simulations, memories, and conscious artificial intelligence complicate identity. The most useful framework test is planetary ownership because it exposes the difference between rights bundles and total ownership.</w:t>
      </w:r>
    </w:p>
    <w:p>
      <w:pPr>
        <w:spacing w:after="140"/>
      </w:pPr>
      <w:r>
        <w:t>Recommended term: Ontological Transaction Limit—the point at which currency cannot produce a legitimate exchange because there is no transferable target, legitimate seller, meaningful ownership relation, or transaction capable of altering the underlying reality.</w:t>
      </w:r>
    </w:p>
    <w:p>
      <w:pPr>
        <w:spacing w:after="140"/>
      </w:pPr>
      <w:r>
        <w:t>Final design statement: Quantum Credits, 1COIN, and NCOIN may be capable of evaluating, authorizing, settling, or accounting for every legitimately transferable relationship within their defined system. They cannot make a person property, turn a completed fact into a non-event, make truth a commodity, create a legitimate title to a sovereign totality, or convert a simulation into ownership of physical reality.</w:t>
      </w:r>
    </w:p>
    <w:p>
      <w:pPr>
        <w:pStyle w:val="Heading1"/>
      </w:pPr>
      <w:r>
        <w:t>Next team deliverable</w:t>
      </w:r>
    </w:p>
    <w:p>
      <w:pPr>
        <w:spacing w:after="140"/>
      </w:pPr>
      <w:r>
        <w:t>Each AI Collaboration Team member should now provide an independent ten-case boundary analysis using the required template. After independent submissions are collected, the team should compare disagreements, identify common rules, and draft Currency Review Laboratory Framework v1.</w:t>
      </w:r>
    </w:p>
    <w:p>
      <w:pPr>
        <w:spacing w:after="140"/>
      </w:pPr>
      <w:r>
        <w:t>The framework should include: target taxonomy; valuation classes; target-validity gates; authority and consent rules; settlement definitions; NCOIN remediation principles; simulation labels; governance and review procedures; stress-test suite; and versioned canon/specification language.</w:t>
      </w:r>
    </w:p>
    <w:p>
      <w:pPr>
        <w:pStyle w:val="Heading1"/>
      </w:pPr>
      <w:r>
        <w:t>Source record</w:t>
      </w:r>
    </w:p>
    <w:p>
      <w:r>
        <w:t>This consolidation draws on the attached Red-Team-Currency-Review-1.pdf, OAL_QC_Valuation_Exercise_Baseline_v1.md, and CURRENCY-REVIEW-UNIFIED-PASS-THROUGH-FOR-FIRST-RESPONSES.docx, plus the user-provided Boundary Conditions and Unpurchasable Domain Exercise prompt and the independent response in this conversation.</w:t>
      </w:r>
    </w:p>
    <w:p>
      <w:r>
        <w:t>Note: This document preserves the user’s stated design intent and records proposed analytical frameworks. It does not assert legal recognition, real-world monetary feasibility, or present-day technical implementation.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