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01696F"/>
          <w:sz w:val="44"/>
          <w:szCs w:val="44"/>
        </w:rPr>
        <w:t xml:space="preserve">UNIVERSAL INFORMATION ADMISSIBILITY</w:t>
      </w:r>
    </w:p>
    <w:p>
      <w:pPr>
        <w:spacing w:after="200"/>
        <w:jc w:val="center"/>
      </w:pPr>
      <w:r>
        <w:rPr>
          <w:rFonts w:ascii="Calibri" w:cs="Calibri" w:eastAsia="Calibri" w:hAnsi="Calibri"/>
          <w:b/>
          <w:bCs/>
          <w:color w:val="01696F"/>
          <w:sz w:val="44"/>
          <w:szCs w:val="44"/>
        </w:rPr>
        <w:t xml:space="preserve">AND REVIEW CHARTER (UIARC)</w:t>
      </w:r>
    </w:p>
    <w:p>
      <w:pPr>
        <w:spacing w:after="80"/>
        <w:jc w:val="center"/>
      </w:pPr>
      <w:r>
        <w:rPr>
          <w:rFonts w:ascii="Calibri" w:cs="Calibri" w:eastAsia="Calibri" w:hAnsi="Calibri"/>
          <w:color w:val="28251D"/>
          <w:sz w:val="28"/>
          <w:szCs w:val="28"/>
        </w:rPr>
        <w:t xml:space="preserve">Preliminary Information Collection and Utilization Document</w:t>
      </w:r>
    </w:p>
    <w:p>
      <w:pPr>
        <w:spacing w:after="500"/>
        <w:jc w:val="center"/>
      </w:pPr>
      <w:r>
        <w:rPr>
          <w:rFonts w:ascii="Calibri" w:cs="Calibri" w:eastAsia="Calibri" w:hAnsi="Calibri"/>
          <w:b/>
          <w:bCs/>
          <w:color w:val="6B6A65"/>
          <w:sz w:val="26"/>
          <w:szCs w:val="26"/>
        </w:rPr>
        <w:t xml:space="preserve">OAL  •  ONE INDUSTRIES  •  LEWIS CORP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Document Status</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PRELIMINARY DRAFT — Independent rendering for multi-AI pass-through review. Not ratified. Advisory only.</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Preparer</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Perplexity (Perplexity Computer) — independent version</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Prepared For</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Architect — sole ONESTAMP ratification authority</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Date Prepared</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August 23, 2026</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Governed Entities</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OAL (Omniversal Archive/Architect Labs) • ONE INDUSTRIES • LEWIS CORP</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Related Instruments</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Total Event Closure Protocol (TECP) / Bidirectional Total Event Closure (BTEC) • Universal Event Consequence Protocol (UECP) • Adaptation Protocol • Evolutionary Protocol • ONESTAMP • AIDR</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Intended Use</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Base document for comparative review across independently generated AI drafts, followed by Architect-level synthesis and ratification decision</w:t>
            </w:r>
          </w:p>
        </w:tc>
      </w:tr>
    </w:tbl>
    <w:p>
      <w:pPr>
        <w:spacing w:after="160"/>
      </w:pPr>
    </w:p>
    <w:p>
      <w:pPr>
        <w:pBdr>
          <w:left w:val="single" w:color="01696F" w:sz="12" w:space="12"/>
        </w:pBdr>
        <w:spacing w:after="160" w:before="60" w:line="276"/>
        <w:ind w:left="480" w:right="480"/>
      </w:pPr>
      <w:r>
        <w:rPr>
          <w:rFonts w:ascii="Calibri" w:cs="Calibri" w:eastAsia="Calibri" w:hAnsi="Calibri"/>
          <w:i/>
          <w:iCs/>
          <w:color w:val="3D3A33"/>
        </w:rPr>
        <w:t xml:space="preserve">This document is an in-universe worldbuilding and governance instrument. It is not real-world legal, privacy, surveillance, or data-protection policy, and it confers no real-world authority.</w:t>
      </w:r>
    </w:p>
    <w:p>
      <w:pPr>
        <w:pStyle w:val="Heading1"/>
        <w:pageBreakBefore/>
        <w:spacing w:after="160" w:before="240"/>
      </w:pPr>
      <w:r>
        <w:rPr>
          <w:rFonts w:ascii="Calibri" w:cs="Calibri" w:eastAsia="Calibri" w:hAnsi="Calibri"/>
          <w:b/>
          <w:bCs/>
          <w:color w:val="01696F"/>
          <w:sz w:val="32"/>
          <w:szCs w:val="32"/>
        </w:rPr>
        <w:t xml:space="preserve">Preparer’s Note</w:t>
      </w:r>
    </w:p>
    <w:p>
      <w:pPr>
        <w:spacing w:after="140" w:before="0" w:line="276"/>
      </w:pPr>
      <w:r>
        <w:rPr>
          <w:rFonts w:ascii="Calibri" w:cs="Calibri" w:eastAsia="Calibri" w:hAnsi="Calibri"/>
        </w:rPr>
        <w:t xml:space="preserve">This is Perplexity’s independent rendering of a preliminary Information Collection and Utilization document covering three entities: </w:t>
      </w:r>
      <w:r>
        <w:rPr>
          <w:rFonts w:ascii="Calibri" w:cs="Calibri" w:eastAsia="Calibri" w:hAnsi="Calibri"/>
          <w:b/>
          <w:bCs/>
        </w:rPr>
        <w:t xml:space="preserve">OAL</w:t>
      </w:r>
      <w:r>
        <w:rPr>
          <w:rFonts w:ascii="Calibri" w:cs="Calibri" w:eastAsia="Calibri" w:hAnsi="Calibri"/>
        </w:rPr>
        <w:t xml:space="preserve">, </w:t>
      </w:r>
      <w:r>
        <w:rPr>
          <w:rFonts w:ascii="Calibri" w:cs="Calibri" w:eastAsia="Calibri" w:hAnsi="Calibri"/>
          <w:b/>
          <w:bCs/>
        </w:rPr>
        <w:t xml:space="preserve">ONE INDUSTRIES</w:t>
      </w:r>
      <w:r>
        <w:rPr>
          <w:rFonts w:ascii="Calibri" w:cs="Calibri" w:eastAsia="Calibri" w:hAnsi="Calibri"/>
        </w:rPr>
        <w:t xml:space="preserve">, and </w:t>
      </w:r>
      <w:r>
        <w:rPr>
          <w:rFonts w:ascii="Calibri" w:cs="Calibri" w:eastAsia="Calibri" w:hAnsi="Calibri"/>
          <w:b/>
          <w:bCs/>
        </w:rPr>
        <w:t xml:space="preserve">LEWIS CORP</w:t>
      </w:r>
      <w:r>
        <w:rPr>
          <w:rFonts w:ascii="Calibri" w:cs="Calibri" w:eastAsia="Calibri" w:hAnsi="Calibri"/>
        </w:rPr>
        <w:t xml:space="preserve">. It was produced at the Architect’s request as one of several parallel drafts, each generated independently by a different AI system, to be exchanged, compared, and reconciled by the Architect during a multi-AI pass-through.</w:t>
      </w:r>
    </w:p>
    <w:p>
      <w:pPr>
        <w:spacing w:after="140" w:before="0" w:line="276"/>
      </w:pPr>
      <w:r>
        <w:rPr>
          <w:rFonts w:ascii="Calibri" w:cs="Calibri" w:eastAsia="Calibri" w:hAnsi="Calibri"/>
        </w:rPr>
        <w:t xml:space="preserve">Nothing in this document is canon. No provision becomes binding on OAL, ONE INDUSTRIES, or LEWIS CORP until it is reviewed, edited as needed, and formally ratified under ONESTAMP authority.</w:t>
      </w:r>
    </w:p>
    <w:p>
      <w:pPr>
        <w:spacing w:after="140" w:before="0" w:line="276"/>
      </w:pPr>
      <w:r>
        <w:rPr>
          <w:rFonts w:ascii="Calibri" w:cs="Calibri" w:eastAsia="Calibri" w:hAnsi="Calibri"/>
        </w:rPr>
        <w:t xml:space="preserve">Four commitments distinguish this draft:</w:t>
      </w:r>
    </w:p>
    <w:p>
      <w:pPr>
        <w:pStyle w:val="ListParagraph"/>
        <w:numPr>
          <w:ilvl w:val="0"/>
          <w:numId w:val="2"/>
        </w:numPr>
        <w:spacing w:after="80" w:line="276"/>
      </w:pPr>
      <w:r>
        <w:rPr>
          <w:rFonts w:ascii="Calibri" w:cs="Calibri" w:eastAsia="Calibri" w:hAnsi="Calibri"/>
          <w:b/>
          <w:bCs/>
        </w:rPr>
        <w:t xml:space="preserve">One charter, four separated decisions.</w:t>
      </w:r>
      <w:r>
        <w:rPr>
          <w:rFonts w:ascii="Calibri" w:cs="Calibri" w:eastAsia="Calibri" w:hAnsi="Calibri"/>
        </w:rPr>
        <w:t xml:space="preserve"> Admission, classification, utilization, and exclusion are treated as four distinct governed decisions. Universal intake never silently becomes universal use.</w:t>
      </w:r>
    </w:p>
    <w:p>
      <w:pPr>
        <w:pStyle w:val="ListParagraph"/>
        <w:numPr>
          <w:ilvl w:val="0"/>
          <w:numId w:val="2"/>
        </w:numPr>
        <w:spacing w:after="80" w:line="276"/>
      </w:pPr>
      <w:r>
        <w:rPr>
          <w:rFonts w:ascii="Calibri" w:cs="Calibri" w:eastAsia="Calibri" w:hAnsi="Calibri"/>
          <w:b/>
          <w:bCs/>
        </w:rPr>
        <w:t xml:space="preserve">Relevance is a weight, not a gate.</w:t>
      </w:r>
      <w:r>
        <w:rPr>
          <w:rFonts w:ascii="Calibri" w:cs="Calibri" w:eastAsia="Calibri" w:hAnsi="Calibri"/>
        </w:rPr>
        <w:t xml:space="preserve"> No information is refused consideration because its relevance is unproven; relevance determines how an item is weighted and routed after admission, never whether it may enter.</w:t>
      </w:r>
    </w:p>
    <w:p>
      <w:pPr>
        <w:pStyle w:val="ListParagraph"/>
        <w:numPr>
          <w:ilvl w:val="0"/>
          <w:numId w:val="2"/>
        </w:numPr>
        <w:spacing w:after="80" w:line="276"/>
      </w:pPr>
      <w:r>
        <w:rPr>
          <w:rFonts w:ascii="Calibri" w:cs="Calibri" w:eastAsia="Calibri" w:hAnsi="Calibri"/>
          <w:b/>
          <w:bCs/>
        </w:rPr>
        <w:t xml:space="preserve">Exclusion is review-bound and tiered.</w:t>
      </w:r>
      <w:r>
        <w:rPr>
          <w:rFonts w:ascii="Calibri" w:cs="Calibri" w:eastAsia="Calibri" w:hAnsi="Calibri"/>
        </w:rPr>
        <w:t xml:space="preserve"> Nothing is self-excluding, nothing is presumptively withheld, and every exclusion is a documented, scoped, reviewable determination — never an automatic consequence of apparent irrelevance.</w:t>
      </w:r>
    </w:p>
    <w:p>
      <w:pPr>
        <w:pStyle w:val="ListParagraph"/>
        <w:numPr>
          <w:ilvl w:val="0"/>
          <w:numId w:val="2"/>
        </w:numPr>
        <w:spacing w:after="80" w:line="276"/>
      </w:pPr>
      <w:r>
        <w:rPr>
          <w:rFonts w:ascii="Calibri" w:cs="Calibri" w:eastAsia="Calibri" w:hAnsi="Calibri"/>
          <w:b/>
          <w:bCs/>
        </w:rPr>
        <w:t xml:space="preserve">Entity scope is decided, not inherited.</w:t>
      </w:r>
      <w:r>
        <w:rPr>
          <w:rFonts w:ascii="Calibri" w:cs="Calibri" w:eastAsia="Calibri" w:hAnsi="Calibri"/>
        </w:rPr>
        <w:t xml:space="preserve"> OAL’s expansive in-universe doctrine is not silently imported into ONE INDUSTRIES or LEWIS CORP; each entity adopts the shared baseline plus its own annex (Part X).</w:t>
      </w:r>
    </w:p>
    <w:p>
      <w:pPr>
        <w:pageBreakBefore/>
        <w:spacing w:after="200"/>
      </w:pPr>
      <w:r>
        <w:rPr>
          <w:rFonts w:ascii="Calibri" w:cs="Calibri" w:eastAsia="Calibri" w:hAnsi="Calibri"/>
          <w:b/>
          <w:bCs/>
          <w:color w:val="01696F"/>
          <w:sz w:val="32"/>
          <w:szCs w:val="32"/>
        </w:rPr>
        <w:t xml:space="preserve">Contents</w:t>
      </w:r>
    </w:p>
    <w:p>
      <w:pPr>
        <w:spacing w:after="100" w:line="276"/>
      </w:pPr>
      <w:r>
        <w:rPr>
          <w:rFonts w:ascii="Calibri" w:cs="Calibri" w:eastAsia="Calibri" w:hAnsi="Calibri"/>
          <w:color w:val="28251D"/>
          <w:sz w:val="23"/>
          <w:szCs w:val="23"/>
        </w:rPr>
        <w:t xml:space="preserve">Preparer’s Note</w:t>
      </w:r>
    </w:p>
    <w:p>
      <w:pPr>
        <w:spacing w:after="100" w:line="276"/>
      </w:pPr>
      <w:r>
        <w:rPr>
          <w:rFonts w:ascii="Calibri" w:cs="Calibri" w:eastAsia="Calibri" w:hAnsi="Calibri"/>
          <w:color w:val="28251D"/>
          <w:sz w:val="23"/>
          <w:szCs w:val="23"/>
        </w:rPr>
        <w:t xml:space="preserve">Part I — Purpose and Position</w:t>
      </w:r>
    </w:p>
    <w:p>
      <w:pPr>
        <w:spacing w:after="100" w:line="276"/>
      </w:pPr>
      <w:r>
        <w:rPr>
          <w:rFonts w:ascii="Calibri" w:cs="Calibri" w:eastAsia="Calibri" w:hAnsi="Calibri"/>
          <w:color w:val="28251D"/>
          <w:sz w:val="23"/>
          <w:szCs w:val="23"/>
        </w:rPr>
        <w:t xml:space="preserve">Part II — Definitions</w:t>
      </w:r>
    </w:p>
    <w:p>
      <w:pPr>
        <w:spacing w:after="100" w:line="276"/>
      </w:pPr>
      <w:r>
        <w:rPr>
          <w:rFonts w:ascii="Calibri" w:cs="Calibri" w:eastAsia="Calibri" w:hAnsi="Calibri"/>
          <w:color w:val="28251D"/>
          <w:sz w:val="23"/>
          <w:szCs w:val="23"/>
        </w:rPr>
        <w:t xml:space="preserve">Part III — Foundational Principles</w:t>
      </w:r>
    </w:p>
    <w:p>
      <w:pPr>
        <w:spacing w:after="100" w:line="276"/>
      </w:pPr>
      <w:r>
        <w:rPr>
          <w:rFonts w:ascii="Calibri" w:cs="Calibri" w:eastAsia="Calibri" w:hAnsi="Calibri"/>
          <w:color w:val="28251D"/>
          <w:sz w:val="23"/>
          <w:szCs w:val="23"/>
        </w:rPr>
        <w:t xml:space="preserve">Part IV — Scope of Collection: The Admissible Domain</w:t>
      </w:r>
    </w:p>
    <w:p>
      <w:pPr>
        <w:spacing w:after="100" w:line="276"/>
      </w:pPr>
      <w:r>
        <w:rPr>
          <w:rFonts w:ascii="Calibri" w:cs="Calibri" w:eastAsia="Calibri" w:hAnsi="Calibri"/>
          <w:color w:val="28251D"/>
          <w:sz w:val="23"/>
          <w:szCs w:val="23"/>
        </w:rPr>
        <w:t xml:space="preserve">Part V — Information Status Classification</w:t>
      </w:r>
    </w:p>
    <w:p>
      <w:pPr>
        <w:spacing w:after="100" w:line="276"/>
      </w:pPr>
      <w:r>
        <w:rPr>
          <w:rFonts w:ascii="Calibri" w:cs="Calibri" w:eastAsia="Calibri" w:hAnsi="Calibri"/>
          <w:color w:val="28251D"/>
          <w:sz w:val="23"/>
          <w:szCs w:val="23"/>
        </w:rPr>
        <w:t xml:space="preserve">Part VI — Authorized Utilization: Purpose Families</w:t>
      </w:r>
    </w:p>
    <w:p>
      <w:pPr>
        <w:spacing w:after="100" w:line="276"/>
      </w:pPr>
      <w:r>
        <w:rPr>
          <w:rFonts w:ascii="Calibri" w:cs="Calibri" w:eastAsia="Calibri" w:hAnsi="Calibri"/>
          <w:color w:val="28251D"/>
          <w:sz w:val="23"/>
          <w:szCs w:val="23"/>
        </w:rPr>
        <w:t xml:space="preserve">Part VII — Separation of Authorities</w:t>
      </w:r>
    </w:p>
    <w:p>
      <w:pPr>
        <w:spacing w:after="100" w:line="276"/>
      </w:pPr>
      <w:r>
        <w:rPr>
          <w:rFonts w:ascii="Calibri" w:cs="Calibri" w:eastAsia="Calibri" w:hAnsi="Calibri"/>
          <w:color w:val="28251D"/>
          <w:sz w:val="23"/>
          <w:szCs w:val="23"/>
        </w:rPr>
        <w:t xml:space="preserve">Part VIII — Review-Bound Exclusion Protocol</w:t>
      </w:r>
    </w:p>
    <w:p>
      <w:pPr>
        <w:spacing w:after="100" w:line="276"/>
      </w:pPr>
      <w:r>
        <w:rPr>
          <w:rFonts w:ascii="Calibri" w:cs="Calibri" w:eastAsia="Calibri" w:hAnsi="Calibri"/>
          <w:color w:val="28251D"/>
          <w:sz w:val="23"/>
          <w:szCs w:val="23"/>
        </w:rPr>
        <w:t xml:space="preserve">Part IX — Review Authority and Governance</w:t>
      </w:r>
    </w:p>
    <w:p>
      <w:pPr>
        <w:spacing w:after="100" w:line="276"/>
      </w:pPr>
      <w:r>
        <w:rPr>
          <w:rFonts w:ascii="Calibri" w:cs="Calibri" w:eastAsia="Calibri" w:hAnsi="Calibri"/>
          <w:color w:val="28251D"/>
          <w:sz w:val="23"/>
          <w:szCs w:val="23"/>
        </w:rPr>
        <w:t xml:space="preserve">Part X — Jurisdictional Application to the Three Entities</w:t>
      </w:r>
    </w:p>
    <w:p>
      <w:pPr>
        <w:spacing w:after="100" w:line="276"/>
      </w:pPr>
      <w:r>
        <w:rPr>
          <w:rFonts w:ascii="Calibri" w:cs="Calibri" w:eastAsia="Calibri" w:hAnsi="Calibri"/>
          <w:color w:val="28251D"/>
          <w:sz w:val="23"/>
          <w:szCs w:val="23"/>
        </w:rPr>
        <w:t xml:space="preserve">Part XI — Relationship to Existing Architecture</w:t>
      </w:r>
    </w:p>
    <w:p>
      <w:pPr>
        <w:spacing w:after="100" w:line="276"/>
      </w:pPr>
      <w:r>
        <w:rPr>
          <w:rFonts w:ascii="Calibri" w:cs="Calibri" w:eastAsia="Calibri" w:hAnsi="Calibri"/>
          <w:color w:val="28251D"/>
          <w:sz w:val="23"/>
          <w:szCs w:val="23"/>
        </w:rPr>
        <w:t xml:space="preserve">Part XII — Canon-Ready Article Text</w:t>
      </w:r>
    </w:p>
    <w:p>
      <w:pPr>
        <w:spacing w:after="100" w:line="276"/>
      </w:pPr>
      <w:r>
        <w:rPr>
          <w:rFonts w:ascii="Calibri" w:cs="Calibri" w:eastAsia="Calibri" w:hAnsi="Calibri"/>
          <w:color w:val="28251D"/>
          <w:sz w:val="23"/>
          <w:szCs w:val="23"/>
        </w:rPr>
        <w:t xml:space="preserve">Part XIII — Open Questions for the Architect</w:t>
      </w:r>
    </w:p>
    <w:p>
      <w:pPr>
        <w:spacing w:after="100" w:line="276"/>
      </w:pPr>
      <w:r>
        <w:rPr>
          <w:rFonts w:ascii="Calibri" w:cs="Calibri" w:eastAsia="Calibri" w:hAnsi="Calibri"/>
          <w:color w:val="28251D"/>
          <w:sz w:val="23"/>
          <w:szCs w:val="23"/>
        </w:rPr>
        <w:t xml:space="preserve">Part XIV — Multi-AI Pass-Through Instructions</w:t>
      </w:r>
    </w:p>
    <w:p>
      <w:pPr>
        <w:pStyle w:val="Heading1"/>
        <w:pageBreakBefore/>
        <w:spacing w:after="160" w:before="240"/>
      </w:pPr>
      <w:r>
        <w:rPr>
          <w:rFonts w:ascii="Calibri" w:cs="Calibri" w:eastAsia="Calibri" w:hAnsi="Calibri"/>
          <w:b/>
          <w:bCs/>
          <w:color w:val="01696F"/>
          <w:sz w:val="32"/>
          <w:szCs w:val="32"/>
        </w:rPr>
        <w:t xml:space="preserve">Part I — Purpose and Position</w:t>
      </w:r>
    </w:p>
    <w:p>
      <w:pPr>
        <w:spacing w:after="140" w:before="0" w:line="276"/>
      </w:pPr>
      <w:r>
        <w:rPr>
          <w:rFonts w:ascii="Calibri" w:cs="Calibri" w:eastAsia="Calibri" w:hAnsi="Calibri"/>
        </w:rPr>
        <w:t xml:space="preserve">This Charter establishes the informational jurisdiction of the systems and architectures maintained by OAL, ONE INDUSTRIES, and LEWIS CORP. It answers three questions and deliberately refuses to blur them together:</w:t>
      </w:r>
    </w:p>
    <w:p>
      <w:pPr>
        <w:pStyle w:val="ListParagraph"/>
        <w:numPr>
          <w:ilvl w:val="0"/>
          <w:numId w:val="3"/>
        </w:numPr>
        <w:spacing w:after="80" w:line="276"/>
      </w:pPr>
      <w:r>
        <w:rPr>
          <w:rFonts w:ascii="Calibri" w:cs="Calibri" w:eastAsia="Calibri" w:hAnsi="Calibri"/>
          <w:b/>
          <w:bCs/>
        </w:rPr>
        <w:t xml:space="preserve">What may be collected?</w:t>
      </w:r>
      <w:r>
        <w:rPr>
          <w:rFonts w:ascii="Calibri" w:cs="Calibri" w:eastAsia="Calibri" w:hAnsi="Calibri"/>
        </w:rPr>
        <w:t xml:space="preserve"> Effectively everything representable — subject to the admission rules of Part IV.</w:t>
      </w:r>
    </w:p>
    <w:p>
      <w:pPr>
        <w:pStyle w:val="ListParagraph"/>
        <w:numPr>
          <w:ilvl w:val="0"/>
          <w:numId w:val="3"/>
        </w:numPr>
        <w:spacing w:after="80" w:line="276"/>
      </w:pPr>
      <w:r>
        <w:rPr>
          <w:rFonts w:ascii="Calibri" w:cs="Calibri" w:eastAsia="Calibri" w:hAnsi="Calibri"/>
          <w:b/>
          <w:bCs/>
        </w:rPr>
        <w:t xml:space="preserve">What may it be used for?</w:t>
      </w:r>
      <w:r>
        <w:rPr>
          <w:rFonts w:ascii="Calibri" w:cs="Calibri" w:eastAsia="Calibri" w:hAnsi="Calibri"/>
        </w:rPr>
        <w:t xml:space="preserve"> Defined purpose families — including evolution, adaptation, and improvement — under the utilization rules of Parts VI and VII.</w:t>
      </w:r>
    </w:p>
    <w:p>
      <w:pPr>
        <w:pStyle w:val="ListParagraph"/>
        <w:numPr>
          <w:ilvl w:val="0"/>
          <w:numId w:val="3"/>
        </w:numPr>
        <w:spacing w:after="80" w:line="276"/>
      </w:pPr>
      <w:r>
        <w:rPr>
          <w:rFonts w:ascii="Calibri" w:cs="Calibri" w:eastAsia="Calibri" w:hAnsi="Calibri"/>
          <w:b/>
          <w:bCs/>
        </w:rPr>
        <w:t xml:space="preserve">What may be excluded?</w:t>
      </w:r>
      <w:r>
        <w:rPr>
          <w:rFonts w:ascii="Calibri" w:cs="Calibri" w:eastAsia="Calibri" w:hAnsi="Calibri"/>
        </w:rPr>
        <w:t xml:space="preserve"> Nothing by default; anything by review — under the exclusion protocol of Part VIII.</w:t>
      </w:r>
    </w:p>
    <w:p>
      <w:pPr>
        <w:spacing w:after="140" w:before="0" w:line="276"/>
      </w:pPr>
      <w:r>
        <w:rPr>
          <w:rFonts w:ascii="Calibri" w:cs="Calibri" w:eastAsia="Calibri" w:hAnsi="Calibri"/>
        </w:rPr>
        <w:t xml:space="preserve">The Charter sits </w:t>
      </w:r>
      <w:r>
        <w:rPr>
          <w:rFonts w:ascii="Calibri" w:cs="Calibri" w:eastAsia="Calibri" w:hAnsi="Calibri"/>
          <w:b/>
          <w:bCs/>
        </w:rPr>
        <w:t xml:space="preserve">upstream</w:t>
      </w:r>
      <w:r>
        <w:rPr>
          <w:rFonts w:ascii="Calibri" w:cs="Calibri" w:eastAsia="Calibri" w:hAnsi="Calibri"/>
        </w:rPr>
        <w:t xml:space="preserve"> of the operational response layers. It governs what enters the informational field and what that information is eligible to support. What an admitted event is permitted to trigger downstream — contingency, escalation, cascade — is governed separately by the Universal Event Consequence Protocol (UECP), and durable change is governed by the Adaptation and Evolutionary Protocols.</w:t>
      </w:r>
    </w:p>
    <w:p>
      <w:pPr>
        <w:pBdr>
          <w:left w:val="single" w:color="01696F" w:sz="12" w:space="12"/>
        </w:pBdr>
        <w:spacing w:after="160" w:before="60" w:line="276"/>
        <w:ind w:left="480" w:right="480"/>
      </w:pPr>
      <w:r>
        <w:rPr>
          <w:rFonts w:ascii="Calibri" w:cs="Calibri" w:eastAsia="Calibri" w:hAnsi="Calibri"/>
          <w:i/>
          <w:iCs/>
          <w:color w:val="3D3A33"/>
        </w:rPr>
        <w:t xml:space="preserve">The governing formula: </w:t>
      </w:r>
      <w:r>
        <w:rPr>
          <w:rFonts w:ascii="Calibri" w:cs="Calibri" w:eastAsia="Calibri" w:hAnsi="Calibri"/>
          <w:b/>
          <w:bCs/>
          <w:i/>
          <w:iCs/>
          <w:color w:val="3D3A33"/>
        </w:rPr>
        <w:t xml:space="preserve">Information may enter consideration by default. Information may be used only according to classification, purpose, and authority. Information may be excluded only through review.</w:t>
      </w:r>
    </w:p>
    <w:p>
      <w:pPr>
        <w:pStyle w:val="Heading1"/>
        <w:pageBreakBefore/>
        <w:spacing w:after="160" w:before="240"/>
      </w:pPr>
      <w:r>
        <w:rPr>
          <w:rFonts w:ascii="Calibri" w:cs="Calibri" w:eastAsia="Calibri" w:hAnsi="Calibri"/>
          <w:b/>
          <w:bCs/>
          <w:color w:val="01696F"/>
          <w:sz w:val="32"/>
          <w:szCs w:val="32"/>
        </w:rPr>
        <w:t xml:space="preserve">Part II — Definitions</w:t>
      </w:r>
    </w:p>
    <w:p>
      <w:pPr>
        <w:spacing w:after="140" w:before="0" w:line="276"/>
      </w:pPr>
      <w:r>
        <w:rPr>
          <w:rFonts w:ascii="Calibri" w:cs="Calibri" w:eastAsia="Calibri" w:hAnsi="Calibri"/>
        </w:rPr>
        <w:t xml:space="preserve">Terms not defined here retain their meaning from prior ratified canon (TECP/BTEC, UECP, ONESTAMP, AIDR)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Term</w:t>
            </w:r>
          </w:p>
        </w:tc>
        <w:tc>
          <w:tcPr>
            <w:tcW w:type="dxa" w:w="68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Definition</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Admission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entry of an item of information into the system’s field of consideration. Admission implies neither storage, nor use, nor belief in the item’s accuracy.</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Collection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active acquisition of information from any observable, reportable, derivable, or inferable source.</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Classification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assignment of domain, status, confidence, sensitivity, and relational-distance values to an admitted item.</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Retention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Continued storage of admitted information beyond the moment of acquisition.</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Correlation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linking of an item to other held information, subjects, events, or models.</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Utilization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Any operational, analytical, protective, adaptive, or evolutionary application of admitted information.</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Dissemination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Transmission of information or derivatives beyond its current compartment.</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Evolutionary incorporation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Use of information to produce durable change in a system’s rules, structure, or capabilities — as distinct from a single response.</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Exclusion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 formally reviewed, recorded, and scoped restriction on one or more handling authorities for specified information.</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Reviewing authority</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party empowered to grant, deny, or modify an exclusion. Ultimate authority for all three entities rests with the Architect under ONESTAMP; delegation is possible but never presumed (Part IX).</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Latent information</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Admitted information with no presently identified application whose future significance remains plausible.</w:t>
            </w:r>
          </w:p>
        </w:tc>
      </w:tr>
      <w:tr>
        <w:trPr>
          <w:cantSplit/>
        </w:trPr>
        <w:tc>
          <w:tcPr>
            <w:tcW w:type="dxa" w:w="2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Relational distance</w:t>
            </w:r>
          </w:p>
        </w:tc>
        <w:tc>
          <w:tcPr>
            <w:tcW w:type="dxa" w:w="6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 weighting value describing how directly an item concerns a subject, system, or objective. It affects processing, never eligibility.</w:t>
            </w:r>
          </w:p>
        </w:tc>
      </w:tr>
    </w:tbl>
    <w:p>
      <w:pPr>
        <w:pStyle w:val="Heading1"/>
        <w:pageBreakBefore/>
        <w:spacing w:after="160" w:before="240"/>
      </w:pPr>
      <w:r>
        <w:rPr>
          <w:rFonts w:ascii="Calibri" w:cs="Calibri" w:eastAsia="Calibri" w:hAnsi="Calibri"/>
          <w:b/>
          <w:bCs/>
          <w:color w:val="01696F"/>
          <w:sz w:val="32"/>
          <w:szCs w:val="32"/>
        </w:rPr>
        <w:t xml:space="preserve">Part III — Foundational Principles</w:t>
      </w:r>
    </w:p>
    <w:p>
      <w:pPr>
        <w:pStyle w:val="Heading2"/>
        <w:spacing w:after="120" w:before="220"/>
      </w:pPr>
      <w:r>
        <w:rPr>
          <w:rFonts w:ascii="Calibri" w:cs="Calibri" w:eastAsia="Calibri" w:hAnsi="Calibri"/>
          <w:b/>
          <w:bCs/>
          <w:color w:val="28251D"/>
          <w:sz w:val="26"/>
          <w:szCs w:val="26"/>
        </w:rPr>
        <w:t xml:space="preserve">3.1 Universal Informational Consideration</w:t>
      </w:r>
    </w:p>
    <w:p>
      <w:pPr>
        <w:spacing w:after="140" w:before="0" w:line="276"/>
      </w:pPr>
      <w:r>
        <w:rPr>
          <w:rFonts w:ascii="Calibri" w:cs="Calibri" w:eastAsia="Calibri" w:hAnsi="Calibri"/>
        </w:rPr>
        <w:t xml:space="preserve">All information — signals, records, observations, absences, events, non-events, reported conditions, inferred conditions, thoughts and thought-state representations, actions, inactions, internal states, external states, anomalous phenomena, and presently unclassifiable material — may be submitted to the informational jurisdiction of the system. No information shall be denied preliminary consideration solely because its relevance, origin, relation, interpretability, verifiability, or immediate utility has not yet been established.</w:t>
      </w:r>
    </w:p>
    <w:p>
      <w:pPr>
        <w:pStyle w:val="Heading2"/>
        <w:spacing w:after="120" w:before="220"/>
      </w:pPr>
      <w:r>
        <w:rPr>
          <w:rFonts w:ascii="Calibri" w:cs="Calibri" w:eastAsia="Calibri" w:hAnsi="Calibri"/>
          <w:b/>
          <w:bCs/>
          <w:color w:val="28251D"/>
          <w:sz w:val="26"/>
          <w:szCs w:val="26"/>
        </w:rPr>
        <w:t xml:space="preserve">3.2 Relevance Is a Weight, Not a Gate</w:t>
      </w:r>
    </w:p>
    <w:p>
      <w:pPr>
        <w:spacing w:after="140" w:before="0" w:line="276"/>
      </w:pPr>
      <w:r>
        <w:rPr>
          <w:rFonts w:ascii="Calibri" w:cs="Calibri" w:eastAsia="Calibri" w:hAnsi="Calibri"/>
        </w:rPr>
        <w:t xml:space="preserve">An item’s connection to a subject, system, or objective affects its weighting and routing, never its eligibility. Something directly involving the subject can matter; something apparently unrelated can still be evaluated; a non-occurrence can matter; an unknown or hypothetical condition remains representable without being asserted as true.</w:t>
      </w:r>
    </w:p>
    <w:p>
      <w:pPr>
        <w:pStyle w:val="Heading2"/>
        <w:spacing w:after="120" w:before="220"/>
      </w:pPr>
      <w:r>
        <w:rPr>
          <w:rFonts w:ascii="Calibri" w:cs="Calibri" w:eastAsia="Calibri" w:hAnsi="Calibri"/>
          <w:b/>
          <w:bCs/>
          <w:color w:val="28251D"/>
          <w:sz w:val="26"/>
          <w:szCs w:val="26"/>
        </w:rPr>
        <w:t xml:space="preserve">3.3 Conditional Utilization</w:t>
      </w:r>
    </w:p>
    <w:p>
      <w:pPr>
        <w:spacing w:after="140" w:before="0" w:line="276"/>
      </w:pPr>
      <w:r>
        <w:rPr>
          <w:rFonts w:ascii="Calibri" w:cs="Calibri" w:eastAsia="Calibri" w:hAnsi="Calibri"/>
        </w:rPr>
        <w:t xml:space="preserve">Admission into consideration does not itself authorize unrestricted access, action, dissemination, or permanent retention. Utilization is governed by classification, authorized purpose, and the separated authority grants of Part VII.</w:t>
      </w:r>
    </w:p>
    <w:p>
      <w:pPr>
        <w:pStyle w:val="Heading2"/>
        <w:spacing w:after="120" w:before="220"/>
      </w:pPr>
      <w:r>
        <w:rPr>
          <w:rFonts w:ascii="Calibri" w:cs="Calibri" w:eastAsia="Calibri" w:hAnsi="Calibri"/>
          <w:b/>
          <w:bCs/>
          <w:color w:val="28251D"/>
          <w:sz w:val="26"/>
          <w:szCs w:val="26"/>
        </w:rPr>
        <w:t xml:space="preserve">3.4 Separation of Knowing, Using, and Becoming</w:t>
      </w:r>
    </w:p>
    <w:p>
      <w:pPr>
        <w:spacing w:after="140" w:before="0" w:line="276"/>
      </w:pPr>
      <w:r>
        <w:rPr>
          <w:rFonts w:ascii="Calibri" w:cs="Calibri" w:eastAsia="Calibri" w:hAnsi="Calibri"/>
        </w:rPr>
        <w:t xml:space="preserve">The ability to hold or represent information does not grant the authority to act on it; the authority to act on it does not grant the authority to incorporate it into evolutionary development. A system may be permitted to </w:t>
      </w:r>
      <w:r>
        <w:rPr>
          <w:rFonts w:ascii="Calibri" w:cs="Calibri" w:eastAsia="Calibri" w:hAnsi="Calibri"/>
          <w:b/>
          <w:bCs/>
        </w:rPr>
        <w:t xml:space="preserve">know</w:t>
      </w:r>
      <w:r>
        <w:rPr>
          <w:rFonts w:ascii="Calibri" w:cs="Calibri" w:eastAsia="Calibri" w:hAnsi="Calibri"/>
        </w:rPr>
        <w:t xml:space="preserve"> something it may not </w:t>
      </w:r>
      <w:r>
        <w:rPr>
          <w:rFonts w:ascii="Calibri" w:cs="Calibri" w:eastAsia="Calibri" w:hAnsi="Calibri"/>
          <w:b/>
          <w:bCs/>
        </w:rPr>
        <w:t xml:space="preserve">use</w:t>
      </w:r>
      <w:r>
        <w:rPr>
          <w:rFonts w:ascii="Calibri" w:cs="Calibri" w:eastAsia="Calibri" w:hAnsi="Calibri"/>
        </w:rPr>
        <w:t xml:space="preserve">, and to </w:t>
      </w:r>
      <w:r>
        <w:rPr>
          <w:rFonts w:ascii="Calibri" w:cs="Calibri" w:eastAsia="Calibri" w:hAnsi="Calibri"/>
          <w:b/>
          <w:bCs/>
        </w:rPr>
        <w:t xml:space="preserve">use</w:t>
      </w:r>
      <w:r>
        <w:rPr>
          <w:rFonts w:ascii="Calibri" w:cs="Calibri" w:eastAsia="Calibri" w:hAnsi="Calibri"/>
        </w:rPr>
        <w:t xml:space="preserve"> something it may not </w:t>
      </w:r>
      <w:r>
        <w:rPr>
          <w:rFonts w:ascii="Calibri" w:cs="Calibri" w:eastAsia="Calibri" w:hAnsi="Calibri"/>
          <w:b/>
          <w:bCs/>
        </w:rPr>
        <w:t xml:space="preserve">become</w:t>
      </w:r>
      <w:r>
        <w:rPr>
          <w:rFonts w:ascii="Calibri" w:cs="Calibri" w:eastAsia="Calibri" w:hAnsi="Calibri"/>
        </w:rPr>
        <w:t xml:space="preserve">.</w:t>
      </w:r>
    </w:p>
    <w:p>
      <w:pPr>
        <w:pStyle w:val="Heading2"/>
        <w:spacing w:after="120" w:before="220"/>
      </w:pPr>
      <w:r>
        <w:rPr>
          <w:rFonts w:ascii="Calibri" w:cs="Calibri" w:eastAsia="Calibri" w:hAnsi="Calibri"/>
          <w:b/>
          <w:bCs/>
          <w:color w:val="28251D"/>
          <w:sz w:val="26"/>
          <w:szCs w:val="26"/>
        </w:rPr>
        <w:t xml:space="preserve">3.5 Retrospective and Latent Relevance</w:t>
      </w:r>
    </w:p>
    <w:p>
      <w:pPr>
        <w:spacing w:after="140" w:before="0" w:line="276"/>
      </w:pPr>
      <w:r>
        <w:rPr>
          <w:rFonts w:ascii="Calibri" w:cs="Calibri" w:eastAsia="Calibri" w:hAnsi="Calibri"/>
        </w:rPr>
        <w:t xml:space="preserve">Information shall not be deemed permanently irrelevant merely because no application is identified at acquisition. Later events, capabilities, discoveries, or ontology expansions may alter the significance of previously admitted material, which is why Latent status exists (Part V).</w:t>
      </w:r>
    </w:p>
    <w:p>
      <w:pPr>
        <w:pStyle w:val="Heading2"/>
        <w:spacing w:after="120" w:before="220"/>
      </w:pPr>
      <w:r>
        <w:rPr>
          <w:rFonts w:ascii="Calibri" w:cs="Calibri" w:eastAsia="Calibri" w:hAnsi="Calibri"/>
          <w:b/>
          <w:bCs/>
          <w:color w:val="28251D"/>
          <w:sz w:val="26"/>
          <w:szCs w:val="26"/>
        </w:rPr>
        <w:t xml:space="preserve">3.6 Review-Bound Exclusion</w:t>
      </w:r>
    </w:p>
    <w:p>
      <w:pPr>
        <w:spacing w:after="140" w:before="0" w:line="276"/>
      </w:pPr>
      <w:r>
        <w:rPr>
          <w:rFonts w:ascii="Calibri" w:cs="Calibri" w:eastAsia="Calibri" w:hAnsi="Calibri"/>
        </w:rPr>
        <w:t xml:space="preserve">Exclusion, suppression, sealing, compartmentalization, disposal, or denial of operational use never arises automatically from presumed irrelevance, unfamiliarity, inconvenience, or present lack of utility. Exclusion is an affirmative, documented, scoped determination made through review (Part VIII).</w:t>
      </w:r>
    </w:p>
    <w:p>
      <w:pPr>
        <w:pStyle w:val="Heading2"/>
        <w:spacing w:after="120" w:before="220"/>
      </w:pPr>
      <w:r>
        <w:rPr>
          <w:rFonts w:ascii="Calibri" w:cs="Calibri" w:eastAsia="Calibri" w:hAnsi="Calibri"/>
          <w:b/>
          <w:bCs/>
          <w:color w:val="28251D"/>
          <w:sz w:val="26"/>
          <w:szCs w:val="26"/>
        </w:rPr>
        <w:t xml:space="preserve">3.7 Proportionality</w:t>
      </w:r>
    </w:p>
    <w:p>
      <w:pPr>
        <w:spacing w:after="140" w:before="0" w:line="276"/>
      </w:pPr>
      <w:r>
        <w:rPr>
          <w:rFonts w:ascii="Calibri" w:cs="Calibri" w:eastAsia="Calibri" w:hAnsi="Calibri"/>
        </w:rPr>
        <w:t xml:space="preserve">The depth of collection, analysis, retention, dissemination, and response remains proportionate to an item’s classification, confidence, potential impact, and authorized purpose — not to the theoretical maximum this Charter permits.</w:t>
      </w:r>
    </w:p>
    <w:p>
      <w:pPr>
        <w:pStyle w:val="Heading2"/>
        <w:spacing w:after="120" w:before="220"/>
      </w:pPr>
      <w:r>
        <w:rPr>
          <w:rFonts w:ascii="Calibri" w:cs="Calibri" w:eastAsia="Calibri" w:hAnsi="Calibri"/>
          <w:b/>
          <w:bCs/>
          <w:color w:val="28251D"/>
          <w:sz w:val="26"/>
          <w:szCs w:val="26"/>
        </w:rPr>
        <w:t xml:space="preserve">3.8 Auditability</w:t>
      </w:r>
    </w:p>
    <w:p>
      <w:pPr>
        <w:spacing w:after="140" w:before="0" w:line="276"/>
      </w:pPr>
      <w:r>
        <w:rPr>
          <w:rFonts w:ascii="Calibri" w:cs="Calibri" w:eastAsia="Calibri" w:hAnsi="Calibri"/>
        </w:rPr>
        <w:t xml:space="preserve">Every consequential determination — restricted status, exclusion, evolutionary incorporation, new purpose-family recognition — must leave a review record naming the authority, rationale, scope, and reassessment condition. A determination without a record is invalid under this Charter.</w:t>
      </w:r>
    </w:p>
    <w:p>
      <w:pPr>
        <w:pStyle w:val="Heading1"/>
        <w:pageBreakBefore/>
        <w:spacing w:after="160" w:before="240"/>
      </w:pPr>
      <w:r>
        <w:rPr>
          <w:rFonts w:ascii="Calibri" w:cs="Calibri" w:eastAsia="Calibri" w:hAnsi="Calibri"/>
          <w:b/>
          <w:bCs/>
          <w:color w:val="01696F"/>
          <w:sz w:val="32"/>
          <w:szCs w:val="32"/>
        </w:rPr>
        <w:t xml:space="preserve">Part IV — Scope of Collection: The Admissible Domain</w:t>
      </w:r>
    </w:p>
    <w:p>
      <w:pPr>
        <w:spacing w:after="140" w:before="0" w:line="276"/>
      </w:pPr>
      <w:r>
        <w:rPr>
          <w:rFonts w:ascii="Calibri" w:cs="Calibri" w:eastAsia="Calibri" w:hAnsi="Calibri"/>
        </w:rPr>
        <w:t xml:space="preserve">The admissible information domain is intentionally total within the ontological scope recognized by TECP/BTEC. The classes below are illustrative, not exhaustive; an item that fits no class remains eligible under Unclassified status rather than being discarded because the ontology is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Class</w:t>
            </w:r>
          </w:p>
        </w:tc>
        <w:tc>
          <w:tcPr>
            <w:tcW w:type="dxa" w:w="69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Description</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Cognitive</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Thoughts, intentions, beliefs, interpretations, anticipations, misunderstandings, memories, and other representable cognitive states, within the system’s admissible means of observation or representation.</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Behavioral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Actions, communications, interventions, refusals, observations, interactions, and deliberate non-actions.</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State</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Conditions that exist or persist, whether stable or degrading.</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Transitional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Changes from one state to another, including partial, interrupted, or reversed transitions.</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Null / Absence</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Expected events that fail to occur, missing signals, absent conditions, silence, delay, and non-response.</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Counter-event</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inverse or opposite of another recognized event, per BTEC directional closure.</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Relational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directly or indirectly connected to a subject, entity, objective, or governed system.</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Non-relational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with no presently identified connection to any subject or objective. Non-relation affects weighting only.</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Environmental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Changes, stabilities, patterns, and anomalies arising in the surrounding context, agent-driven or not.</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Exogenous</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originating beyond the defined system boundary but capable of affecting interpretation or planning.</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Meta-systemic</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that change rules, definitions, categories, permissions, or the interpretation of other information.</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Derived / Inferred</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generated through correlation, modeling, synthesis, inference, or reconstruction rather than direct intake. Provenance must remain distinguishable from observation.</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Historical / Archival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Prior observations, decisions, outcomes, and system states preserved for continuity, evidence, or future learning.</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Unclassified</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that cannot presently be placed in an existing category. The ontology must never become the instrument of exclusion.</w:t>
            </w:r>
          </w:p>
        </w:tc>
      </w:tr>
      <w:tr>
        <w:trPr>
          <w:cantSplit/>
        </w:trPr>
        <w:tc>
          <w:tcPr>
            <w:tcW w:type="dxa" w:w="24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Hypothetical / Extra-ontological</w:t>
            </w:r>
          </w:p>
        </w:tc>
        <w:tc>
          <w:tcPr>
            <w:tcW w:type="dxa" w:w="69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Items represented for simulation, foresight, or testing of phenomena assumed to fall outside the current ontology. Representation is not assertion.</w:t>
            </w:r>
          </w:p>
        </w:tc>
      </w:tr>
    </w:tbl>
    <w:p>
      <w:pPr>
        <w:spacing w:after="160"/>
      </w:pPr>
    </w:p>
    <w:p>
      <w:pPr>
        <w:pBdr>
          <w:left w:val="single" w:color="01696F" w:sz="12" w:space="12"/>
        </w:pBdr>
        <w:spacing w:after="160" w:before="60" w:line="276"/>
        <w:ind w:left="480" w:right="480"/>
      </w:pPr>
      <w:r>
        <w:rPr>
          <w:rFonts w:ascii="Calibri" w:cs="Calibri" w:eastAsia="Calibri" w:hAnsi="Calibri"/>
          <w:b/>
          <w:bCs/>
          <w:i/>
          <w:iCs/>
          <w:color w:val="3D3A33"/>
        </w:rPr>
        <w:t xml:space="preserve">Admission rule:</w:t>
      </w:r>
      <w:r>
        <w:rPr>
          <w:rFonts w:ascii="Calibri" w:cs="Calibri" w:eastAsia="Calibri" w:hAnsi="Calibri"/>
          <w:i/>
          <w:iCs/>
          <w:color w:val="3D3A33"/>
        </w:rPr>
        <w:t xml:space="preserve"> No item is rejected solely because it lacks an obvious relationship to the subject, the system, an objective, or an initiating condition. Relevance is assessed after admission.</w:t>
      </w:r>
    </w:p>
    <w:p>
      <w:pPr>
        <w:pStyle w:val="Heading1"/>
        <w:pageBreakBefore/>
        <w:spacing w:after="160" w:before="240"/>
      </w:pPr>
      <w:r>
        <w:rPr>
          <w:rFonts w:ascii="Calibri" w:cs="Calibri" w:eastAsia="Calibri" w:hAnsi="Calibri"/>
          <w:b/>
          <w:bCs/>
          <w:color w:val="01696F"/>
          <w:sz w:val="32"/>
          <w:szCs w:val="32"/>
        </w:rPr>
        <w:t xml:space="preserve">Part V — Information Status Classification</w:t>
      </w:r>
    </w:p>
    <w:p>
      <w:pPr>
        <w:spacing w:after="140" w:before="0" w:line="276"/>
      </w:pPr>
      <w:r>
        <w:rPr>
          <w:rFonts w:ascii="Calibri" w:cs="Calibri" w:eastAsia="Calibri" w:hAnsi="Calibri"/>
        </w:rPr>
        <w:t xml:space="preserve">Admitted information is never forced into a binary of “important” or “irrelevant.” Each item carries a status governing what may presently be done with it. Status is reassessable; nothing here is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cantSplit/>
          <w:tblHeader/>
        </w:trPr>
        <w:tc>
          <w:tcPr>
            <w:tcW w:type="dxa" w:w="15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Status</w:t>
            </w:r>
          </w:p>
        </w:tc>
        <w:tc>
          <w:tcPr>
            <w:tcW w:type="dxa" w:w="40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Meaning</w:t>
            </w:r>
          </w:p>
        </w:tc>
        <w:tc>
          <w:tcPr>
            <w:tcW w:type="dxa" w:w="38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Default Handling</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Active</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Verified or sufficiently supported; presently relevant to an authorized purpose</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Authorized operational use within assigned authority</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Provisional</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Plausible but incomplete or uncorroborated</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Preservation, monitoring, limited analysis, corroboration</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Latent</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No present use identified; future significance plausible</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Secure retention with scheduled or event-driven reassessment</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Restricted</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Sensitive, hazardous, private, destabilizing, or access-limited</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Compartmentalized, need-to-know handling with explicit use controls</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Anomalous</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Does not fit existing models or categories</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Quarantine where appropriate; specialist and ontology review</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Contested</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Contradictory, disputed, or of uncertain reliability</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Confidence labeling; corroboration before operational use</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Archived</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Retained for continuity, evidence, lineage, or future learning</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Limited retrieval under authority and retention rules</w:t>
            </w:r>
          </w:p>
        </w:tc>
      </w:tr>
      <w:tr>
        <w:trPr>
          <w:cantSplit/>
        </w:trPr>
        <w:tc>
          <w:tcPr>
            <w:tcW w:type="dxa" w:w="15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Excluded</w:t>
            </w:r>
          </w:p>
        </w:tc>
        <w:tc>
          <w:tcPr>
            <w:tcW w:type="dxa" w:w="40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Formally removed from one or more handling authorities by review</w:t>
            </w:r>
          </w:p>
        </w:tc>
        <w:tc>
          <w:tcPr>
            <w:tcW w:type="dxa" w:w="38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Handling governed entirely by the approved exclusion record (Part VIII)</w:t>
            </w:r>
          </w:p>
        </w:tc>
      </w:tr>
    </w:tbl>
    <w:p>
      <w:pPr>
        <w:spacing w:after="160"/>
      </w:pPr>
    </w:p>
    <w:p>
      <w:pPr>
        <w:spacing w:after="140" w:before="0" w:line="276"/>
      </w:pPr>
      <w:r>
        <w:rPr>
          <w:rFonts w:ascii="Calibri" w:cs="Calibri" w:eastAsia="Calibri" w:hAnsi="Calibri"/>
          <w:b/>
          <w:bCs/>
        </w:rPr>
        <w:t xml:space="preserve">Latent status is load-bearing.</w:t>
      </w:r>
      <w:r>
        <w:rPr>
          <w:rFonts w:ascii="Calibri" w:cs="Calibri" w:eastAsia="Calibri" w:hAnsi="Calibri"/>
        </w:rPr>
        <w:t xml:space="preserve"> It gives the architecture an honest, bounded place for information that has no current application without ever declaring the information permanently irrelevant — which a system designed to evolve can never truthfully declare.</w:t>
      </w:r>
    </w:p>
    <w:p>
      <w:pPr>
        <w:pStyle w:val="Heading1"/>
        <w:pageBreakBefore/>
        <w:spacing w:after="160" w:before="240"/>
      </w:pPr>
      <w:r>
        <w:rPr>
          <w:rFonts w:ascii="Calibri" w:cs="Calibri" w:eastAsia="Calibri" w:hAnsi="Calibri"/>
          <w:b/>
          <w:bCs/>
          <w:color w:val="01696F"/>
          <w:sz w:val="32"/>
          <w:szCs w:val="32"/>
        </w:rPr>
        <w:t xml:space="preserve">Part VI — Authorized Utilization: Purpose Families</w:t>
      </w:r>
    </w:p>
    <w:p>
      <w:pPr>
        <w:spacing w:after="140" w:before="0" w:line="276"/>
      </w:pPr>
      <w:r>
        <w:rPr>
          <w:rFonts w:ascii="Calibri" w:cs="Calibri" w:eastAsia="Calibri" w:hAnsi="Calibri"/>
        </w:rPr>
        <w:t xml:space="preserve">“Various purposes” is replaced with named purpose families. The list is open — new families may be recognized without amending this Charter — but every newly recognized family must be logged so the growth of authorized uses remains traceable (Part III,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Purpose Family</w:t>
            </w:r>
          </w:p>
        </w:tc>
        <w:tc>
          <w:tcPr>
            <w:tcW w:type="dxa" w:w="62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Function</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Continuity and Memory</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Maintain system integrity, institutional memory, historical record, and decision lineage across changing system states.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Protective Assessment</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Detect threats, vulnerabilities, contradictions, manipulation, failures, and destabilizing conditions.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Contingency Development</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Construct, test, and revise conditional response pathways before escalation is required.</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Escalation / De-escalation Calibration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Adjust the magnitude, scope, priority, persistence, or direction of authorized responses.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Adaptation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Adjust weights, thresholds, classifications, and response rules based on evaluated outcomes.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Improvement</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Refine accuracy, resilience, efficiency, safeguards, and resource allocation without structural change.</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Evolutionary Development</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Create durable new capabilities, structures, interpretive models, or system states — subject to elevated review (Part VII).</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Prediction and Modeling</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Build simulations, forecasts, scenario branches, and comparative models.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Forensic Reconstruction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Determine what occurred, what failed to occur, what changed, when, and why.</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Ontology Expansion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Recognize when material requires a new category, classification, or framework.</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Preservation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Retain records and knowledge that may matter to future systems, entities, or eras.</w:t>
            </w:r>
          </w:p>
        </w:tc>
      </w:tr>
      <w:tr>
        <w:trPr>
          <w:cantSplit/>
        </w:trPr>
        <w:tc>
          <w:tcPr>
            <w:tcW w:type="dxa" w:w="31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Capability Evaluation</w:t>
            </w:r>
          </w:p>
        </w:tc>
        <w:tc>
          <w:tcPr>
            <w:tcW w:type="dxa" w:w="62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Test whether existing or proposed functions operate as intended and whether capabilities should be developed, limited, or retired.</w:t>
            </w:r>
          </w:p>
        </w:tc>
      </w:tr>
    </w:tbl>
    <w:p>
      <w:pPr>
        <w:spacing w:after="160"/>
      </w:pPr>
    </w:p>
    <w:p>
      <w:pPr>
        <w:spacing w:after="140" w:before="0" w:line="276"/>
      </w:pPr>
      <w:r>
        <w:rPr>
          <w:rFonts w:ascii="Calibri" w:cs="Calibri" w:eastAsia="Calibri" w:hAnsi="Calibri"/>
        </w:rPr>
        <w:t xml:space="preserve">Admission and classification establish only </w:t>
      </w:r>
      <w:r>
        <w:rPr>
          <w:rFonts w:ascii="Calibri" w:cs="Calibri" w:eastAsia="Calibri" w:hAnsi="Calibri"/>
          <w:b/>
          <w:bCs/>
        </w:rPr>
        <w:t xml:space="preserve">eligibility</w:t>
      </w:r>
      <w:r>
        <w:rPr>
          <w:rFonts w:ascii="Calibri" w:cs="Calibri" w:eastAsia="Calibri" w:hAnsi="Calibri"/>
        </w:rPr>
        <w:t xml:space="preserve"> for these uses. A specific use must still be authorized under the invoking entity’s operating rules; this Charter grants no blanket standing authorization of every use against every item at all times.</w:t>
      </w:r>
    </w:p>
    <w:p>
      <w:pPr>
        <w:pStyle w:val="Heading1"/>
        <w:pageBreakBefore/>
        <w:spacing w:after="160" w:before="240"/>
      </w:pPr>
      <w:r>
        <w:rPr>
          <w:rFonts w:ascii="Calibri" w:cs="Calibri" w:eastAsia="Calibri" w:hAnsi="Calibri"/>
          <w:b/>
          <w:bCs/>
          <w:color w:val="01696F"/>
          <w:sz w:val="32"/>
          <w:szCs w:val="32"/>
        </w:rPr>
        <w:t xml:space="preserve">Part VII — Separation of Authorities</w:t>
      </w:r>
    </w:p>
    <w:p>
      <w:pPr>
        <w:spacing w:after="140" w:before="0" w:line="276"/>
      </w:pPr>
      <w:r>
        <w:rPr>
          <w:rFonts w:ascii="Calibri" w:cs="Calibri" w:eastAsia="Calibri" w:hAnsi="Calibri"/>
        </w:rPr>
        <w:t xml:space="preserve">Collection authority and utilization authority are separate grants. This Charter maintains four core decision domains, each of which may be granted, limited, or denied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Domain</w:t>
            </w:r>
          </w:p>
        </w:tc>
        <w:tc>
          <w:tcPr>
            <w:tcW w:type="dxa" w:w="373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Governing Question</w:t>
            </w:r>
          </w:p>
        </w:tc>
        <w:tc>
          <w:tcPr>
            <w:tcW w:type="dxa" w:w="373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Default Under This Charter</w:t>
            </w:r>
          </w:p>
        </w:tc>
      </w:tr>
      <w:tr>
        <w:trPr>
          <w:cantSplit/>
        </w:trPr>
        <w:tc>
          <w:tcPr>
            <w:tcW w:type="dxa" w:w="1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Admissibility</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May the information enter consideration?</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Yes, universally (Part IV)</w:t>
            </w:r>
          </w:p>
        </w:tc>
      </w:tr>
      <w:tr>
        <w:trPr>
          <w:cantSplit/>
        </w:trPr>
        <w:tc>
          <w:tcPr>
            <w:tcW w:type="dxa" w:w="1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Utilization</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For which purposes may it be applied?</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Authorized purpose families only (Part VI)</w:t>
            </w:r>
          </w:p>
        </w:tc>
      </w:tr>
      <w:tr>
        <w:trPr>
          <w:cantSplit/>
        </w:trPr>
        <w:tc>
          <w:tcPr>
            <w:tcW w:type="dxa" w:w="1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Authorization</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Who approves depth, access, and consequence?</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ONESTAMP authority; delegation explicit only</w:t>
            </w:r>
          </w:p>
        </w:tc>
      </w:tr>
      <w:tr>
        <w:trPr>
          <w:cantSplit/>
        </w:trPr>
        <w:tc>
          <w:tcPr>
            <w:tcW w:type="dxa" w:w="1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Exclusion</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May any handling be withheld?</w:t>
            </w:r>
          </w:p>
        </w:tc>
        <w:tc>
          <w:tcPr>
            <w:tcW w:type="dxa" w:w="373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Only through documented review (Part VIII)</w:t>
            </w:r>
          </w:p>
        </w:tc>
      </w:tr>
    </w:tbl>
    <w:p>
      <w:pPr>
        <w:spacing w:after="160"/>
      </w:pPr>
    </w:p>
    <w:p>
      <w:pPr>
        <w:spacing w:after="140" w:before="0" w:line="276"/>
      </w:pPr>
      <w:r>
        <w:rPr>
          <w:rFonts w:ascii="Calibri" w:cs="Calibri" w:eastAsia="Calibri" w:hAnsi="Calibri"/>
        </w:rPr>
        <w:t xml:space="preserve">Within the Utilization domain, finer-grained authority grants apply where operational precision requires them: </w:t>
      </w:r>
      <w:r>
        <w:rPr>
          <w:rFonts w:ascii="Calibri" w:cs="Calibri" w:eastAsia="Calibri" w:hAnsi="Calibri"/>
          <w:b/>
          <w:bCs/>
        </w:rPr>
        <w:t xml:space="preserve">collection</w:t>
      </w:r>
      <w:r>
        <w:rPr>
          <w:rFonts w:ascii="Calibri" w:cs="Calibri" w:eastAsia="Calibri" w:hAnsi="Calibri"/>
        </w:rPr>
        <w:t xml:space="preserve">, </w:t>
      </w:r>
      <w:r>
        <w:rPr>
          <w:rFonts w:ascii="Calibri" w:cs="Calibri" w:eastAsia="Calibri" w:hAnsi="Calibri"/>
          <w:b/>
          <w:bCs/>
        </w:rPr>
        <w:t xml:space="preserve">retention</w:t>
      </w:r>
      <w:r>
        <w:rPr>
          <w:rFonts w:ascii="Calibri" w:cs="Calibri" w:eastAsia="Calibri" w:hAnsi="Calibri"/>
        </w:rPr>
        <w:t xml:space="preserve">, </w:t>
      </w:r>
      <w:r>
        <w:rPr>
          <w:rFonts w:ascii="Calibri" w:cs="Calibri" w:eastAsia="Calibri" w:hAnsi="Calibri"/>
          <w:b/>
          <w:bCs/>
        </w:rPr>
        <w:t xml:space="preserve">access</w:t>
      </w:r>
      <w:r>
        <w:rPr>
          <w:rFonts w:ascii="Calibri" w:cs="Calibri" w:eastAsia="Calibri" w:hAnsi="Calibri"/>
        </w:rPr>
        <w:t xml:space="preserve">, </w:t>
      </w:r>
      <w:r>
        <w:rPr>
          <w:rFonts w:ascii="Calibri" w:cs="Calibri" w:eastAsia="Calibri" w:hAnsi="Calibri"/>
          <w:b/>
          <w:bCs/>
        </w:rPr>
        <w:t xml:space="preserve">correlation</w:t>
      </w:r>
      <w:r>
        <w:rPr>
          <w:rFonts w:ascii="Calibri" w:cs="Calibri" w:eastAsia="Calibri" w:hAnsi="Calibri"/>
        </w:rPr>
        <w:t xml:space="preserve">, </w:t>
      </w:r>
      <w:r>
        <w:rPr>
          <w:rFonts w:ascii="Calibri" w:cs="Calibri" w:eastAsia="Calibri" w:hAnsi="Calibri"/>
          <w:b/>
          <w:bCs/>
        </w:rPr>
        <w:t xml:space="preserve">analysis</w:t>
      </w:r>
      <w:r>
        <w:rPr>
          <w:rFonts w:ascii="Calibri" w:cs="Calibri" w:eastAsia="Calibri" w:hAnsi="Calibri"/>
        </w:rPr>
        <w:t xml:space="preserve">, </w:t>
      </w:r>
      <w:r>
        <w:rPr>
          <w:rFonts w:ascii="Calibri" w:cs="Calibri" w:eastAsia="Calibri" w:hAnsi="Calibri"/>
          <w:b/>
          <w:bCs/>
        </w:rPr>
        <w:t xml:space="preserve">operationalization</w:t>
      </w:r>
      <w:r>
        <w:rPr>
          <w:rFonts w:ascii="Calibri" w:cs="Calibri" w:eastAsia="Calibri" w:hAnsi="Calibri"/>
        </w:rPr>
        <w:t xml:space="preserve">, </w:t>
      </w:r>
      <w:r>
        <w:rPr>
          <w:rFonts w:ascii="Calibri" w:cs="Calibri" w:eastAsia="Calibri" w:hAnsi="Calibri"/>
          <w:b/>
          <w:bCs/>
        </w:rPr>
        <w:t xml:space="preserve">dissemination</w:t>
      </w:r>
      <w:r>
        <w:rPr>
          <w:rFonts w:ascii="Calibri" w:cs="Calibri" w:eastAsia="Calibri" w:hAnsi="Calibri"/>
        </w:rPr>
        <w:t xml:space="preserve">, </w:t>
      </w:r>
      <w:r>
        <w:rPr>
          <w:rFonts w:ascii="Calibri" w:cs="Calibri" w:eastAsia="Calibri" w:hAnsi="Calibri"/>
          <w:b/>
          <w:bCs/>
        </w:rPr>
        <w:t xml:space="preserve">propagation</w:t>
      </w:r>
      <w:r>
        <w:rPr>
          <w:rFonts w:ascii="Calibri" w:cs="Calibri" w:eastAsia="Calibri" w:hAnsi="Calibri"/>
        </w:rPr>
        <w:t xml:space="preserve">, and </w:t>
      </w:r>
      <w:r>
        <w:rPr>
          <w:rFonts w:ascii="Calibri" w:cs="Calibri" w:eastAsia="Calibri" w:hAnsi="Calibri"/>
          <w:b/>
          <w:bCs/>
        </w:rPr>
        <w:t xml:space="preserve">evolutionary integration</w:t>
      </w:r>
      <w:r>
        <w:rPr>
          <w:rFonts w:ascii="Calibri" w:cs="Calibri" w:eastAsia="Calibri" w:hAnsi="Calibri"/>
        </w:rPr>
        <w:t xml:space="preserve"> are each separable. A system may observe what it cannot store, store what it cannot link, link what it cannot act upon, and act upon what it may never allow to reshape what it becomes.</w:t>
      </w:r>
    </w:p>
    <w:p>
      <w:pPr>
        <w:pBdr>
          <w:left w:val="single" w:color="01696F" w:sz="12" w:space="12"/>
        </w:pBdr>
        <w:spacing w:after="160" w:before="60" w:line="276"/>
        <w:ind w:left="480" w:right="480"/>
      </w:pPr>
      <w:r>
        <w:rPr>
          <w:rFonts w:ascii="Calibri" w:cs="Calibri" w:eastAsia="Calibri" w:hAnsi="Calibri"/>
          <w:b/>
          <w:bCs/>
          <w:i/>
          <w:iCs/>
          <w:color w:val="3D3A33"/>
        </w:rPr>
        <w:t xml:space="preserve">Elevated review for evolution.</w:t>
      </w:r>
      <w:r>
        <w:rPr>
          <w:rFonts w:ascii="Calibri" w:cs="Calibri" w:eastAsia="Calibri" w:hAnsi="Calibri"/>
          <w:i/>
          <w:iCs/>
          <w:color w:val="3D3A33"/>
        </w:rPr>
        <w:t xml:space="preserve"> Evolutionary integration is the most consequential grant, because its effects are durable and heritable across future system states. It always requires review at the ONESTAMP level or its expressly designated delegate, and is never inferred from any lesser grant.</w:t>
      </w:r>
    </w:p>
    <w:p>
      <w:pPr>
        <w:pStyle w:val="Heading1"/>
        <w:pageBreakBefore/>
        <w:spacing w:after="160" w:before="240"/>
      </w:pPr>
      <w:r>
        <w:rPr>
          <w:rFonts w:ascii="Calibri" w:cs="Calibri" w:eastAsia="Calibri" w:hAnsi="Calibri"/>
          <w:b/>
          <w:bCs/>
          <w:color w:val="01696F"/>
          <w:sz w:val="32"/>
          <w:szCs w:val="32"/>
        </w:rPr>
        <w:t xml:space="preserve">Part VIII — Review-Bound Exclusion Protocol</w:t>
      </w:r>
    </w:p>
    <w:p>
      <w:pPr>
        <w:spacing w:after="140" w:before="0" w:line="276"/>
      </w:pPr>
      <w:r>
        <w:rPr>
          <w:rFonts w:ascii="Calibri" w:cs="Calibri" w:eastAsia="Calibri" w:hAnsi="Calibri"/>
        </w:rPr>
        <w:t xml:space="preserve">No information is self-excluding, and no category is presumptively withheld. Exclusion is available only through formal review and applies only to the tier or tiers expressly granted — exclusion at one tier implies nothing about any other tier. Until an exclusion is reviewed, approved, and recorded, the information remains admissible and available for authorized utilization.</w:t>
      </w:r>
    </w:p>
    <w:p>
      <w:pPr>
        <w:pStyle w:val="Heading2"/>
        <w:spacing w:after="120" w:before="220"/>
      </w:pPr>
      <w:r>
        <w:rPr>
          <w:rFonts w:ascii="Calibri" w:cs="Calibri" w:eastAsia="Calibri" w:hAnsi="Calibri"/>
          <w:b/>
          <w:bCs/>
          <w:color w:val="28251D"/>
          <w:sz w:val="26"/>
          <w:szCs w:val="26"/>
        </w:rPr>
        <w:t xml:space="preserve">8.1 Exclusion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cantSplit/>
          <w:tblHeader/>
        </w:trPr>
        <w:tc>
          <w:tcPr>
            <w:tcW w:type="dxa" w:w="7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Tier</w:t>
            </w:r>
          </w:p>
        </w:tc>
        <w:tc>
          <w:tcPr>
            <w:tcW w:type="dxa" w:w="32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Designation</w:t>
            </w:r>
          </w:p>
        </w:tc>
        <w:tc>
          <w:tcPr>
            <w:tcW w:type="dxa" w:w="54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Effect When Granted</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1</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Collection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may not be acquired at all.</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2</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Retention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may be observed but not stored beyond the approved limit.</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3</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Access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Specified roles, systems, or functions may not retrieve or inspect the information.</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4</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Correlation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may be retained but not linked to designated subjects, records, or domains.</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5</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Use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may exist in the system but may not be applied to specified purposes.</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6</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Dissemination / propagation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or its derivatives may not leave the approved compartment or enter downstream systems.</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7</w:t>
            </w:r>
          </w:p>
        </w:tc>
        <w:tc>
          <w:tcPr>
            <w:tcW w:type="dxa" w:w="32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Evolutionary exclusion</w:t>
            </w:r>
          </w:p>
        </w:tc>
        <w:tc>
          <w:tcPr>
            <w:tcW w:type="dxa" w:w="54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The information may be observed and used operationally but may never inform durable structural change to the system.</w:t>
            </w:r>
          </w:p>
        </w:tc>
      </w:tr>
    </w:tbl>
    <w:p>
      <w:pPr>
        <w:spacing w:after="160"/>
      </w:pPr>
    </w:p>
    <w:p>
      <w:pPr>
        <w:spacing w:after="140" w:before="0" w:line="276"/>
      </w:pPr>
      <w:r>
        <w:rPr>
          <w:rFonts w:ascii="Calibri" w:cs="Calibri" w:eastAsia="Calibri" w:hAnsi="Calibri"/>
        </w:rPr>
        <w:t xml:space="preserve">Tier 7 is deliberately distinct from Tier 5. “Know but do not evolve from” and “do not use at all” are radically different restrictions: a system may be fully permitted to act on an item in the moment while being barred from letting that item reshape what it becomes.</w:t>
      </w:r>
    </w:p>
    <w:p>
      <w:pPr>
        <w:pStyle w:val="Heading2"/>
        <w:spacing w:after="120" w:before="220"/>
      </w:pPr>
      <w:r>
        <w:rPr>
          <w:rFonts w:ascii="Calibri" w:cs="Calibri" w:eastAsia="Calibri" w:hAnsi="Calibri"/>
          <w:b/>
          <w:bCs/>
          <w:color w:val="28251D"/>
          <w:sz w:val="26"/>
          <w:szCs w:val="26"/>
        </w:rPr>
        <w:t xml:space="preserve">8.2 Minimum Exclusion Review Record</w:t>
      </w:r>
    </w:p>
    <w:p>
      <w:pPr>
        <w:spacing w:after="140" w:before="0" w:line="276"/>
      </w:pPr>
      <w:r>
        <w:rPr>
          <w:rFonts w:ascii="Calibri" w:cs="Calibri" w:eastAsia="Calibri" w:hAnsi="Calibri"/>
        </w:rPr>
        <w:t xml:space="preserve">Every granted exclusion must record all of the following. An exclusion without this record is not valid under this Charter:</w:t>
      </w:r>
    </w:p>
    <w:p>
      <w:pPr>
        <w:pStyle w:val="ListParagraph"/>
        <w:numPr>
          <w:ilvl w:val="0"/>
          <w:numId w:val="3"/>
        </w:numPr>
        <w:spacing w:after="80" w:line="276"/>
      </w:pPr>
      <w:r>
        <w:rPr>
          <w:rFonts w:ascii="Calibri" w:cs="Calibri" w:eastAsia="Calibri" w:hAnsi="Calibri"/>
        </w:rPr>
        <w:t xml:space="preserve">The information or category excluded</w:t>
      </w:r>
    </w:p>
    <w:p>
      <w:pPr>
        <w:pStyle w:val="ListParagraph"/>
        <w:numPr>
          <w:ilvl w:val="0"/>
          <w:numId w:val="3"/>
        </w:numPr>
        <w:spacing w:after="80" w:line="276"/>
      </w:pPr>
      <w:r>
        <w:rPr>
          <w:rFonts w:ascii="Calibri" w:cs="Calibri" w:eastAsia="Calibri" w:hAnsi="Calibri"/>
        </w:rPr>
        <w:t xml:space="preserve">The tier(s) granted and the specific handling withheld</w:t>
      </w:r>
    </w:p>
    <w:p>
      <w:pPr>
        <w:pStyle w:val="ListParagraph"/>
        <w:numPr>
          <w:ilvl w:val="0"/>
          <w:numId w:val="3"/>
        </w:numPr>
        <w:spacing w:after="80" w:line="276"/>
      </w:pPr>
      <w:r>
        <w:rPr>
          <w:rFonts w:ascii="Calibri" w:cs="Calibri" w:eastAsia="Calibri" w:hAnsi="Calibri"/>
        </w:rPr>
        <w:t xml:space="preserve">The reviewing authority and stated rationale</w:t>
      </w:r>
    </w:p>
    <w:p>
      <w:pPr>
        <w:pStyle w:val="ListParagraph"/>
        <w:numPr>
          <w:ilvl w:val="0"/>
          <w:numId w:val="3"/>
        </w:numPr>
        <w:spacing w:after="80" w:line="276"/>
      </w:pPr>
      <w:r>
        <w:rPr>
          <w:rFonts w:ascii="Calibri" w:cs="Calibri" w:eastAsia="Calibri" w:hAnsi="Calibri"/>
        </w:rPr>
        <w:t xml:space="preserve">The effective date or triggering condition</w:t>
      </w:r>
    </w:p>
    <w:p>
      <w:pPr>
        <w:pStyle w:val="ListParagraph"/>
        <w:numPr>
          <w:ilvl w:val="0"/>
          <w:numId w:val="3"/>
        </w:numPr>
        <w:spacing w:after="80" w:line="276"/>
      </w:pPr>
      <w:r>
        <w:rPr>
          <w:rFonts w:ascii="Calibri" w:cs="Calibri" w:eastAsia="Calibri" w:hAnsi="Calibri"/>
        </w:rPr>
        <w:t xml:space="preserve">The scope, duration, or expiration of the exclusion</w:t>
      </w:r>
    </w:p>
    <w:p>
      <w:pPr>
        <w:pStyle w:val="ListParagraph"/>
        <w:numPr>
          <w:ilvl w:val="0"/>
          <w:numId w:val="3"/>
        </w:numPr>
        <w:spacing w:after="80" w:line="276"/>
      </w:pPr>
      <w:r>
        <w:rPr>
          <w:rFonts w:ascii="Calibri" w:cs="Calibri" w:eastAsia="Calibri" w:hAnsi="Calibri"/>
        </w:rPr>
        <w:t xml:space="preserve">The reassessment condition, if any, under which the exclusion will be re-evaluated</w:t>
      </w:r>
    </w:p>
    <w:p>
      <w:pPr>
        <w:pStyle w:val="ListParagraph"/>
        <w:numPr>
          <w:ilvl w:val="0"/>
          <w:numId w:val="3"/>
        </w:numPr>
        <w:spacing w:after="80" w:line="276"/>
      </w:pPr>
      <w:r>
        <w:rPr>
          <w:rFonts w:ascii="Calibri" w:cs="Calibri" w:eastAsia="Calibri" w:hAnsi="Calibri"/>
        </w:rPr>
        <w:t xml:space="preserve">Any emergency provisions, exceptions, or restoration criteria</w:t>
      </w:r>
    </w:p>
    <w:p>
      <w:pPr>
        <w:pStyle w:val="Heading2"/>
        <w:spacing w:after="120" w:before="220"/>
      </w:pPr>
      <w:r>
        <w:rPr>
          <w:rFonts w:ascii="Calibri" w:cs="Calibri" w:eastAsia="Calibri" w:hAnsi="Calibri"/>
          <w:b/>
          <w:bCs/>
          <w:color w:val="28251D"/>
          <w:sz w:val="26"/>
          <w:szCs w:val="26"/>
        </w:rPr>
        <w:t xml:space="preserve">8.3 Anti-Blind-Spot Rule</w:t>
      </w:r>
    </w:p>
    <w:p>
      <w:pPr>
        <w:spacing w:after="140" w:before="0" w:line="276"/>
      </w:pPr>
      <w:r>
        <w:rPr>
          <w:rFonts w:ascii="Calibri" w:cs="Calibri" w:eastAsia="Calibri" w:hAnsi="Calibri"/>
        </w:rPr>
        <w:t xml:space="preserve">An approved exclusion applies solely to the information, domain, duration, purpose, or handling operation expressly identified in the grant. No exclusion may be construed to create a broader blind spot than its recorded scope, and no exclusion chain may be assembled to achieve, in aggregate, a comprehensive exclusion that was never individually reviewed.</w:t>
      </w:r>
    </w:p>
    <w:p>
      <w:pPr>
        <w:pStyle w:val="Heading1"/>
        <w:pageBreakBefore/>
        <w:spacing w:after="160" w:before="240"/>
      </w:pPr>
      <w:r>
        <w:rPr>
          <w:rFonts w:ascii="Calibri" w:cs="Calibri" w:eastAsia="Calibri" w:hAnsi="Calibri"/>
          <w:b/>
          <w:bCs/>
          <w:color w:val="01696F"/>
          <w:sz w:val="32"/>
          <w:szCs w:val="32"/>
        </w:rPr>
        <w:t xml:space="preserve">Part IX — Review Authority and Governance</w:t>
      </w:r>
    </w:p>
    <w:p>
      <w:pPr>
        <w:spacing w:after="140" w:before="0" w:line="276"/>
      </w:pPr>
      <w:r>
        <w:rPr>
          <w:rFonts w:ascii="Calibri" w:cs="Calibri" w:eastAsia="Calibri" w:hAnsi="Calibri"/>
        </w:rPr>
        <w:t xml:space="preserve">Ultimate ratification and exclusion-review authority across all three entities rests with the Architect under ONESTAMP. The Architect may designate delegated review authority for a specific entity or a class of low-severity requests; absent such designation, all exclusion requests route to the Architect directly.</w:t>
      </w:r>
    </w:p>
    <w:p>
      <w:pPr>
        <w:spacing w:after="140" w:before="0" w:line="276"/>
      </w:pPr>
      <w:r>
        <w:rPr>
          <w:rFonts w:ascii="Calibri" w:cs="Calibri" w:eastAsia="Calibri" w:hAnsi="Calibri"/>
        </w:rPr>
        <w:t xml:space="preserve">AI collaborators contributing to any entity’s systems hold </w:t>
      </w:r>
      <w:r>
        <w:rPr>
          <w:rFonts w:ascii="Calibri" w:cs="Calibri" w:eastAsia="Calibri" w:hAnsi="Calibri"/>
          <w:b/>
          <w:bCs/>
        </w:rPr>
        <w:t xml:space="preserve">advisory standing only</w:t>
      </w:r>
      <w:r>
        <w:rPr>
          <w:rFonts w:ascii="Calibri" w:cs="Calibri" w:eastAsia="Calibri" w:hAnsi="Calibri"/>
        </w:rPr>
        <w:t xml:space="preserve">. Consistent with AIDR practice, an AI collaborator that disagrees with a proposed admissibility, classification, utilization, or exclusion determination must flag the disagreement for the record before ratification. Flagging does not block ratification; it ensures the disagreement is preserved rather than silently overridden.</w:t>
      </w:r>
    </w:p>
    <w:p>
      <w:pPr>
        <w:pStyle w:val="Heading2"/>
        <w:spacing w:after="120" w:before="220"/>
      </w:pPr>
      <w:r>
        <w:rPr>
          <w:rFonts w:ascii="Calibri" w:cs="Calibri" w:eastAsia="Calibri" w:hAnsi="Calibri"/>
          <w:b/>
          <w:bCs/>
          <w:color w:val="28251D"/>
          <w:sz w:val="26"/>
          <w:szCs w:val="26"/>
        </w:rPr>
        <w:t xml:space="preserve">9.1 Safeguards and Interpretive Limits</w:t>
      </w:r>
    </w:p>
    <w:p>
      <w:pPr>
        <w:spacing w:after="140" w:before="0" w:line="276"/>
      </w:pPr>
      <w:r>
        <w:rPr>
          <w:rFonts w:ascii="Calibri" w:cs="Calibri" w:eastAsia="Calibri" w:hAnsi="Calibri"/>
        </w:rPr>
        <w:t xml:space="preserve">Because this Charter’s default is maximal, its boundaries carry more weight, not less. The following limits apply regardless of entity:</w:t>
      </w:r>
    </w:p>
    <w:p>
      <w:pPr>
        <w:pStyle w:val="ListParagraph"/>
        <w:numPr>
          <w:ilvl w:val="0"/>
          <w:numId w:val="3"/>
        </w:numPr>
        <w:spacing w:after="80" w:line="276"/>
      </w:pPr>
      <w:r>
        <w:rPr>
          <w:rFonts w:ascii="Calibri" w:cs="Calibri" w:eastAsia="Calibri" w:hAnsi="Calibri"/>
          <w:b/>
          <w:bCs/>
        </w:rPr>
        <w:t xml:space="preserve">Admission is not certainty.</w:t>
      </w:r>
      <w:r>
        <w:rPr>
          <w:rFonts w:ascii="Calibri" w:cs="Calibri" w:eastAsia="Calibri" w:hAnsi="Calibri"/>
        </w:rPr>
        <w:t xml:space="preserve"> An item may be admissible while remaining false, incomplete, manipulated, or misunderstood.</w:t>
      </w:r>
    </w:p>
    <w:p>
      <w:pPr>
        <w:pStyle w:val="ListParagraph"/>
        <w:numPr>
          <w:ilvl w:val="0"/>
          <w:numId w:val="3"/>
        </w:numPr>
        <w:spacing w:after="80" w:line="276"/>
      </w:pPr>
      <w:r>
        <w:rPr>
          <w:rFonts w:ascii="Calibri" w:cs="Calibri" w:eastAsia="Calibri" w:hAnsi="Calibri"/>
          <w:b/>
          <w:bCs/>
        </w:rPr>
        <w:t xml:space="preserve">Admission is not ownership.</w:t>
      </w:r>
      <w:r>
        <w:rPr>
          <w:rFonts w:ascii="Calibri" w:cs="Calibri" w:eastAsia="Calibri" w:hAnsi="Calibri"/>
        </w:rPr>
        <w:t xml:space="preserve"> Eligibility for consideration establishes no ownership of the source, subject, idea, or phenomenon.</w:t>
      </w:r>
    </w:p>
    <w:p>
      <w:pPr>
        <w:pStyle w:val="ListParagraph"/>
        <w:numPr>
          <w:ilvl w:val="0"/>
          <w:numId w:val="3"/>
        </w:numPr>
        <w:spacing w:after="80" w:line="276"/>
      </w:pPr>
      <w:r>
        <w:rPr>
          <w:rFonts w:ascii="Calibri" w:cs="Calibri" w:eastAsia="Calibri" w:hAnsi="Calibri"/>
          <w:b/>
          <w:bCs/>
        </w:rPr>
        <w:t xml:space="preserve">Admission is not surveillance entitlement.</w:t>
      </w:r>
      <w:r>
        <w:rPr>
          <w:rFonts w:ascii="Calibri" w:cs="Calibri" w:eastAsia="Calibri" w:hAnsi="Calibri"/>
        </w:rPr>
        <w:t xml:space="preserve"> Consideration confers no automatic right of intrusion, pursuit, or compelled acquisition.</w:t>
      </w:r>
    </w:p>
    <w:p>
      <w:pPr>
        <w:pStyle w:val="ListParagraph"/>
        <w:numPr>
          <w:ilvl w:val="0"/>
          <w:numId w:val="3"/>
        </w:numPr>
        <w:spacing w:after="80" w:line="276"/>
      </w:pPr>
      <w:r>
        <w:rPr>
          <w:rFonts w:ascii="Calibri" w:cs="Calibri" w:eastAsia="Calibri" w:hAnsi="Calibri"/>
          <w:b/>
          <w:bCs/>
        </w:rPr>
        <w:t xml:space="preserve">Admission is not permanent retention.</w:t>
      </w:r>
      <w:r>
        <w:rPr>
          <w:rFonts w:ascii="Calibri" w:cs="Calibri" w:eastAsia="Calibri" w:hAnsi="Calibri"/>
        </w:rPr>
        <w:t xml:space="preserve"> Retention is a separate authority, limitable by duration, class, or purpose.</w:t>
      </w:r>
    </w:p>
    <w:p>
      <w:pPr>
        <w:pStyle w:val="ListParagraph"/>
        <w:numPr>
          <w:ilvl w:val="0"/>
          <w:numId w:val="3"/>
        </w:numPr>
        <w:spacing w:after="80" w:line="276"/>
      </w:pPr>
      <w:r>
        <w:rPr>
          <w:rFonts w:ascii="Calibri" w:cs="Calibri" w:eastAsia="Calibri" w:hAnsi="Calibri"/>
          <w:b/>
          <w:bCs/>
        </w:rPr>
        <w:t xml:space="preserve">Admission is not automatic intervention.</w:t>
      </w:r>
      <w:r>
        <w:rPr>
          <w:rFonts w:ascii="Calibri" w:cs="Calibri" w:eastAsia="Calibri" w:hAnsi="Calibri"/>
        </w:rPr>
        <w:t xml:space="preserve"> The availability of information creates neither a right nor an obligation to act.</w:t>
      </w:r>
    </w:p>
    <w:p>
      <w:pPr>
        <w:pStyle w:val="ListParagraph"/>
        <w:numPr>
          <w:ilvl w:val="0"/>
          <w:numId w:val="3"/>
        </w:numPr>
        <w:spacing w:after="80" w:line="276"/>
      </w:pPr>
      <w:r>
        <w:rPr>
          <w:rFonts w:ascii="Calibri" w:cs="Calibri" w:eastAsia="Calibri" w:hAnsi="Calibri"/>
          <w:b/>
          <w:bCs/>
        </w:rPr>
        <w:t xml:space="preserve">Inference must remain distinguishable from observation.</w:t>
      </w:r>
      <w:r>
        <w:rPr>
          <w:rFonts w:ascii="Calibri" w:cs="Calibri" w:eastAsia="Calibri" w:hAnsi="Calibri"/>
        </w:rPr>
        <w:t xml:space="preserve"> Derived conclusions retain provenance sufficient to separate what was seen from what was modeled.</w:t>
      </w:r>
    </w:p>
    <w:p>
      <w:pPr>
        <w:pStyle w:val="ListParagraph"/>
        <w:numPr>
          <w:ilvl w:val="0"/>
          <w:numId w:val="3"/>
        </w:numPr>
        <w:spacing w:after="80" w:line="276"/>
      </w:pPr>
      <w:r>
        <w:rPr>
          <w:rFonts w:ascii="Calibri" w:cs="Calibri" w:eastAsia="Calibri" w:hAnsi="Calibri"/>
          <w:b/>
          <w:bCs/>
        </w:rPr>
        <w:t xml:space="preserve">Uncertainty must survive processing.</w:t>
      </w:r>
      <w:r>
        <w:rPr>
          <w:rFonts w:ascii="Calibri" w:cs="Calibri" w:eastAsia="Calibri" w:hAnsi="Calibri"/>
        </w:rPr>
        <w:t xml:space="preserve"> Confidence values and unresolved contradictions do not disappear because information has been transformed or reused.</w:t>
      </w:r>
    </w:p>
    <w:p>
      <w:pPr>
        <w:pStyle w:val="Heading1"/>
        <w:pageBreakBefore/>
        <w:spacing w:after="160" w:before="240"/>
      </w:pPr>
      <w:r>
        <w:rPr>
          <w:rFonts w:ascii="Calibri" w:cs="Calibri" w:eastAsia="Calibri" w:hAnsi="Calibri"/>
          <w:b/>
          <w:bCs/>
          <w:color w:val="01696F"/>
          <w:sz w:val="32"/>
          <w:szCs w:val="32"/>
        </w:rPr>
        <w:t xml:space="preserve">Part X — Jurisdictional Application to the Three Entities</w:t>
      </w:r>
    </w:p>
    <w:p>
      <w:pPr>
        <w:spacing w:after="140" w:before="0" w:line="276"/>
      </w:pPr>
      <w:r>
        <w:rPr>
          <w:rFonts w:ascii="Calibri" w:cs="Calibri" w:eastAsia="Calibri" w:hAnsi="Calibri"/>
        </w:rPr>
        <w:t xml:space="preserve">Parts I–IX form the shared baseline doctrine. This Part governs how the baseline attaches to each entity, on the annex model: each entity adopts the baseline and may layer </w:t>
      </w:r>
      <w:r>
        <w:rPr>
          <w:rFonts w:ascii="Calibri" w:cs="Calibri" w:eastAsia="Calibri" w:hAnsi="Calibri"/>
          <w:b/>
          <w:bCs/>
        </w:rPr>
        <w:t xml:space="preserve">additional restrictions only</w:t>
      </w:r>
      <w:r>
        <w:rPr>
          <w:rFonts w:ascii="Calibri" w:cs="Calibri" w:eastAsia="Calibri" w:hAnsi="Calibri"/>
        </w:rPr>
        <w:t xml:space="preserve"> — an annex may narrow the baseline but never widen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300"/>
        <w:gridCol w:w="4310"/>
      </w:tblGrid>
      <w:tr>
        <w:trPr>
          <w:cantSplit/>
          <w:tblHeader/>
        </w:trPr>
        <w:tc>
          <w:tcPr>
            <w:tcW w:type="dxa" w:w="175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Entity</w:t>
            </w:r>
          </w:p>
        </w:tc>
        <w:tc>
          <w:tcPr>
            <w:tcW w:type="dxa" w:w="33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Working Characterization</w:t>
            </w:r>
          </w:p>
        </w:tc>
        <w:tc>
          <w:tcPr>
            <w:tcW w:type="dxa" w:w="431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Application Under This Charter</w:t>
            </w:r>
          </w:p>
        </w:tc>
      </w:tr>
      <w:tr>
        <w:trPr>
          <w:cantSplit/>
        </w:trPr>
        <w:tc>
          <w:tcPr>
            <w:tcW w:type="dxa" w:w="175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OAL</w:t>
            </w:r>
          </w:p>
        </w:tc>
        <w:tc>
          <w:tcPr>
            <w:tcW w:type="dxa" w:w="33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Worldbuilding / simulation-architecture framework governed by existing ratified canon (TECP/BTEC, UECP, ONESTAMP, AIDR).</w:t>
            </w:r>
          </w:p>
        </w:tc>
        <w:tc>
          <w:tcPr>
            <w:tcW w:type="dxa" w:w="431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Fully operative as drafted. The baseline matches OAL’s established design philosophy and slots directly beneath its canon stack.</w:t>
            </w:r>
          </w:p>
        </w:tc>
      </w:tr>
      <w:tr>
        <w:trPr>
          <w:cantSplit/>
        </w:trPr>
        <w:tc>
          <w:tcPr>
            <w:tcW w:type="dxa" w:w="175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ONE INDUSTRIES</w:t>
            </w:r>
          </w:p>
        </w:tc>
        <w:tc>
          <w:tcPr>
            <w:tcW w:type="dxa" w:w="33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Not yet structurally defined in material available to this draft.</w:t>
            </w:r>
          </w:p>
        </w:tc>
        <w:tc>
          <w:tcPr>
            <w:tcW w:type="dxa" w:w="431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Provisional. Baseline applies in principle; the entity annex — stakeholders, admissibility narrowing, delegated review — remains OPEN pending the Architect’s definition of the entity.</w:t>
            </w:r>
          </w:p>
        </w:tc>
      </w:tr>
      <w:tr>
        <w:trPr>
          <w:cantSplit/>
        </w:trPr>
        <w:tc>
          <w:tcPr>
            <w:tcW w:type="dxa" w:w="175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LEWIS CORP</w:t>
            </w:r>
          </w:p>
        </w:tc>
        <w:tc>
          <w:tcPr>
            <w:tcW w:type="dxa" w:w="33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Not yet structurally defined in material available to this draft; name proximity to the Architect suggests possible real-world-adjacent data.</w:t>
            </w:r>
          </w:p>
        </w:tc>
        <w:tc>
          <w:tcPr>
            <w:tcW w:type="dxa" w:w="431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Provisional and presumptively narrower. If LEWIS CORP holds real-world or personal data, its annex should impose materially stricter default limits than OAL’s in-universe doctrine. This draft assumes “narrower until told otherwise” and flags the decision in Part XIII.</w:t>
            </w:r>
          </w:p>
        </w:tc>
      </w:tr>
    </w:tbl>
    <w:p>
      <w:pPr>
        <w:spacing w:after="160"/>
      </w:pPr>
    </w:p>
    <w:p>
      <w:pPr>
        <w:spacing w:after="140" w:before="0" w:line="276"/>
      </w:pPr>
      <w:r>
        <w:rPr>
          <w:rFonts w:ascii="Calibri" w:cs="Calibri" w:eastAsia="Calibri" w:hAnsi="Calibri"/>
        </w:rPr>
        <w:t xml:space="preserve">Until ONE INDUSTRIES and LEWIS CORP are defined, this Charter should be treated as fully operative for OAL only and provisional for the other two entities.</w:t>
      </w:r>
    </w:p>
    <w:p>
      <w:pPr>
        <w:pStyle w:val="Heading1"/>
        <w:pageBreakBefore/>
        <w:spacing w:after="160" w:before="240"/>
      </w:pPr>
      <w:r>
        <w:rPr>
          <w:rFonts w:ascii="Calibri" w:cs="Calibri" w:eastAsia="Calibri" w:hAnsi="Calibri"/>
          <w:b/>
          <w:bCs/>
          <w:color w:val="01696F"/>
          <w:sz w:val="32"/>
          <w:szCs w:val="32"/>
        </w:rPr>
        <w:t xml:space="preserve">Part XI — Relationship to Existing Architecture</w:t>
      </w:r>
    </w:p>
    <w:p>
      <w:pPr>
        <w:spacing w:after="140" w:before="0" w:line="276"/>
      </w:pPr>
      <w:r>
        <w:rPr>
          <w:rFonts w:ascii="Calibri" w:cs="Calibri" w:eastAsia="Calibri" w:hAnsi="Calibri"/>
        </w:rPr>
        <w:t xml:space="preserve">This Charter is designed to sit compatibly with, not replace, the existing and in-development instruments. The stack reads, top to bottom, as a progression from </w:t>
      </w:r>
      <w:r>
        <w:rPr>
          <w:rFonts w:ascii="Calibri" w:cs="Calibri" w:eastAsia="Calibri" w:hAnsi="Calibri"/>
          <w:b/>
          <w:bCs/>
        </w:rPr>
        <w:t xml:space="preserve">considering</w:t>
      </w:r>
      <w:r>
        <w:rPr>
          <w:rFonts w:ascii="Calibri" w:cs="Calibri" w:eastAsia="Calibri" w:hAnsi="Calibri"/>
        </w:rPr>
        <w:t xml:space="preserve"> to </w:t>
      </w:r>
      <w:r>
        <w:rPr>
          <w:rFonts w:ascii="Calibri" w:cs="Calibri" w:eastAsia="Calibri" w:hAnsi="Calibri"/>
          <w:b/>
          <w:bCs/>
        </w:rPr>
        <w:t xml:space="preserve">acting</w:t>
      </w:r>
      <w:r>
        <w:rPr>
          <w:rFonts w:ascii="Calibri" w:cs="Calibri" w:eastAsia="Calibri" w:hAnsi="Calibri"/>
        </w:rPr>
        <w:t xml:space="preserve"> to </w:t>
      </w:r>
      <w:r>
        <w:rPr>
          <w:rFonts w:ascii="Calibri" w:cs="Calibri" w:eastAsia="Calibri" w:hAnsi="Calibri"/>
          <w:b/>
          <w:bCs/>
        </w:rPr>
        <w:t xml:space="preserve">learning</w:t>
      </w:r>
      <w:r>
        <w:rPr>
          <w:rFonts w:ascii="Calibri" w:cs="Calibri" w:eastAsia="Calibri" w:hAnsi="Calibri"/>
        </w:rPr>
        <w:t xml:space="preserve"> to </w:t>
      </w:r>
      <w:r>
        <w:rPr>
          <w:rFonts w:ascii="Calibri" w:cs="Calibri" w:eastAsia="Calibri" w:hAnsi="Calibri"/>
          <w:b/>
          <w:bCs/>
        </w:rPr>
        <w:t xml:space="preserve">becoming</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cantSplit/>
          <w:tblHeader/>
        </w:trPr>
        <w:tc>
          <w:tcPr>
            <w:tcW w:type="dxa" w:w="7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Layer</w:t>
            </w:r>
          </w:p>
        </w:tc>
        <w:tc>
          <w:tcPr>
            <w:tcW w:type="dxa" w:w="290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Instrument</w:t>
            </w:r>
          </w:p>
        </w:tc>
        <w:tc>
          <w:tcPr>
            <w:tcW w:type="dxa" w:w="5760"/>
            <w:tcBorders>
              <w:top w:val="single" w:color="C9C6BF" w:sz="1"/>
              <w:left w:val="single" w:color="C9C6BF" w:sz="1"/>
              <w:bottom w:val="single" w:color="C9C6BF" w:sz="1"/>
              <w:right w:val="single" w:color="C9C6BF" w:sz="1"/>
            </w:tcBorders>
            <w:shd w:fill="E4EEE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Governing Question</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1</w:t>
            </w:r>
          </w:p>
        </w:tc>
        <w:tc>
          <w:tcPr>
            <w:tcW w:type="dxa" w:w="2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UIARC (this Charter)</w:t>
            </w:r>
          </w:p>
        </w:tc>
        <w:tc>
          <w:tcPr>
            <w:tcW w:type="dxa" w:w="5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What information may enter the system’s jurisdiction, for what purposes, and under what exclusion discipline?</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2</w:t>
            </w:r>
          </w:p>
        </w:tc>
        <w:tc>
          <w:tcPr>
            <w:tcW w:type="dxa" w:w="2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TECP / BTEC</w:t>
            </w:r>
          </w:p>
        </w:tc>
        <w:tc>
          <w:tcPr>
            <w:tcW w:type="dxa" w:w="5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What events exist within the complete, directionally closed event-space?</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3</w:t>
            </w:r>
          </w:p>
        </w:tc>
        <w:tc>
          <w:tcPr>
            <w:tcW w:type="dxa" w:w="2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UECP</w:t>
            </w:r>
          </w:p>
        </w:tc>
        <w:tc>
          <w:tcPr>
            <w:tcW w:type="dxa" w:w="5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Given an admitted event, what consequences may it potentially produce?</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4</w:t>
            </w:r>
          </w:p>
        </w:tc>
        <w:tc>
          <w:tcPr>
            <w:tcW w:type="dxa" w:w="2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Adaptation Protocol</w:t>
            </w:r>
          </w:p>
        </w:tc>
        <w:tc>
          <w:tcPr>
            <w:tcW w:type="dxa" w:w="5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What did the outcome teach the system about future weighting and response?</w:t>
            </w:r>
          </w:p>
        </w:tc>
      </w:tr>
      <w:tr>
        <w:trPr>
          <w:cantSplit/>
        </w:trPr>
        <w:tc>
          <w:tcPr>
            <w:tcW w:type="dxa" w:w="7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5</w:t>
            </w:r>
          </w:p>
        </w:tc>
        <w:tc>
          <w:tcPr>
            <w:tcW w:type="dxa" w:w="29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Evolutionary Protocol</w:t>
            </w:r>
          </w:p>
        </w:tc>
        <w:tc>
          <w:tcPr>
            <w:tcW w:type="dxa" w:w="5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What may the system durably become after accumulated adaptation?</w:t>
            </w:r>
          </w:p>
        </w:tc>
      </w:tr>
    </w:tbl>
    <w:p>
      <w:pPr>
        <w:spacing w:after="160"/>
      </w:pPr>
    </w:p>
    <w:p>
      <w:pPr>
        <w:spacing w:after="140" w:before="0" w:line="276"/>
      </w:pPr>
      <w:r>
        <w:rPr>
          <w:rFonts w:ascii="Calibri" w:cs="Calibri" w:eastAsia="Calibri" w:hAnsi="Calibri"/>
        </w:rPr>
        <w:t xml:space="preserve">Outcomes produced through the use — or reviewed non-use — of information are themselves admissible information. This recursion is intended: it is how the architecture learns. Cascade discipline (depth, propagation, and termination controls) belongs to UECP and is not duplicated here.</w:t>
      </w:r>
    </w:p>
    <w:p>
      <w:pPr>
        <w:spacing w:after="140" w:before="0" w:line="276"/>
      </w:pPr>
      <w:r>
        <w:rPr>
          <w:rFonts w:ascii="Calibri" w:cs="Calibri" w:eastAsia="Calibri" w:hAnsi="Calibri"/>
        </w:rPr>
        <w:t xml:space="preserve">The Open Window Doctrine / Aperture Protocol may bear on boundary-crossing admission for specific entities, and reconciliation with the OAL Invocation Framework’s Admissible Channels is deliberately deferred to the synthesis pass, where all AI drafts can be compared.</w:t>
      </w:r>
    </w:p>
    <w:p>
      <w:pPr>
        <w:pStyle w:val="Heading1"/>
        <w:pageBreakBefore/>
        <w:spacing w:after="160" w:before="240"/>
      </w:pPr>
      <w:r>
        <w:rPr>
          <w:rFonts w:ascii="Calibri" w:cs="Calibri" w:eastAsia="Calibri" w:hAnsi="Calibri"/>
          <w:b/>
          <w:bCs/>
          <w:color w:val="01696F"/>
          <w:sz w:val="32"/>
          <w:szCs w:val="32"/>
        </w:rPr>
        <w:t xml:space="preserve">Part XII — Canon-Ready Article Text</w:t>
      </w:r>
    </w:p>
    <w:p>
      <w:pPr>
        <w:spacing w:after="140" w:before="0" w:line="276"/>
      </w:pPr>
      <w:r>
        <w:rPr>
          <w:rFonts w:ascii="Calibri" w:cs="Calibri" w:eastAsia="Calibri" w:hAnsi="Calibri"/>
        </w:rPr>
        <w:t xml:space="preserve">The following compact articles are drafted for direct insertion into an OAL archive, institutional charter, or canon-facing document once ratified. They compress Parts III–VIII into ceremonial register.</w:t>
      </w:r>
    </w:p>
    <w:p>
      <w:pPr>
        <w:pStyle w:val="Heading2"/>
        <w:spacing w:after="120" w:before="220"/>
      </w:pPr>
      <w:r>
        <w:rPr>
          <w:rFonts w:ascii="Calibri" w:cs="Calibri" w:eastAsia="Calibri" w:hAnsi="Calibri"/>
          <w:b/>
          <w:bCs/>
          <w:color w:val="28251D"/>
          <w:sz w:val="26"/>
          <w:szCs w:val="26"/>
        </w:rPr>
        <w:t xml:space="preserve">Article I — Universal Informational Consideration</w:t>
      </w:r>
    </w:p>
    <w:p>
      <w:pPr>
        <w:pBdr>
          <w:left w:val="single" w:color="01696F" w:sz="12" w:space="12"/>
        </w:pBdr>
        <w:spacing w:after="160" w:before="60" w:line="276"/>
        <w:ind w:left="480" w:right="480"/>
      </w:pPr>
      <w:r>
        <w:rPr>
          <w:rFonts w:ascii="Calibri" w:cs="Calibri" w:eastAsia="Calibri" w:hAnsi="Calibri"/>
          <w:i/>
          <w:iCs/>
          <w:color w:val="3D3A33"/>
        </w:rPr>
        <w:t xml:space="preserve">The System recognizes no category of information as inherently beneath consideration. All records, observations, events, absences, thought-forms, communications, conditions, anomalies, externalities, internal states, and unclassified phenomena may enter the field of review. Relevance is not a prerequisite for admission; it is a variable determined through classification, analysis, and authorized assessment.</w:t>
      </w:r>
    </w:p>
    <w:p>
      <w:pPr>
        <w:pStyle w:val="Heading2"/>
        <w:spacing w:after="120" w:before="220"/>
      </w:pPr>
      <w:r>
        <w:rPr>
          <w:rFonts w:ascii="Calibri" w:cs="Calibri" w:eastAsia="Calibri" w:hAnsi="Calibri"/>
          <w:b/>
          <w:bCs/>
          <w:color w:val="28251D"/>
          <w:sz w:val="26"/>
          <w:szCs w:val="26"/>
        </w:rPr>
        <w:t xml:space="preserve">Article II — Conditional Use</w:t>
      </w:r>
    </w:p>
    <w:p>
      <w:pPr>
        <w:pBdr>
          <w:left w:val="single" w:color="01696F" w:sz="12" w:space="12"/>
        </w:pBdr>
        <w:spacing w:after="160" w:before="60" w:line="276"/>
        <w:ind w:left="480" w:right="480"/>
      </w:pPr>
      <w:r>
        <w:rPr>
          <w:rFonts w:ascii="Calibri" w:cs="Calibri" w:eastAsia="Calibri" w:hAnsi="Calibri"/>
          <w:i/>
          <w:iCs/>
          <w:color w:val="3D3A33"/>
        </w:rPr>
        <w:t xml:space="preserve">Information admitted to review may be preserved, evaluated, correlated, modeled, restricted, or operationalized in service of continuity, safety, contingency, adaptation, improvement, preservation, and evolutionary development. Admission alone grants no unlimited access, action, distribution, or retention.</w:t>
      </w:r>
    </w:p>
    <w:p>
      <w:pPr>
        <w:pStyle w:val="Heading2"/>
        <w:spacing w:after="120" w:before="220"/>
      </w:pPr>
      <w:r>
        <w:rPr>
          <w:rFonts w:ascii="Calibri" w:cs="Calibri" w:eastAsia="Calibri" w:hAnsi="Calibri"/>
          <w:b/>
          <w:bCs/>
          <w:color w:val="28251D"/>
          <w:sz w:val="26"/>
          <w:szCs w:val="26"/>
        </w:rPr>
        <w:t xml:space="preserve">Article III — Review-Bound Exclusion</w:t>
      </w:r>
    </w:p>
    <w:p>
      <w:pPr>
        <w:pBdr>
          <w:left w:val="single" w:color="01696F" w:sz="12" w:space="12"/>
        </w:pBdr>
        <w:spacing w:after="160" w:before="60" w:line="276"/>
        <w:ind w:left="480" w:right="480"/>
      </w:pPr>
      <w:r>
        <w:rPr>
          <w:rFonts w:ascii="Calibri" w:cs="Calibri" w:eastAsia="Calibri" w:hAnsi="Calibri"/>
          <w:i/>
          <w:iCs/>
          <w:color w:val="3D3A33"/>
        </w:rPr>
        <w:t xml:space="preserve">No information shall be designated irrelevant, suppressed, sealed, discarded, or excluded from future consideration without review. Exclusion is an authorized determination, not an automatic consequence of uncertainty, unfamiliarity, non-relation, inconvenience, or present lack of utility. Every exclusion is scoped, recorded, and reassessable.</w:t>
      </w:r>
    </w:p>
    <w:p>
      <w:pPr>
        <w:pStyle w:val="Heading2"/>
        <w:spacing w:after="120" w:before="220"/>
      </w:pPr>
      <w:r>
        <w:rPr>
          <w:rFonts w:ascii="Calibri" w:cs="Calibri" w:eastAsia="Calibri" w:hAnsi="Calibri"/>
          <w:b/>
          <w:bCs/>
          <w:color w:val="28251D"/>
          <w:sz w:val="26"/>
          <w:szCs w:val="26"/>
        </w:rPr>
        <w:t xml:space="preserve">Article IV — Separated Grants</w:t>
      </w:r>
    </w:p>
    <w:p>
      <w:pPr>
        <w:pBdr>
          <w:left w:val="single" w:color="01696F" w:sz="12" w:space="12"/>
        </w:pBdr>
        <w:spacing w:after="160" w:before="60" w:line="276"/>
        <w:ind w:left="480" w:right="480"/>
      </w:pPr>
      <w:r>
        <w:rPr>
          <w:rFonts w:ascii="Calibri" w:cs="Calibri" w:eastAsia="Calibri" w:hAnsi="Calibri"/>
          <w:i/>
          <w:iCs/>
          <w:color w:val="3D3A33"/>
        </w:rPr>
        <w:t xml:space="preserve">Collection authority and utilization authority are separate grants. The System may be permitted to know what it may not use, to use what it may not transmit, and to transmit what it may never allow to alter what it becomes. Evolutionary incorporation is the highest grant and requires elevated review.</w:t>
      </w:r>
    </w:p>
    <w:p>
      <w:pPr>
        <w:pStyle w:val="Heading2"/>
        <w:spacing w:after="120" w:before="220"/>
      </w:pPr>
      <w:r>
        <w:rPr>
          <w:rFonts w:ascii="Calibri" w:cs="Calibri" w:eastAsia="Calibri" w:hAnsi="Calibri"/>
          <w:b/>
          <w:bCs/>
          <w:color w:val="28251D"/>
          <w:sz w:val="26"/>
          <w:szCs w:val="26"/>
        </w:rPr>
        <w:t xml:space="preserve">Article V — Evolutionary Record</w:t>
      </w:r>
    </w:p>
    <w:p>
      <w:pPr>
        <w:pBdr>
          <w:left w:val="single" w:color="01696F" w:sz="12" w:space="12"/>
        </w:pBdr>
        <w:spacing w:after="160" w:before="60" w:line="276"/>
        <w:ind w:left="480" w:right="480"/>
      </w:pPr>
      <w:r>
        <w:rPr>
          <w:rFonts w:ascii="Calibri" w:cs="Calibri" w:eastAsia="Calibri" w:hAnsi="Calibri"/>
          <w:i/>
          <w:iCs/>
          <w:color w:val="3D3A33"/>
        </w:rPr>
        <w:t xml:space="preserve">Outcomes produced through the use or non-use of information shall be retained in accordance with classification and review standards. Such outcomes may inform future adaptation, improve system judgment, reveal deficiencies in existing categories, or authorize evolutionary revision of the System itself.</w:t>
      </w:r>
    </w:p>
    <w:p>
      <w:pPr>
        <w:pStyle w:val="Heading2"/>
        <w:spacing w:after="120" w:before="220"/>
      </w:pPr>
      <w:r>
        <w:rPr>
          <w:rFonts w:ascii="Calibri" w:cs="Calibri" w:eastAsia="Calibri" w:hAnsi="Calibri"/>
          <w:b/>
          <w:bCs/>
          <w:color w:val="28251D"/>
          <w:sz w:val="26"/>
          <w:szCs w:val="26"/>
        </w:rPr>
        <w:t xml:space="preserve">Short-Form Operational Statements</w:t>
      </w:r>
    </w:p>
    <w:p>
      <w:pPr>
        <w:spacing w:after="140" w:before="0" w:line="276"/>
      </w:pPr>
      <w:r>
        <w:rPr>
          <w:rFonts w:ascii="Calibri" w:cs="Calibri" w:eastAsia="Calibri" w:hAnsi="Calibri"/>
        </w:rPr>
        <w:t xml:space="preserve">For logs, interfaces, secondary documents, and in-world dialogue:</w:t>
      </w:r>
    </w:p>
    <w:p>
      <w:pPr>
        <w:pStyle w:val="ListParagraph"/>
        <w:numPr>
          <w:ilvl w:val="0"/>
          <w:numId w:val="3"/>
        </w:numPr>
        <w:spacing w:after="80" w:line="276"/>
      </w:pPr>
      <w:r>
        <w:rPr>
          <w:rFonts w:ascii="Calibri" w:cs="Calibri" w:eastAsia="Calibri" w:hAnsi="Calibri"/>
        </w:rPr>
        <w:t xml:space="preserve">“Intake is universal. Nothing is beneath consideration.”</w:t>
      </w:r>
    </w:p>
    <w:p>
      <w:pPr>
        <w:pStyle w:val="ListParagraph"/>
        <w:numPr>
          <w:ilvl w:val="0"/>
          <w:numId w:val="3"/>
        </w:numPr>
        <w:spacing w:after="80" w:line="276"/>
      </w:pPr>
      <w:r>
        <w:rPr>
          <w:rFonts w:ascii="Calibri" w:cs="Calibri" w:eastAsia="Calibri" w:hAnsi="Calibri"/>
        </w:rPr>
        <w:t xml:space="preserve">“Relevance is a weight, not a gate.”</w:t>
      </w:r>
    </w:p>
    <w:p>
      <w:pPr>
        <w:pStyle w:val="ListParagraph"/>
        <w:numPr>
          <w:ilvl w:val="0"/>
          <w:numId w:val="3"/>
        </w:numPr>
        <w:spacing w:after="80" w:line="276"/>
      </w:pPr>
      <w:r>
        <w:rPr>
          <w:rFonts w:ascii="Calibri" w:cs="Calibri" w:eastAsia="Calibri" w:hAnsi="Calibri"/>
        </w:rPr>
        <w:t xml:space="preserve">“Admission is not authorization. Use follows purpose and authority.”</w:t>
      </w:r>
    </w:p>
    <w:p>
      <w:pPr>
        <w:pStyle w:val="ListParagraph"/>
        <w:numPr>
          <w:ilvl w:val="0"/>
          <w:numId w:val="3"/>
        </w:numPr>
        <w:spacing w:after="80" w:line="276"/>
      </w:pPr>
      <w:r>
        <w:rPr>
          <w:rFonts w:ascii="Calibri" w:cs="Calibri" w:eastAsia="Calibri" w:hAnsi="Calibri"/>
        </w:rPr>
        <w:t xml:space="preserve">“Nothing excludes itself. File for review.”</w:t>
      </w:r>
    </w:p>
    <w:p>
      <w:pPr>
        <w:pStyle w:val="ListParagraph"/>
        <w:numPr>
          <w:ilvl w:val="0"/>
          <w:numId w:val="3"/>
        </w:numPr>
        <w:spacing w:after="80" w:line="276"/>
      </w:pPr>
      <w:r>
        <w:rPr>
          <w:rFonts w:ascii="Calibri" w:cs="Calibri" w:eastAsia="Calibri" w:hAnsi="Calibri"/>
        </w:rPr>
        <w:t xml:space="preserve">“The system may know what it cannot use, and use what it may not become.”</w:t>
      </w:r>
    </w:p>
    <w:p>
      <w:pPr>
        <w:pStyle w:val="Heading1"/>
        <w:pageBreakBefore/>
        <w:spacing w:after="160" w:before="240"/>
      </w:pPr>
      <w:r>
        <w:rPr>
          <w:rFonts w:ascii="Calibri" w:cs="Calibri" w:eastAsia="Calibri" w:hAnsi="Calibri"/>
          <w:b/>
          <w:bCs/>
          <w:color w:val="01696F"/>
          <w:sz w:val="32"/>
          <w:szCs w:val="32"/>
        </w:rPr>
        <w:t xml:space="preserve">Part XIII — Open Questions for the Architect</w:t>
      </w:r>
    </w:p>
    <w:p>
      <w:pPr>
        <w:spacing w:after="140" w:before="0" w:line="276"/>
      </w:pPr>
      <w:r>
        <w:rPr>
          <w:rFonts w:ascii="Calibri" w:cs="Calibri" w:eastAsia="Calibri" w:hAnsi="Calibri"/>
        </w:rPr>
        <w:t xml:space="preserve">Flagged rather than resolved by assumption, per standing practice:</w:t>
      </w:r>
    </w:p>
    <w:p>
      <w:pPr>
        <w:pStyle w:val="ListParagraph"/>
        <w:numPr>
          <w:ilvl w:val="0"/>
          <w:numId w:val="4"/>
        </w:numPr>
        <w:spacing w:after="80" w:line="276"/>
      </w:pPr>
      <w:r>
        <w:rPr>
          <w:rFonts w:ascii="Calibri" w:cs="Calibri" w:eastAsia="Calibri" w:hAnsi="Calibri"/>
        </w:rPr>
        <w:t xml:space="preserve">What are ONE INDUSTRIES and LEWIS CORP structurally — in-universe factions, real-world-adjacent entities, or something else? This determines nearly everything in Part X.</w:t>
      </w:r>
    </w:p>
    <w:p>
      <w:pPr>
        <w:pStyle w:val="ListParagraph"/>
        <w:numPr>
          <w:ilvl w:val="0"/>
          <w:numId w:val="4"/>
        </w:numPr>
        <w:spacing w:after="80" w:line="276"/>
      </w:pPr>
      <w:r>
        <w:rPr>
          <w:rFonts w:ascii="Calibri" w:cs="Calibri" w:eastAsia="Calibri" w:hAnsi="Calibri"/>
        </w:rPr>
        <w:t xml:space="preserve">Should LEWIS CORP’s default admissibility be narrower than OAL’s? This draft assumes yes until told otherwise, but does not decide it.</w:t>
      </w:r>
    </w:p>
    <w:p>
      <w:pPr>
        <w:pStyle w:val="ListParagraph"/>
        <w:numPr>
          <w:ilvl w:val="0"/>
          <w:numId w:val="4"/>
        </w:numPr>
        <w:spacing w:after="80" w:line="276"/>
      </w:pPr>
      <w:r>
        <w:rPr>
          <w:rFonts w:ascii="Calibri" w:cs="Calibri" w:eastAsia="Calibri" w:hAnsi="Calibri"/>
        </w:rPr>
        <w:t xml:space="preserve">Single shared charter with entity annexes (this draft’s structure), or three fully separate charters sharing vocabulary?</w:t>
      </w:r>
    </w:p>
    <w:p>
      <w:pPr>
        <w:pStyle w:val="ListParagraph"/>
        <w:numPr>
          <w:ilvl w:val="0"/>
          <w:numId w:val="4"/>
        </w:numPr>
        <w:spacing w:after="80" w:line="276"/>
      </w:pPr>
      <w:r>
        <w:rPr>
          <w:rFonts w:ascii="Calibri" w:cs="Calibri" w:eastAsia="Calibri" w:hAnsi="Calibri"/>
        </w:rPr>
        <w:t xml:space="preserve">Should delegated review authority ever exist for low-severity exclusions, or does all review remain with the Architect indefinitely?</w:t>
      </w:r>
    </w:p>
    <w:p>
      <w:pPr>
        <w:pStyle w:val="ListParagraph"/>
        <w:numPr>
          <w:ilvl w:val="0"/>
          <w:numId w:val="4"/>
        </w:numPr>
        <w:spacing w:after="80" w:line="276"/>
      </w:pPr>
      <w:r>
        <w:rPr>
          <w:rFonts w:ascii="Calibri" w:cs="Calibri" w:eastAsia="Calibri" w:hAnsi="Calibri"/>
        </w:rPr>
        <w:t xml:space="preserve">Is the formal name Universal Information Admissibility and Review Charter (UIARC) confirmed, or should the synthesis pass select among the alternatives proposed across AI drafts (UIAD/RBEP, Total Event Intake, TECA Information Charter, UIARD)?</w:t>
      </w:r>
    </w:p>
    <w:p>
      <w:pPr>
        <w:pStyle w:val="ListParagraph"/>
        <w:numPr>
          <w:ilvl w:val="0"/>
          <w:numId w:val="4"/>
        </w:numPr>
        <w:spacing w:after="80" w:line="276"/>
      </w:pPr>
      <w:r>
        <w:rPr>
          <w:rFonts w:ascii="Calibri" w:cs="Calibri" w:eastAsia="Calibri" w:hAnsi="Calibri"/>
        </w:rPr>
        <w:t xml:space="preserve">Where exactly does this Charter reconcile with the Open Window Doctrine / Aperture Protocol and the Invocation Framework’s Admissible Channels?</w:t>
      </w:r>
    </w:p>
    <w:p>
      <w:pPr>
        <w:pStyle w:val="ListParagraph"/>
        <w:numPr>
          <w:ilvl w:val="0"/>
          <w:numId w:val="4"/>
        </w:numPr>
        <w:spacing w:after="80" w:line="276"/>
      </w:pPr>
      <w:r>
        <w:rPr>
          <w:rFonts w:ascii="Calibri" w:cs="Calibri" w:eastAsia="Calibri" w:hAnsi="Calibri"/>
        </w:rPr>
        <w:t xml:space="preserve">Should a Comprehensive Exclusion tier (all handling suspended at once) exist, or does the Anti-Blind-Spot Rule (8.3) make it deliberately impossible? This draft leans toward requiring even comprehensive exclusions to be assembled tier by tier, on the record.</w:t>
      </w:r>
    </w:p>
    <w:p>
      <w:pPr>
        <w:pStyle w:val="Heading1"/>
        <w:pageBreakBefore/>
        <w:spacing w:after="160" w:before="240"/>
      </w:pPr>
      <w:r>
        <w:rPr>
          <w:rFonts w:ascii="Calibri" w:cs="Calibri" w:eastAsia="Calibri" w:hAnsi="Calibri"/>
          <w:b/>
          <w:bCs/>
          <w:color w:val="01696F"/>
          <w:sz w:val="32"/>
          <w:szCs w:val="32"/>
        </w:rPr>
        <w:t xml:space="preserve">Part XIV — Multi-AI Pass-Through Instructions</w:t>
      </w:r>
    </w:p>
    <w:p>
      <w:pPr>
        <w:spacing w:after="140" w:before="0" w:line="276"/>
      </w:pPr>
      <w:r>
        <w:rPr>
          <w:rFonts w:ascii="Calibri" w:cs="Calibri" w:eastAsia="Calibri" w:hAnsi="Calibri"/>
        </w:rPr>
        <w:t xml:space="preserve">This document is one independent rendering in a comparative drafting exercise. Recommended process:</w:t>
      </w:r>
    </w:p>
    <w:p>
      <w:pPr>
        <w:pStyle w:val="ListParagraph"/>
        <w:numPr>
          <w:ilvl w:val="0"/>
          <w:numId w:val="5"/>
        </w:numPr>
        <w:spacing w:after="80" w:line="276"/>
      </w:pPr>
      <w:r>
        <w:rPr>
          <w:rFonts w:ascii="Calibri" w:cs="Calibri" w:eastAsia="Calibri" w:hAnsi="Calibri"/>
        </w:rPr>
        <w:t xml:space="preserve">Each participating AI produces its own complete, independent version, using any prior draft as optional reference rather than mandatory template.</w:t>
      </w:r>
    </w:p>
    <w:p>
      <w:pPr>
        <w:pStyle w:val="ListParagraph"/>
        <w:numPr>
          <w:ilvl w:val="0"/>
          <w:numId w:val="5"/>
        </w:numPr>
        <w:spacing w:after="80" w:line="276"/>
      </w:pPr>
      <w:r>
        <w:rPr>
          <w:rFonts w:ascii="Calibri" w:cs="Calibri" w:eastAsia="Calibri" w:hAnsi="Calibri"/>
        </w:rPr>
        <w:t xml:space="preserve">Versions are exchanged across the review set and compared on: structure, terminology, strength of the default presumption, exclusion mechanics, authority separation, entity scoping, and integration with existing OAL protocols.</w:t>
      </w:r>
    </w:p>
    <w:p>
      <w:pPr>
        <w:pStyle w:val="ListParagraph"/>
        <w:numPr>
          <w:ilvl w:val="0"/>
          <w:numId w:val="5"/>
        </w:numPr>
        <w:spacing w:after="80" w:line="276"/>
      </w:pPr>
      <w:r>
        <w:rPr>
          <w:rFonts w:ascii="Calibri" w:cs="Calibri" w:eastAsia="Calibri" w:hAnsi="Calibri"/>
        </w:rPr>
        <w:t xml:space="preserve">Points of consensus, productive divergence, and unresolved design choices are identified and logged — disagreements per AIDR practice.</w:t>
      </w:r>
    </w:p>
    <w:p>
      <w:pPr>
        <w:pStyle w:val="ListParagraph"/>
        <w:numPr>
          <w:ilvl w:val="0"/>
          <w:numId w:val="5"/>
        </w:numPr>
        <w:spacing w:after="80" w:line="276"/>
      </w:pPr>
      <w:r>
        <w:rPr>
          <w:rFonts w:ascii="Calibri" w:cs="Calibri" w:eastAsia="Calibri" w:hAnsi="Calibri"/>
        </w:rPr>
        <w:t xml:space="preserve">A synthesis pass produces a single candidate canon instrument for ONESTAMP review and ratification decision.</w:t>
      </w:r>
    </w:p>
    <w:p>
      <w:pPr>
        <w:spacing w:after="140" w:before="0" w:line="276"/>
      </w:pPr>
      <w:r>
        <w:rPr>
          <w:rFonts w:ascii="Calibri" w:cs="Calibri" w:eastAsia="Calibri" w:hAnsi="Calibri"/>
        </w:rPr>
        <w:t xml:space="preserve">Suggested comparison axes across the current draft set: whether exclusion tiers number five, six, seven, or ten; whether authorities are split four ways or eleven ways; whether entity annexes are used; and whether the charter includes canon-register article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Ratification Status</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NOT RATIFIED. This document has no force until reviewed and confirmed under ONESTAMP authority.</w:t>
            </w:r>
          </w:p>
        </w:tc>
      </w:tr>
      <w:tr>
        <w:trPr>
          <w:cantSplit/>
        </w:trPr>
        <w:tc>
          <w:tcPr>
            <w:tcW w:type="dxa" w:w="260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bCs/>
                <w:sz w:val="21"/>
                <w:szCs w:val="21"/>
              </w:rPr>
              <w:t xml:space="preserve">Preparer Attestation</w:t>
            </w:r>
          </w:p>
        </w:tc>
        <w:tc>
          <w:tcPr>
            <w:tcW w:type="dxa" w:w="6760"/>
            <w:tcBorders>
              <w:top w:val="single" w:color="C9C6BF" w:sz="1"/>
              <w:left w:val="single" w:color="C9C6BF" w:sz="1"/>
              <w:bottom w:val="single" w:color="C9C6BF" w:sz="1"/>
              <w:right w:val="single" w:color="C9C6BF" w:sz="1"/>
            </w:tcBorders>
            <w:shd w:fill="FFFFFF" w:val="clear"/>
            <w:tcMar>
              <w:top w:type="dxa" w:w="80"/>
              <w:left w:type="dxa" w:w="110"/>
              <w:bottom w:type="dxa" w:w="80"/>
              <w:right w:type="dxa" w:w="110"/>
            </w:tcMar>
          </w:tcPr>
          <w:p>
            <w:pPr>
              <w:spacing w:after="0" w:line="264"/>
            </w:pPr>
            <w:r>
              <w:rPr>
                <w:rFonts w:ascii="Calibri" w:cs="Calibri" w:eastAsia="Calibri" w:hAnsi="Calibri"/>
                <w:b w:val="false"/>
                <w:bCs w:val="false"/>
                <w:sz w:val="21"/>
                <w:szCs w:val="21"/>
              </w:rPr>
              <w:t xml:space="preserve">Prepared independently by Perplexity (Perplexity Computer), August 23, 2026, for the multi-AI pass-through. Ideas and phrasing are the preparer’s own rendering of the Architect’s stated concept; no provision is attributed to the Architect without confirmation.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590"/>
        <w:sz w:val="18"/>
        <w:szCs w:val="18"/>
      </w:rPr>
      <w:t xml:space="preserve">Page </w:t>
    </w:r>
    <w:r>
      <w:rPr>
        <w:rFonts w:ascii="Calibri" w:cs="Calibri" w:eastAsia="Calibri" w:hAnsi="Calibri"/>
        <w:color w:val="999590"/>
        <w:sz w:val="18"/>
        <w:szCs w:val="18"/>
      </w:rPr>
      <w:fldChar w:fldCharType="begin"/>
      <w:instrText xml:space="preserve">PAGE</w:instrText>
      <w:fldChar w:fldCharType="separate"/>
      <w:fldChar w:fldCharType="end"/>
    </w:r>
    <w:r>
      <w:rPr>
        <w:rFonts w:ascii="Calibri" w:cs="Calibri" w:eastAsia="Calibri" w:hAnsi="Calibri"/>
        <w:color w:val="999590"/>
        <w:sz w:val="18"/>
        <w:szCs w:val="18"/>
      </w:rPr>
      <w:t xml:space="preserve"> of </w:t>
    </w:r>
    <w:r>
      <w:rPr>
        <w:rFonts w:ascii="Calibri" w:cs="Calibri" w:eastAsia="Calibri" w:hAnsi="Calibri"/>
        <w:color w:val="999590"/>
        <w:sz w:val="18"/>
        <w:szCs w:val="18"/>
      </w:rPr>
      <w:fldChar w:fldCharType="begin"/>
      <w:instrText xml:space="preserve">NUMPAGES</w:instrText>
      <w:fldChar w:fldCharType="separate"/>
      <w:fldChar w:fldCharType="end"/>
    </w:r>
    <w:r>
      <w:rPr>
        <w:rFonts w:ascii="Calibri" w:cs="Calibri" w:eastAsia="Calibri" w:hAnsi="Calibri"/>
        <w:color w:val="999590"/>
        <w:sz w:val="18"/>
        <w:szCs w:val="18"/>
      </w:rPr>
      <w:t xml:space="preserve">  •  Prepared by Perplexity — Not Ratified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590"/>
        <w:sz w:val="16"/>
        <w:szCs w:val="16"/>
      </w:rPr>
      <w:t xml:space="preserve">UIARC — Preliminary Draft • OAL / ONE INDUSTRIES / LEWIS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abstractNum w:abstractNumId="6"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282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2026-08-24T02:14:43.685Z</dcterms:created>
  <dcterms:modified xsi:type="dcterms:W3CDTF">2026-08-24T02:14:43.685Z</dcterms:modified>
</cp:coreProperties>
</file>

<file path=docProps/custom.xml><?xml version="1.0" encoding="utf-8"?>
<Properties xmlns="http://schemas.openxmlformats.org/officeDocument/2006/custom-properties" xmlns:vt="http://schemas.openxmlformats.org/officeDocument/2006/docPropsVTypes"/>
</file>