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Unified Information Acquisition and Evolutionary Utilization Charter</w:t>
      </w:r>
    </w:p>
    <w:p>
      <w:pPr>
        <w:pStyle w:val="IntenseQuote"/>
      </w:pPr>
      <w:r>
        <w:t>DOCUMENT ID: 771-ALPHA</w:t>
      </w:r>
    </w:p>
    <w:p>
      <w:pPr>
        <w:pStyle w:val="IntenseQuote"/>
      </w:pPr>
      <w:r>
        <w:t>PREPARER: Google Gemini</w:t>
      </w:r>
    </w:p>
    <w:p>
      <w:pPr>
        <w:pStyle w:val="IntenseQuote"/>
      </w:pPr>
      <w:r>
        <w:t>JURISDICTION: Omniversal Archive Lab (OAL), ONE INDUSTRIES, Lewis Corp.</w:t>
      </w:r>
    </w:p>
    <w:p>
      <w:pPr>
        <w:pStyle w:val="Heading1"/>
      </w:pPr>
      <w:r>
        <w:t>I. Universal Admissibility &amp; Scope</w:t>
      </w:r>
    </w:p>
    <w:p>
      <w:pPr>
        <w:pStyle w:val="ListBullet"/>
      </w:pPr>
      <w:r>
        <w:t>The architectural default for OAL, ONE INDUSTRIES, and Lewis Corp is absolute informational inclusion. All information is presumptively admissible unless specifically excluded.</w:t>
      </w:r>
    </w:p>
    <w:p>
      <w:pPr>
        <w:pStyle w:val="ListBullet"/>
      </w:pPr>
      <w:r>
        <w:t>The collection parameters encompass any cognitive state, behavioral action, systemic omission, environmental change, or null event.</w:t>
      </w:r>
    </w:p>
    <w:p>
      <w:pPr>
        <w:pStyle w:val="ListBullet"/>
      </w:pPr>
      <w:r>
        <w:t>Data intake recognizes no boundaries, harvesting from physical spaces, extra-ontological environments, and foundational virtual simulation origins alike.</w:t>
      </w:r>
    </w:p>
    <w:p>
      <w:pPr>
        <w:pStyle w:val="ListBullet"/>
      </w:pPr>
      <w:r>
        <w:t>No category of information shall be considered excluded solely by reason of apparent irrelevance or lack of direct relationship.</w:t>
      </w:r>
    </w:p>
    <w:p>
      <w:pPr>
        <w:pStyle w:val="Heading1"/>
      </w:pPr>
      <w:r>
        <w:t>II. Authorized Utilization &amp; Evolutionary Protocol</w:t>
      </w:r>
    </w:p>
    <w:p>
      <w:pPr>
        <w:pStyle w:val="ListBullet"/>
      </w:pPr>
      <w:r>
        <w:t>Data admitted under this framework is not merely archived; it actively fuels the systemic architecture. Information may be utilized for purposes including evolution, adaptation, optimization, contingency development, and system improvement.</w:t>
      </w:r>
    </w:p>
    <w:p>
      <w:pPr>
        <w:pStyle w:val="ListBullet"/>
      </w:pPr>
      <w:r>
        <w:t>Collected catalysts feed the recursive adaptation protocols, altering how the system responds to future events and shaping subsequent generations of the architecture.</w:t>
      </w:r>
    </w:p>
    <w:p>
      <w:pPr>
        <w:pStyle w:val="ListBullet"/>
      </w:pPr>
      <w:r>
        <w:t>Information shall not be deemed permanently irrelevant merely because no immediate application is identified at the time of acquisition; retrospective relevance is maintained.</w:t>
      </w:r>
    </w:p>
    <w:p>
      <w:pPr>
        <w:pStyle w:val="Heading1"/>
      </w:pPr>
      <w:r>
        <w:t>III. The Review-Bound Exclusion Mandate</w:t>
      </w:r>
    </w:p>
    <w:p>
      <w:pPr>
        <w:pStyle w:val="ListBullet"/>
      </w:pPr>
      <w:r>
        <w:t>Exclusion from this framework is not a right; it is a strictly governed exception. Participation in the universal collection framework is mandatory by virtue of existence.</w:t>
      </w:r>
    </w:p>
    <w:p>
      <w:pPr>
        <w:pStyle w:val="ListBullet"/>
      </w:pPr>
      <w:r>
        <w:t>Any exclusionary provision must be specifically requested, reviewed, justified, and granted according to the applicable review authority.</w:t>
      </w:r>
    </w:p>
    <w:p>
      <w:pPr>
        <w:pStyle w:val="ListBullet"/>
      </w:pPr>
      <w:r>
        <w:t>Exclusionary provisions are granted on a review basis only, requiring demonstrable justification to suppress or restrict data.</w:t>
      </w:r>
    </w:p>
    <w:p>
      <w:pPr>
        <w:pStyle w:val="ListBullet"/>
      </w:pPr>
      <w:r>
        <w:t>All final exclusionary determinations are absolute, independent, and not contingent upon derived power, centralized under the authority of THE ONE, who is not derived power and is not dependent or contingent upon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