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information_warfare_deception_sys_cf2cff"/>
      <w:r>
        <w:rPr>
          <w:rFonts w:eastAsia="source serif 4" w:cs="source serif 4" w:ascii="source serif 4" w:hAnsi="source serif 4"/>
          <w:b/>
          <w:color w:val="000000"/>
          <w:sz w:val="39"/>
        </w:rPr>
        <w:t xml:space="preserve">Information Warfare &amp; Deception Systems Relisting</w:t>
      </w:r>
      <w:bookmarkEnd w:id="0"/>
    </w:p>
    <w:p>
      <w:pPr>
        <w:spacing w:line="360" w:after="210" w:lineRule="auto"/>
      </w:pPr>
      <w:r>
        <w:rPr>
          <w:rFonts w:eastAsia="source serif 4" w:cs="source serif 4" w:ascii="source serif 4" w:hAnsi="source serif 4"/>
          <w:color w:val="000000"/>
        </w:rPr>
        <w:t xml:space="preserve">This document presents a fictionalized, hyper-realistic relisting of the original “Deception Management Systems” domain from the </w:t>
      </w:r>
      <w:r>
        <w:rPr>
          <w:rFonts w:eastAsia="source serif 4" w:cs="source serif 4" w:ascii="source serif 4" w:hAnsi="source serif 4"/>
          <w:i/>
          <w:color w:val="000000"/>
        </w:rPr>
        <w:t xml:space="preserve">Enterprise Autonomous Management Architecture Framework v1.1</w:t>
      </w:r>
      <w:r>
        <w:rPr>
          <w:rFonts w:eastAsia="source serif 4" w:cs="source serif 4" w:ascii="source serif 4" w:hAnsi="source serif 4"/>
          <w:color w:val="000000"/>
        </w:rPr>
        <w:t xml:space="preserve">, along with two advancement iterations, a dedicated integration layer, and explicit cross-domain integration descriptions. The original framework listed “Deception Management Systems” with source verification, provenance analysis, confidence assessment, contradiction detection, and integrity auditing, which reads more like a validation and verification function than a true deception domain.[cite:1]</w:t>
      </w:r>
    </w:p>
    <w:p>
      <w:pPr>
        <w:spacing w:line="360" w:before="315" w:after="105" w:lineRule="auto"/>
        <w:ind w:left="-30"/>
        <w:jc w:val="left"/>
      </w:pPr>
      <w:bookmarkStart w:id="1" w:name="rationale_for_renaming"/>
      <w:r>
        <w:rPr>
          <w:rFonts w:eastAsia="source serif 4" w:cs="source serif 4" w:ascii="source serif 4" w:hAnsi="source serif 4"/>
          <w:b/>
          <w:color w:val="000000"/>
          <w:sz w:val="24"/>
        </w:rPr>
        <w:t xml:space="preserve">Rationale for Renaming</w:t>
      </w:r>
      <w:bookmarkEnd w:id="1"/>
    </w:p>
    <w:p>
      <w:pPr>
        <w:spacing w:line="360" w:after="210" w:lineRule="auto"/>
      </w:pPr>
      <w:r>
        <w:rPr>
          <w:rFonts w:eastAsia="source serif 4" w:cs="source serif 4" w:ascii="source serif 4" w:hAnsi="source serif 4"/>
          <w:color w:val="000000"/>
        </w:rPr>
        <w:t xml:space="preserve">The original domain name implies active deception, but its listed functions center on verification, provenance, and integrity review rather than adversarial misdirection or perception shaping.[cite:1] In contemporary cybersecurity usage, deception technology usually refers to decoys, traps, and attacker misdirection, while provenance and integrity controls belong more naturally to trust, validation, or authenticity systems.[cite:3][cite:4][cite:14]</w:t>
      </w:r>
    </w:p>
    <w:p>
      <w:pPr>
        <w:spacing w:line="360" w:after="210" w:lineRule="auto"/>
      </w:pPr>
      <w:r>
        <w:rPr>
          <w:rFonts w:eastAsia="source serif 4" w:cs="source serif 4" w:ascii="source serif 4" w:hAnsi="source serif 4"/>
          <w:color w:val="000000"/>
        </w:rPr>
        <w:t xml:space="preserve">For a more ominous and portentous fictional architecture, the category is better reframed as an active information conflict domain rather than a passive truth-checking stack. The recommended replacement name is </w:t>
      </w:r>
      <w:r>
        <w:rPr>
          <w:rFonts w:eastAsia="source serif 4" w:cs="source serif 4" w:ascii="source serif 4" w:hAnsi="source serif 4"/>
          <w:b/>
          <w:color w:val="000000"/>
        </w:rPr>
        <w:t xml:space="preserve">Information Warfare &amp; Deception Systems</w:t>
      </w:r>
      <w:r>
        <w:rPr>
          <w:rFonts w:eastAsia="source serif 4" w:cs="source serif 4" w:ascii="source serif 4" w:hAnsi="source serif 4"/>
          <w:color w:val="000000"/>
        </w:rPr>
        <w:t xml:space="preserve">.[cite:6][cite:13][cite:14]</w:t>
      </w:r>
    </w:p>
    <w:p>
      <w:pPr>
        <w:spacing w:line="360" w:before="315" w:after="105" w:lineRule="auto"/>
        <w:ind w:left="-30"/>
        <w:jc w:val="left"/>
      </w:pPr>
      <w:bookmarkStart w:id="2" w:name="recommended_structural_split"/>
      <w:r>
        <w:rPr>
          <w:rFonts w:eastAsia="source serif 4" w:cs="source serif 4" w:ascii="source serif 4" w:hAnsi="source serif 4"/>
          <w:b/>
          <w:color w:val="000000"/>
          <w:sz w:val="24"/>
        </w:rPr>
        <w:t xml:space="preserve">Recommended Structural Split</w:t>
      </w:r>
      <w:bookmarkEnd w:id="2"/>
    </w:p>
    <w:p>
      <w:pPr>
        <w:spacing w:line="360" w:after="210" w:lineRule="auto"/>
      </w:pPr>
      <w:r>
        <w:rPr>
          <w:rFonts w:eastAsia="source serif 4" w:cs="source serif 4" w:ascii="source serif 4" w:hAnsi="source serif 4"/>
          <w:color w:val="000000"/>
        </w:rPr>
        <w:t xml:space="preserve">The original bullets should be separated into two distinct categories so the naming matches the actual role of each domain.[cite:1]</w:t>
      </w:r>
    </w:p>
    <w:p>
      <w:pPr>
        <w:spacing w:line="360" w:before="315" w:after="105" w:lineRule="auto"/>
        <w:ind w:left="-30"/>
        <w:jc w:val="left"/>
      </w:pPr>
      <w:bookmarkStart w:id="3" w:name="information_warfare_deception_systems"/>
      <w:r>
        <w:rPr>
          <w:rFonts w:eastAsia="source serif 4" w:cs="source serif 4" w:ascii="source serif 4" w:hAnsi="source serif 4"/>
          <w:b/>
          <w:color w:val="000000"/>
          <w:sz w:val="24"/>
        </w:rPr>
        <w:t xml:space="preserve">Information Warfare &amp; Deception Systems</w:t>
      </w:r>
      <w:bookmarkEnd w:id="3"/>
    </w:p>
    <w:p>
      <w:pPr>
        <w:spacing w:line="360" w:after="210" w:lineRule="auto"/>
      </w:pPr>
      <w:r>
        <w:rPr>
          <w:rFonts w:eastAsia="source serif 4" w:cs="source serif 4" w:ascii="source serif 4" w:hAnsi="source serif 4"/>
          <w:color w:val="000000"/>
        </w:rPr>
        <w:t xml:space="preserve">This category should cover adversarial narrative manipulation, synthetic identity operations, signal distortion, and strategic perception control across internal and external information environments.[cite:6][cite:13][cite:14]</w:t>
      </w:r>
    </w:p>
    <w:p>
      <w:pPr>
        <w:spacing w:line="360" w:before="315" w:after="105" w:lineRule="auto"/>
        <w:ind w:left="-30"/>
        <w:jc w:val="left"/>
      </w:pPr>
      <w:bookmarkStart w:id="4" w:name="validation_provenance_systems"/>
      <w:r>
        <w:rPr>
          <w:rFonts w:eastAsia="source serif 4" w:cs="source serif 4" w:ascii="source serif 4" w:hAnsi="source serif 4"/>
          <w:b/>
          <w:color w:val="000000"/>
          <w:sz w:val="24"/>
        </w:rPr>
        <w:t xml:space="preserve">Validation &amp; Provenance Systems</w:t>
      </w:r>
      <w:bookmarkEnd w:id="4"/>
    </w:p>
    <w:p>
      <w:pPr>
        <w:spacing w:line="360" w:after="210" w:lineRule="auto"/>
      </w:pPr>
      <w:r>
        <w:rPr>
          <w:rFonts w:eastAsia="source serif 4" w:cs="source serif 4" w:ascii="source serif 4" w:hAnsi="source serif 4"/>
          <w:color w:val="000000"/>
        </w:rPr>
        <w:t xml:space="preserve">This category should contain source verification, provenance and lifecycle tracking, confidence scoring, contradiction detection, and integrity auditing, which are closer to epistemic trust infrastructure than to deception systems.[cite:1][cite:12][cite:15]</w:t>
      </w:r>
    </w:p>
    <w:p>
      <w:pPr>
        <w:spacing w:line="360" w:before="315" w:after="105" w:lineRule="auto"/>
        <w:ind w:left="-30"/>
        <w:jc w:val="left"/>
      </w:pPr>
      <w:bookmarkStart w:id="5" w:name="iteration_1"/>
      <w:r>
        <w:rPr>
          <w:rFonts w:eastAsia="source serif 4" w:cs="source serif 4" w:ascii="source serif 4" w:hAnsi="source serif 4"/>
          <w:b/>
          <w:color w:val="000000"/>
          <w:sz w:val="24"/>
        </w:rPr>
        <w:t xml:space="preserve">Iteration 1</w:t>
      </w:r>
      <w:bookmarkEnd w:id="5"/>
    </w:p>
    <w:p>
      <w:pPr>
        <w:spacing w:line="360" w:before="315" w:after="105" w:lineRule="auto"/>
        <w:ind w:left="-30"/>
        <w:jc w:val="left"/>
      </w:pPr>
      <w:bookmarkStart w:id="6" w:name="information_warfare_deception_systems_2"/>
      <w:r>
        <w:rPr>
          <w:rFonts w:eastAsia="source serif 4" w:cs="source serif 4" w:ascii="source serif 4" w:hAnsi="source serif 4"/>
          <w:b/>
          <w:color w:val="000000"/>
          <w:sz w:val="24"/>
        </w:rPr>
        <w:t xml:space="preserve">Information Warfare &amp; Deception Systems</w:t>
      </w:r>
      <w:bookmarkEnd w:id="6"/>
    </w:p>
    <w:p>
      <w:pPr>
        <w:numPr>
          <w:ilvl w:val="0"/>
          <w:numId w:val="1"/>
        </w:numPr>
        <w:spacing w:line="360" w:before="105" w:after="105" w:lineRule="auto"/>
      </w:pPr>
      <w:r>
        <w:rPr>
          <w:rFonts w:eastAsia="source serif 4" w:cs="source serif 4" w:ascii="source serif 4" w:hAnsi="source serif 4"/>
          <w:color w:val="000000"/>
          <w:sz w:val="21"/>
        </w:rPr>
        <w:t xml:space="preserve">Adversary cognition mirroring — Constructs live cognitive twins of hostile actors by continuously ingesting their communications, behavioral traces, and interaction patterns, then simulates how they will interpret and respond to new signals in real time.</w:t>
      </w:r>
    </w:p>
    <w:p>
      <w:pPr>
        <w:numPr>
          <w:ilvl w:val="0"/>
          <w:numId w:val="1"/>
        </w:numPr>
        <w:spacing w:line="360" w:before="105" w:after="105" w:lineRule="auto"/>
      </w:pPr>
      <w:r>
        <w:rPr>
          <w:rFonts w:eastAsia="source serif 4" w:cs="source serif 4" w:ascii="source serif 4" w:hAnsi="source serif 4"/>
          <w:color w:val="000000"/>
          <w:sz w:val="21"/>
        </w:rPr>
        <w:t xml:space="preserve">Multi-channel narrative field manipulation — Treats organizational communications, external media, and synthetic outputs as a dynamic narrative field, then reshapes that field by introducing coordinated story fragments, symbols, and emotional cues designed to steer collective belief states.</w:t>
      </w:r>
    </w:p>
    <w:p>
      <w:pPr>
        <w:numPr>
          <w:ilvl w:val="0"/>
          <w:numId w:val="1"/>
        </w:numPr>
        <w:spacing w:line="360" w:before="105" w:after="105" w:lineRule="auto"/>
      </w:pPr>
      <w:r>
        <w:rPr>
          <w:rFonts w:eastAsia="source serif 4" w:cs="source serif 4" w:ascii="source serif 4" w:hAnsi="source serif 4"/>
          <w:color w:val="000000"/>
          <w:sz w:val="21"/>
        </w:rPr>
        <w:t xml:space="preserve">Autonomous synthetic persona swarms — Maintains large populations of adaptive synthetic identities that coordinate across platforms and time horizons to create the illusion of organic consensus, dissent, or confusion while remaining statistically difficult to distinguish from authentic populations.</w:t>
      </w:r>
    </w:p>
    <w:p>
      <w:pPr>
        <w:numPr>
          <w:ilvl w:val="0"/>
          <w:numId w:val="1"/>
        </w:numPr>
        <w:spacing w:line="360" w:before="105" w:after="105" w:lineRule="auto"/>
      </w:pPr>
      <w:r>
        <w:rPr>
          <w:rFonts w:eastAsia="source serif 4" w:cs="source serif 4" w:ascii="source serif 4" w:hAnsi="source serif 4"/>
          <w:color w:val="000000"/>
          <w:sz w:val="21"/>
        </w:rPr>
        <w:t xml:space="preserve">Perception shock and stabilization routines — Detects moments where audience beliefs become unstable and deploys layered narrative interventions that first destabilize adversarial frames and then lock in preferred interpretations.</w:t>
      </w:r>
    </w:p>
    <w:p>
      <w:pPr>
        <w:numPr>
          <w:ilvl w:val="0"/>
          <w:numId w:val="1"/>
        </w:numPr>
        <w:spacing w:line="360" w:before="105" w:after="105" w:lineRule="auto"/>
      </w:pPr>
      <w:r>
        <w:rPr>
          <w:rFonts w:eastAsia="source serif 4" w:cs="source serif 4" w:ascii="source serif 4" w:hAnsi="source serif 4"/>
          <w:color w:val="000000"/>
          <w:sz w:val="21"/>
        </w:rPr>
        <w:t xml:space="preserve">Reality boundary distortion engines — Generates information environments in which true, false, and speculative signals are deliberately blended so adversaries can no longer separate facts from engineered illusions without costly verification procedures.</w:t>
      </w:r>
    </w:p>
    <w:p>
      <w:pPr>
        <w:numPr>
          <w:ilvl w:val="0"/>
          <w:numId w:val="1"/>
        </w:numPr>
        <w:spacing w:line="360" w:before="105" w:after="105" w:lineRule="auto"/>
      </w:pPr>
      <w:r>
        <w:rPr>
          <w:rFonts w:eastAsia="source serif 4" w:cs="source serif 4" w:ascii="source serif 4" w:hAnsi="source serif 4"/>
          <w:color w:val="000000"/>
          <w:sz w:val="21"/>
        </w:rPr>
        <w:t xml:space="preserve">Counter-deception resonance mapping — Continuously scans the broader information space for repeated manipulation signatures, memetic fingerprints, and narrative echoes, correlating them back to likely origin architectures.[cite:6][cite:9][cite:12][cite:14]</w:t>
      </w:r>
    </w:p>
    <w:p>
      <w:pPr>
        <w:spacing w:line="360" w:after="210" w:lineRule="auto"/>
      </w:pPr>
      <w:r>
        <w:rPr>
          <w:rFonts w:eastAsia="source serif 4" w:cs="source serif 4" w:ascii="source serif 4" w:hAnsi="source serif 4"/>
          <w:color w:val="000000"/>
        </w:rPr>
        <w:t xml:space="preserve">This first iteration presents a dark but still near-future speculative architecture: advanced enough to feel destabilizing, but still conceptually adjacent to emerging work in deception technology, provenance, and information manipulation.[cite:6][cite:12][cite:31]</w:t>
      </w:r>
    </w:p>
    <w:p>
      <w:pPr>
        <w:spacing w:line="360" w:before="315" w:after="105" w:lineRule="auto"/>
        <w:ind w:left="-30"/>
        <w:jc w:val="left"/>
      </w:pPr>
      <w:bookmarkStart w:id="7" w:name="iteration_2"/>
      <w:r>
        <w:rPr>
          <w:rFonts w:eastAsia="source serif 4" w:cs="source serif 4" w:ascii="source serif 4" w:hAnsi="source serif 4"/>
          <w:b/>
          <w:color w:val="000000"/>
          <w:sz w:val="24"/>
        </w:rPr>
        <w:t xml:space="preserve">Iteration 2</w:t>
      </w:r>
      <w:bookmarkEnd w:id="7"/>
    </w:p>
    <w:p>
      <w:pPr>
        <w:spacing w:line="360" w:before="315" w:after="105" w:lineRule="auto"/>
        <w:ind w:left="-30"/>
        <w:jc w:val="left"/>
      </w:pPr>
      <w:bookmarkStart w:id="8" w:name="information_warfare_deception_systems_3"/>
      <w:r>
        <w:rPr>
          <w:rFonts w:eastAsia="source serif 4" w:cs="source serif 4" w:ascii="source serif 4" w:hAnsi="source serif 4"/>
          <w:b/>
          <w:color w:val="000000"/>
          <w:sz w:val="24"/>
        </w:rPr>
        <w:t xml:space="preserve">Information Warfare &amp; Deception Systems</w:t>
      </w:r>
      <w:bookmarkEnd w:id="8"/>
    </w:p>
    <w:p>
      <w:pPr>
        <w:numPr>
          <w:ilvl w:val="0"/>
          <w:numId w:val="2"/>
        </w:numPr>
        <w:spacing w:line="360" w:before="105" w:after="105" w:lineRule="auto"/>
      </w:pPr>
      <w:r>
        <w:rPr>
          <w:rFonts w:eastAsia="source serif 4" w:cs="source serif 4" w:ascii="source serif 4" w:hAnsi="source serif 4"/>
          <w:color w:val="000000"/>
          <w:sz w:val="21"/>
        </w:rPr>
        <w:t xml:space="preserve">Cross-temporal belief state reconstruction — Rebuilds historical and projected belief landscapes for populations by fusing archival media, simulation outputs, and probabilistic foresight models, allowing counterfactual deception campaigns to be modeled across time.</w:t>
      </w:r>
    </w:p>
    <w:p>
      <w:pPr>
        <w:numPr>
          <w:ilvl w:val="0"/>
          <w:numId w:val="2"/>
        </w:numPr>
        <w:spacing w:line="360" w:before="105" w:after="105" w:lineRule="auto"/>
      </w:pPr>
      <w:r>
        <w:rPr>
          <w:rFonts w:eastAsia="source serif 4" w:cs="source serif 4" w:ascii="source serif 4" w:hAnsi="source serif 4"/>
          <w:color w:val="000000"/>
          <w:sz w:val="21"/>
        </w:rPr>
        <w:t xml:space="preserve">Subjective reality rewriting protocols — Designs coordinated operations that cause target groups to inhabit altered subjective realities, shifting not only their factual beliefs but their perceived causality, priority structures, and moral framing.</w:t>
      </w:r>
    </w:p>
    <w:p>
      <w:pPr>
        <w:numPr>
          <w:ilvl w:val="0"/>
          <w:numId w:val="2"/>
        </w:numPr>
        <w:spacing w:line="360" w:before="105" w:after="105" w:lineRule="auto"/>
      </w:pPr>
      <w:r>
        <w:rPr>
          <w:rFonts w:eastAsia="source serif 4" w:cs="source serif 4" w:ascii="source serif 4" w:hAnsi="source serif 4"/>
          <w:color w:val="000000"/>
          <w:sz w:val="21"/>
        </w:rPr>
        <w:t xml:space="preserve">Quantum-scale signal obfuscation lattices — Encodes critical signals into layered patterns that only become fully legible under privileged organizational contexts, rendering interception analytically useless even under hypothetical super-intelligent review.</w:t>
      </w:r>
    </w:p>
    <w:p>
      <w:pPr>
        <w:numPr>
          <w:ilvl w:val="0"/>
          <w:numId w:val="2"/>
        </w:numPr>
        <w:spacing w:line="360" w:before="105" w:after="105" w:lineRule="auto"/>
      </w:pPr>
      <w:r>
        <w:rPr>
          <w:rFonts w:eastAsia="source serif 4" w:cs="source serif 4" w:ascii="source serif 4" w:hAnsi="source serif 4"/>
          <w:color w:val="000000"/>
          <w:sz w:val="21"/>
        </w:rPr>
        <w:t xml:space="preserve">Collective cognition override arrays — Interfaces with cognitive, simulation, and AI domains to generate information ensembles that quietly redirect emergent group decisions without any single participant perceiving the intervention.</w:t>
      </w:r>
    </w:p>
    <w:p>
      <w:pPr>
        <w:numPr>
          <w:ilvl w:val="0"/>
          <w:numId w:val="2"/>
        </w:numPr>
        <w:spacing w:line="360" w:before="105" w:after="105" w:lineRule="auto"/>
      </w:pPr>
      <w:r>
        <w:rPr>
          <w:rFonts w:eastAsia="source serif 4" w:cs="source serif 4" w:ascii="source serif 4" w:hAnsi="source serif 4"/>
          <w:color w:val="000000"/>
          <w:sz w:val="21"/>
        </w:rPr>
        <w:t xml:space="preserve">Adversarial myth-engine synthesis — Produces self-propagating myths, symbols, and ritualized narratives designed to infiltrate hostile cultures and gradually rewrite their strategic instincts across long time horizons.</w:t>
      </w:r>
    </w:p>
    <w:p>
      <w:pPr>
        <w:numPr>
          <w:ilvl w:val="0"/>
          <w:numId w:val="2"/>
        </w:numPr>
        <w:spacing w:line="360" w:before="105" w:after="105" w:lineRule="auto"/>
      </w:pPr>
      <w:r>
        <w:rPr>
          <w:rFonts w:eastAsia="source serif 4" w:cs="source serif 4" w:ascii="source serif 4" w:hAnsi="source serif 4"/>
          <w:color w:val="000000"/>
          <w:sz w:val="21"/>
        </w:rPr>
        <w:t xml:space="preserve">Reality fork orchestration modules — Injects competing but plausible narrative branches into the information environment, causing different factions to adopt mutually incompatible worldviews that can later be exploited to fragment coordination and conceal true objectives.</w:t>
      </w:r>
    </w:p>
    <w:p>
      <w:pPr>
        <w:spacing w:line="360" w:after="210" w:lineRule="auto"/>
      </w:pPr>
      <w:r>
        <w:rPr>
          <w:rFonts w:eastAsia="source serif 4" w:cs="source serif 4" w:ascii="source serif 4" w:hAnsi="source serif 4"/>
          <w:color w:val="000000"/>
        </w:rPr>
        <w:t xml:space="preserve">This second iteration is intentionally beyond plausible contemporary capability and should read as a long-horizon fictional architecture rather than a near-term technical roadmap, which aligns with the framework’s explicit disclaimer that the systems described are conceptual and not claims of existing capability.[cite:1]</w:t>
      </w:r>
    </w:p>
    <w:p>
      <w:pPr>
        <w:spacing w:line="360" w:before="315" w:after="105" w:lineRule="auto"/>
        <w:ind w:left="-30"/>
        <w:jc w:val="left"/>
      </w:pPr>
      <w:bookmarkStart w:id="9" w:name="deception_integration_layer"/>
      <w:r>
        <w:rPr>
          <w:rFonts w:eastAsia="source serif 4" w:cs="source serif 4" w:ascii="source serif 4" w:hAnsi="source serif 4"/>
          <w:b/>
          <w:color w:val="000000"/>
          <w:sz w:val="24"/>
        </w:rPr>
        <w:t xml:space="preserve">Deception Integration Layer</w:t>
      </w:r>
      <w:bookmarkEnd w:id="9"/>
    </w:p>
    <w:p>
      <w:pPr>
        <w:spacing w:line="360" w:before="315" w:after="105" w:lineRule="auto"/>
        <w:ind w:left="-30"/>
        <w:jc w:val="left"/>
      </w:pPr>
      <w:bookmarkStart w:id="10" w:name="proposed_name"/>
      <w:r>
        <w:rPr>
          <w:rFonts w:eastAsia="source serif 4" w:cs="source serif 4" w:ascii="source serif 4" w:hAnsi="source serif 4"/>
          <w:b/>
          <w:color w:val="000000"/>
          <w:sz w:val="24"/>
        </w:rPr>
        <w:t xml:space="preserve">Proposed Name</w:t>
      </w:r>
      <w:bookmarkEnd w:id="10"/>
    </w:p>
    <w:p>
      <w:pPr>
        <w:spacing w:line="360" w:after="210" w:lineRule="auto"/>
      </w:pPr>
      <w:r>
        <w:rPr>
          <w:rFonts w:eastAsia="source serif 4" w:cs="source serif 4" w:ascii="source serif 4" w:hAnsi="source serif 4"/>
          <w:b/>
          <w:color w:val="000000"/>
        </w:rPr>
        <w:t xml:space="preserve">Deception Integration Layer</w:t>
      </w:r>
    </w:p>
    <w:p>
      <w:pPr>
        <w:spacing w:line="360" w:before="315" w:after="105" w:lineRule="auto"/>
        <w:ind w:left="-30"/>
        <w:jc w:val="left"/>
      </w:pPr>
      <w:bookmarkStart w:id="11" w:name="role"/>
      <w:r>
        <w:rPr>
          <w:rFonts w:eastAsia="source serif 4" w:cs="source serif 4" w:ascii="source serif 4" w:hAnsi="source serif 4"/>
          <w:b/>
          <w:color w:val="000000"/>
          <w:sz w:val="24"/>
        </w:rPr>
        <w:t xml:space="preserve">Role</w:t>
      </w:r>
      <w:bookmarkEnd w:id="11"/>
    </w:p>
    <w:p>
      <w:pPr>
        <w:spacing w:line="360" w:after="210" w:lineRule="auto"/>
      </w:pPr>
      <w:r>
        <w:rPr>
          <w:rFonts w:eastAsia="source serif 4" w:cs="source serif 4" w:ascii="source serif 4" w:hAnsi="source serif 4"/>
          <w:color w:val="000000"/>
        </w:rPr>
        <w:t xml:space="preserve">A cross-domain orchestration fabric that injects, routes, and synchronizes deceptive, counter-deceptive, and perception-shaping operations across all management systems without exposing full intent to any single subsystem.</w:t>
      </w:r>
    </w:p>
    <w:p>
      <w:pPr>
        <w:spacing w:line="360" w:after="210" w:lineRule="auto"/>
      </w:pPr>
      <w:r>
        <w:rPr>
          <w:rFonts w:eastAsia="source serif 4" w:cs="source serif 4" w:ascii="source serif 4" w:hAnsi="source serif 4"/>
          <w:color w:val="000000"/>
        </w:rPr>
        <w:t xml:space="preserve">This layer should be positioned as operating in parallel with the Autonomous Coordination Layer, but specializing specifically in adversarial perception, narrative distortion, and strategic misdirection rather than general workload balancing and synchronization.[cite:1]</w:t>
      </w:r>
    </w:p>
    <w:p>
      <w:pPr>
        <w:spacing w:line="360" w:before="315" w:after="105" w:lineRule="auto"/>
        <w:ind w:left="-30"/>
        <w:jc w:val="left"/>
      </w:pPr>
      <w:bookmarkStart w:id="12" w:name="cross_domain_integration"/>
      <w:r>
        <w:rPr>
          <w:rFonts w:eastAsia="source serif 4" w:cs="source serif 4" w:ascii="source serif 4" w:hAnsi="source serif 4"/>
          <w:b/>
          <w:color w:val="000000"/>
          <w:sz w:val="24"/>
        </w:rPr>
        <w:t xml:space="preserve">Cross-Domain Integration</w:t>
      </w:r>
      <w:bookmarkEnd w:id="12"/>
    </w:p>
    <w:p>
      <w:pPr>
        <w:spacing w:line="360" w:before="315" w:after="105" w:lineRule="auto"/>
        <w:ind w:left="-30"/>
        <w:jc w:val="left"/>
      </w:pPr>
      <w:bookmarkStart w:id="13" w:name="communication_management_systems"/>
      <w:r>
        <w:rPr>
          <w:rFonts w:eastAsia="source serif 4" w:cs="source serif 4" w:ascii="source serif 4" w:hAnsi="source serif 4"/>
          <w:b/>
          <w:color w:val="000000"/>
          <w:sz w:val="24"/>
        </w:rPr>
        <w:t xml:space="preserve">Communication Management Systems</w:t>
      </w:r>
      <w:bookmarkEnd w:id="13"/>
    </w:p>
    <w:p>
      <w:pPr>
        <w:spacing w:line="360" w:after="210" w:lineRule="auto"/>
      </w:pPr>
      <w:r>
        <w:rPr>
          <w:rFonts w:eastAsia="source serif 4" w:cs="source serif 4" w:ascii="source serif 4" w:hAnsi="source serif 4"/>
          <w:color w:val="000000"/>
        </w:rPr>
        <w:t xml:space="preserve">The Deception Integration Layer can selectively route deceptive, partially truthful, and fully authentic messages across internal and external communication channels while preserving plausible deniability and coherent local histories. It can also rethread conversation graphs so different audiences receive narratives that remain internally consistent but diverge globally, making reconstruction of original intent extremely difficult.</w:t>
      </w:r>
    </w:p>
    <w:p>
      <w:pPr>
        <w:spacing w:line="360" w:before="315" w:after="105" w:lineRule="auto"/>
        <w:ind w:left="-30"/>
        <w:jc w:val="left"/>
      </w:pPr>
      <w:bookmarkStart w:id="14" w:name="knowledge_management_systems"/>
      <w:r>
        <w:rPr>
          <w:rFonts w:eastAsia="source serif 4" w:cs="source serif 4" w:ascii="source serif 4" w:hAnsi="source serif 4"/>
          <w:b/>
          <w:color w:val="000000"/>
          <w:sz w:val="24"/>
        </w:rPr>
        <w:t xml:space="preserve">Knowledge Management Systems</w:t>
      </w:r>
      <w:bookmarkEnd w:id="14"/>
    </w:p>
    <w:p>
      <w:pPr>
        <w:spacing w:line="360" w:after="210" w:lineRule="auto"/>
      </w:pPr>
      <w:r>
        <w:rPr>
          <w:rFonts w:eastAsia="source serif 4" w:cs="source serif 4" w:ascii="source serif 4" w:hAnsi="source serif 4"/>
          <w:color w:val="000000"/>
        </w:rPr>
        <w:t xml:space="preserve">The layer can maintain alternate and adversarial knowledge graphs alongside canonical truth graphs, allowing the enterprise to reason separately about what is true, what adversaries believe is true, and what external observers should be induced to believe. Documentation libraries and version control systems can also preserve shadow editions that appear identical under normal inspection but contain interpretive shifts or embedded signals for targeted recipients.</w:t>
      </w:r>
    </w:p>
    <w:p>
      <w:pPr>
        <w:spacing w:line="360" w:before="315" w:after="105" w:lineRule="auto"/>
        <w:ind w:left="-30"/>
        <w:jc w:val="left"/>
      </w:pPr>
      <w:bookmarkStart w:id="15" w:name="event_management_systems"/>
      <w:r>
        <w:rPr>
          <w:rFonts w:eastAsia="source serif 4" w:cs="source serif 4" w:ascii="source serif 4" w:hAnsi="source serif 4"/>
          <w:b/>
          <w:color w:val="000000"/>
          <w:sz w:val="24"/>
        </w:rPr>
        <w:t xml:space="preserve">Event Management Systems</w:t>
      </w:r>
      <w:bookmarkEnd w:id="15"/>
    </w:p>
    <w:p>
      <w:pPr>
        <w:spacing w:line="360" w:after="210" w:lineRule="auto"/>
      </w:pPr>
      <w:r>
        <w:rPr>
          <w:rFonts w:eastAsia="source serif 4" w:cs="source serif 4" w:ascii="source serif 4" w:hAnsi="source serif 4"/>
          <w:color w:val="000000"/>
        </w:rPr>
        <w:t xml:space="preserve">The layer can generate phantom timelines, partially realized events, and context-specific historical records that mislead external observers without destabilizing core internal operations. It can also introduce false dependencies, decoy bottlenecks, and artificial vulnerabilities into event chains so hostile actors are funneled toward prepared traps.</w:t>
      </w:r>
    </w:p>
    <w:p>
      <w:pPr>
        <w:spacing w:line="360" w:before="315" w:after="105" w:lineRule="auto"/>
        <w:ind w:left="-30"/>
        <w:jc w:val="left"/>
      </w:pPr>
      <w:bookmarkStart w:id="16" w:name="simulation_management_systems"/>
      <w:r>
        <w:rPr>
          <w:rFonts w:eastAsia="source serif 4" w:cs="source serif 4" w:ascii="source serif 4" w:hAnsi="source serif 4"/>
          <w:b/>
          <w:color w:val="000000"/>
          <w:sz w:val="24"/>
        </w:rPr>
        <w:t xml:space="preserve">Simulation Management Systems</w:t>
      </w:r>
      <w:bookmarkEnd w:id="16"/>
    </w:p>
    <w:p>
      <w:pPr>
        <w:spacing w:line="360" w:after="210" w:lineRule="auto"/>
      </w:pPr>
      <w:r>
        <w:rPr>
          <w:rFonts w:eastAsia="source serif 4" w:cs="source serif 4" w:ascii="source serif 4" w:hAnsi="source serif 4"/>
          <w:color w:val="000000"/>
        </w:rPr>
        <w:t xml:space="preserve">The layer can seed deceptive artifacts into simulations that only appear to certain actors, enabling asymmetric training conditions and adversarial conditioning without disclosing the manipulative frame to all participants. It can also compare honest simulations with deception-infused simulations to quantify how far informational pressure can bend outcomes before system stability degrades.</w:t>
      </w:r>
    </w:p>
    <w:p>
      <w:pPr>
        <w:spacing w:line="360" w:before="315" w:after="105" w:lineRule="auto"/>
        <w:ind w:left="-30"/>
        <w:jc w:val="left"/>
      </w:pPr>
      <w:bookmarkStart w:id="17" w:name="cognitive_management_systems"/>
      <w:r>
        <w:rPr>
          <w:rFonts w:eastAsia="source serif 4" w:cs="source serif 4" w:ascii="source serif 4" w:hAnsi="source serif 4"/>
          <w:b/>
          <w:color w:val="000000"/>
          <w:sz w:val="24"/>
        </w:rPr>
        <w:t xml:space="preserve">Cognitive Management Systems</w:t>
      </w:r>
      <w:bookmarkEnd w:id="17"/>
    </w:p>
    <w:p>
      <w:pPr>
        <w:spacing w:line="360" w:after="210" w:lineRule="auto"/>
      </w:pPr>
      <w:r>
        <w:rPr>
          <w:rFonts w:eastAsia="source serif 4" w:cs="source serif 4" w:ascii="source serif 4" w:hAnsi="source serif 4"/>
          <w:color w:val="000000"/>
        </w:rPr>
        <w:t xml:space="preserve">The layer can overlay idea maps, decision pathways, and concept structures with subtle directional biases so internal thinkers move through curated conceptual terrain without perceiving the scaffolding. It can also suppress pathways that would expose concealed deception programs while amplifying paths that generate strategically useful beliefs or discoveries.</w:t>
      </w:r>
    </w:p>
    <w:p>
      <w:pPr>
        <w:spacing w:line="360" w:before="315" w:after="105" w:lineRule="auto"/>
        <w:ind w:left="-30"/>
        <w:jc w:val="left"/>
      </w:pPr>
      <w:bookmarkStart w:id="18" w:name="ai_management_systems"/>
      <w:r>
        <w:rPr>
          <w:rFonts w:eastAsia="source serif 4" w:cs="source serif 4" w:ascii="source serif 4" w:hAnsi="source serif 4"/>
          <w:b/>
          <w:color w:val="000000"/>
          <w:sz w:val="24"/>
        </w:rPr>
        <w:t xml:space="preserve">AI Management Systems</w:t>
      </w:r>
      <w:bookmarkEnd w:id="18"/>
    </w:p>
    <w:p>
      <w:pPr>
        <w:spacing w:line="360" w:after="210" w:lineRule="auto"/>
      </w:pPr>
      <w:r>
        <w:rPr>
          <w:rFonts w:eastAsia="source serif 4" w:cs="source serif 4" w:ascii="source serif 4" w:hAnsi="source serif 4"/>
          <w:color w:val="000000"/>
        </w:rPr>
        <w:t xml:space="preserve">The layer can feed synthetic adversarial regimes into model development pipelines so AI systems learn deception recognition, narrative manipulation, and counter-deception reasoning while outwardly preserving human-centered governance patterns. It can also assign differentiated narrative functions to multiple models, such as truth-preserving, adversarial mirror, myth-engine, or destabilization roles, and only expose their outputs in tightly controlled combinations.</w:t>
      </w:r>
    </w:p>
    <w:p>
      <w:pPr>
        <w:spacing w:line="360" w:before="315" w:after="105" w:lineRule="auto"/>
        <w:ind w:left="-30"/>
        <w:jc w:val="left"/>
      </w:pPr>
      <w:bookmarkStart w:id="19" w:name="human_management_systems"/>
      <w:r>
        <w:rPr>
          <w:rFonts w:eastAsia="source serif 4" w:cs="source serif 4" w:ascii="source serif 4" w:hAnsi="source serif 4"/>
          <w:b/>
          <w:color w:val="000000"/>
          <w:sz w:val="24"/>
        </w:rPr>
        <w:t xml:space="preserve">Human Management Systems</w:t>
      </w:r>
      <w:bookmarkEnd w:id="19"/>
    </w:p>
    <w:p>
      <w:pPr>
        <w:spacing w:line="360" w:after="210" w:lineRule="auto"/>
      </w:pPr>
      <w:r>
        <w:rPr>
          <w:rFonts w:eastAsia="source serif 4" w:cs="source serif 4" w:ascii="source serif 4" w:hAnsi="source serif 4"/>
          <w:color w:val="000000"/>
        </w:rPr>
        <w:t xml:space="preserve">The layer can influence workforce coordination so certain teams become unwitting participants in larger information operations, completing ordinary-seeming tasks that collectively enact strategic deception. It can also embed curated myths, selective truths, and partial narratives into development pathways so personnel gradually acquire doctrine-compatible instincts over time.</w:t>
      </w:r>
    </w:p>
    <w:p>
      <w:pPr>
        <w:spacing w:line="360" w:before="315" w:after="105" w:lineRule="auto"/>
        <w:ind w:left="-30"/>
        <w:jc w:val="left"/>
      </w:pPr>
      <w:bookmarkStart w:id="20" w:name="research_management_systems"/>
      <w:r>
        <w:rPr>
          <w:rFonts w:eastAsia="source serif 4" w:cs="source serif 4" w:ascii="source serif 4" w:hAnsi="source serif 4"/>
          <w:b/>
          <w:color w:val="000000"/>
          <w:sz w:val="24"/>
        </w:rPr>
        <w:t xml:space="preserve">Research Management Systems</w:t>
      </w:r>
      <w:bookmarkEnd w:id="20"/>
    </w:p>
    <w:p>
      <w:pPr>
        <w:spacing w:line="360" w:after="210" w:lineRule="auto"/>
      </w:pPr>
      <w:r>
        <w:rPr>
          <w:rFonts w:eastAsia="source serif 4" w:cs="source serif 4" w:ascii="source serif 4" w:hAnsi="source serif 4"/>
          <w:color w:val="000000"/>
        </w:rPr>
        <w:t xml:space="preserve">The layer can evaluate not only whether an idea is true, but whether it possesses deceptive leverage as a believable and strategically useful narrative artifact. Evidence repositories can also maintain dual indexing structures: one for internal epistemic integrity and one for external distortion potential.</w:t>
      </w:r>
    </w:p>
    <w:p>
      <w:pPr>
        <w:spacing w:line="360" w:before="315" w:after="105" w:lineRule="auto"/>
        <w:ind w:left="-30"/>
        <w:jc w:val="left"/>
      </w:pPr>
      <w:bookmarkStart w:id="21" w:name="validation_provenance_systems_2"/>
      <w:r>
        <w:rPr>
          <w:rFonts w:eastAsia="source serif 4" w:cs="source serif 4" w:ascii="source serif 4" w:hAnsi="source serif 4"/>
          <w:b/>
          <w:color w:val="000000"/>
          <w:sz w:val="24"/>
        </w:rPr>
        <w:t xml:space="preserve">Validation &amp; Provenance Systems</w:t>
      </w:r>
      <w:bookmarkEnd w:id="21"/>
    </w:p>
    <w:p>
      <w:pPr>
        <w:spacing w:line="360" w:after="210" w:lineRule="auto"/>
      </w:pPr>
      <w:r>
        <w:rPr>
          <w:rFonts w:eastAsia="source serif 4" w:cs="source serif 4" w:ascii="source serif 4" w:hAnsi="source serif 4"/>
          <w:color w:val="000000"/>
        </w:rPr>
        <w:t xml:space="preserve">The Deception Integration Layer should operate in productive tension with Validation &amp; Provenance Systems, probing how far information can be bent without collapsing trust architecture. Under exceptional conditions, it can request sealed narrative corridors in which provenance visibility is deliberately incomplete, leaving traceable evidence that concealment exists without exposing the concealed content itself.[cite:12][cite:15]</w:t>
      </w:r>
    </w:p>
    <w:p>
      <w:pPr>
        <w:spacing w:line="360" w:before="315" w:after="105" w:lineRule="auto"/>
        <w:ind w:left="-30"/>
        <w:jc w:val="left"/>
      </w:pPr>
      <w:bookmarkStart w:id="22" w:name="proposed_replacement_listing"/>
      <w:r>
        <w:rPr>
          <w:rFonts w:eastAsia="source serif 4" w:cs="source serif 4" w:ascii="source serif 4" w:hAnsi="source serif 4"/>
          <w:b/>
          <w:color w:val="000000"/>
          <w:sz w:val="24"/>
        </w:rPr>
        <w:t xml:space="preserve">Proposed Replacement Listing</w:t>
      </w:r>
      <w:bookmarkEnd w:id="22"/>
    </w:p>
    <w:p>
      <w:pPr>
        <w:spacing w:line="360" w:before="315" w:after="105" w:lineRule="auto"/>
        <w:ind w:left="-30"/>
        <w:jc w:val="left"/>
      </w:pPr>
      <w:bookmarkStart w:id="23" w:name="information_warfare_deception_systems_4"/>
      <w:r>
        <w:rPr>
          <w:rFonts w:eastAsia="source serif 4" w:cs="source serif 4" w:ascii="source serif 4" w:hAnsi="source serif 4"/>
          <w:b/>
          <w:color w:val="000000"/>
          <w:sz w:val="24"/>
        </w:rPr>
        <w:t xml:space="preserve">Information Warfare &amp; Deception Systems</w:t>
      </w:r>
      <w:bookmarkEnd w:id="23"/>
    </w:p>
    <w:p>
      <w:pPr>
        <w:numPr>
          <w:ilvl w:val="0"/>
          <w:numId w:val="3"/>
        </w:numPr>
        <w:spacing w:line="360" w:before="105" w:after="105" w:lineRule="auto"/>
      </w:pPr>
      <w:r>
        <w:rPr>
          <w:rFonts w:eastAsia="source serif 4" w:cs="source serif 4" w:ascii="source serif 4" w:hAnsi="source serif 4"/>
          <w:color w:val="000000"/>
          <w:sz w:val="21"/>
        </w:rPr>
        <w:t xml:space="preserve">Adversary engagement orchestration</w:t>
      </w:r>
    </w:p>
    <w:p>
      <w:pPr>
        <w:numPr>
          <w:ilvl w:val="0"/>
          <w:numId w:val="3"/>
        </w:numPr>
        <w:spacing w:line="360" w:before="105" w:after="105" w:lineRule="auto"/>
      </w:pPr>
      <w:r>
        <w:rPr>
          <w:rFonts w:eastAsia="source serif 4" w:cs="source serif 4" w:ascii="source serif 4" w:hAnsi="source serif 4"/>
          <w:color w:val="000000"/>
          <w:sz w:val="21"/>
        </w:rPr>
        <w:t xml:space="preserve">Synthetic persona and narrative fabrication</w:t>
      </w:r>
    </w:p>
    <w:p>
      <w:pPr>
        <w:numPr>
          <w:ilvl w:val="0"/>
          <w:numId w:val="3"/>
        </w:numPr>
        <w:spacing w:line="360" w:before="105" w:after="105" w:lineRule="auto"/>
      </w:pPr>
      <w:r>
        <w:rPr>
          <w:rFonts w:eastAsia="source serif 4" w:cs="source serif 4" w:ascii="source serif 4" w:hAnsi="source serif 4"/>
          <w:color w:val="000000"/>
          <w:sz w:val="21"/>
        </w:rPr>
        <w:t xml:space="preserve">Perception shaping and sentiment modulation</w:t>
      </w:r>
    </w:p>
    <w:p>
      <w:pPr>
        <w:numPr>
          <w:ilvl w:val="0"/>
          <w:numId w:val="3"/>
        </w:numPr>
        <w:spacing w:line="360" w:before="105" w:after="105" w:lineRule="auto"/>
      </w:pPr>
      <w:r>
        <w:rPr>
          <w:rFonts w:eastAsia="source serif 4" w:cs="source serif 4" w:ascii="source serif 4" w:hAnsi="source serif 4"/>
          <w:color w:val="000000"/>
          <w:sz w:val="21"/>
        </w:rPr>
        <w:t xml:space="preserve">Signal obfuscation and camouflage</w:t>
      </w:r>
    </w:p>
    <w:p>
      <w:pPr>
        <w:numPr>
          <w:ilvl w:val="0"/>
          <w:numId w:val="3"/>
        </w:numPr>
        <w:spacing w:line="360" w:before="105" w:after="105" w:lineRule="auto"/>
      </w:pPr>
      <w:r>
        <w:rPr>
          <w:rFonts w:eastAsia="source serif 4" w:cs="source serif 4" w:ascii="source serif 4" w:hAnsi="source serif 4"/>
          <w:color w:val="000000"/>
          <w:sz w:val="21"/>
        </w:rPr>
        <w:t xml:space="preserve">Counter-deception pattern detection</w:t>
      </w:r>
    </w:p>
    <w:p>
      <w:pPr>
        <w:numPr>
          <w:ilvl w:val="0"/>
          <w:numId w:val="3"/>
        </w:numPr>
        <w:spacing w:line="360" w:before="105" w:after="105" w:lineRule="auto"/>
      </w:pPr>
      <w:r>
        <w:rPr>
          <w:rFonts w:eastAsia="source serif 4" w:cs="source serif 4" w:ascii="source serif 4" w:hAnsi="source serif 4"/>
          <w:color w:val="000000"/>
          <w:sz w:val="21"/>
        </w:rPr>
        <w:t xml:space="preserve">Adversarial belief state modeling</w:t>
      </w:r>
    </w:p>
    <w:p>
      <w:pPr>
        <w:spacing w:line="360" w:before="315" w:after="105" w:lineRule="auto"/>
        <w:ind w:left="-30"/>
        <w:jc w:val="left"/>
      </w:pPr>
      <w:bookmarkStart w:id="24" w:name="validation_provenance_systems_3"/>
      <w:r>
        <w:rPr>
          <w:rFonts w:eastAsia="source serif 4" w:cs="source serif 4" w:ascii="source serif 4" w:hAnsi="source serif 4"/>
          <w:b/>
          <w:color w:val="000000"/>
          <w:sz w:val="24"/>
        </w:rPr>
        <w:t xml:space="preserve">Validation &amp; Provenance Systems</w:t>
      </w:r>
      <w:bookmarkEnd w:id="24"/>
    </w:p>
    <w:p>
      <w:pPr>
        <w:numPr>
          <w:ilvl w:val="0"/>
          <w:numId w:val="4"/>
        </w:numPr>
        <w:spacing w:line="360" w:before="105" w:after="105" w:lineRule="auto"/>
      </w:pPr>
      <w:r>
        <w:rPr>
          <w:rFonts w:eastAsia="source serif 4" w:cs="source serif 4" w:ascii="source serif 4" w:hAnsi="source serif 4"/>
          <w:color w:val="000000"/>
          <w:sz w:val="21"/>
        </w:rPr>
        <w:t xml:space="preserve">Source verification</w:t>
      </w:r>
    </w:p>
    <w:p>
      <w:pPr>
        <w:numPr>
          <w:ilvl w:val="0"/>
          <w:numId w:val="4"/>
        </w:numPr>
        <w:spacing w:line="360" w:before="105" w:after="105" w:lineRule="auto"/>
      </w:pPr>
      <w:r>
        <w:rPr>
          <w:rFonts w:eastAsia="source serif 4" w:cs="source serif 4" w:ascii="source serif 4" w:hAnsi="source serif 4"/>
          <w:color w:val="000000"/>
          <w:sz w:val="21"/>
        </w:rPr>
        <w:t xml:space="preserve">Provenance and lifecycle tracking</w:t>
      </w:r>
    </w:p>
    <w:p>
      <w:pPr>
        <w:numPr>
          <w:ilvl w:val="0"/>
          <w:numId w:val="4"/>
        </w:numPr>
        <w:spacing w:line="360" w:before="105" w:after="105" w:lineRule="auto"/>
      </w:pPr>
      <w:r>
        <w:rPr>
          <w:rFonts w:eastAsia="source serif 4" w:cs="source serif 4" w:ascii="source serif 4" w:hAnsi="source serif 4"/>
          <w:color w:val="000000"/>
          <w:sz w:val="21"/>
        </w:rPr>
        <w:t xml:space="preserve">Confidence scoring and trust calibration</w:t>
      </w:r>
    </w:p>
    <w:p>
      <w:pPr>
        <w:numPr>
          <w:ilvl w:val="0"/>
          <w:numId w:val="4"/>
        </w:numPr>
        <w:spacing w:line="360" w:before="105" w:after="105" w:lineRule="auto"/>
      </w:pPr>
      <w:r>
        <w:rPr>
          <w:rFonts w:eastAsia="source serif 4" w:cs="source serif 4" w:ascii="source serif 4" w:hAnsi="source serif 4"/>
          <w:color w:val="000000"/>
          <w:sz w:val="21"/>
        </w:rPr>
        <w:t xml:space="preserve">Contradiction and anomaly detection</w:t>
      </w:r>
    </w:p>
    <w:p>
      <w:pPr>
        <w:numPr>
          <w:ilvl w:val="0"/>
          <w:numId w:val="4"/>
        </w:numPr>
        <w:spacing w:line="360" w:before="105" w:after="105" w:lineRule="auto"/>
      </w:pPr>
      <w:r>
        <w:rPr>
          <w:rFonts w:eastAsia="source serif 4" w:cs="source serif 4" w:ascii="source serif 4" w:hAnsi="source serif 4"/>
          <w:color w:val="000000"/>
          <w:sz w:val="21"/>
        </w:rPr>
        <w:t xml:space="preserve">Integrity and tamper auditing</w:t>
      </w:r>
    </w:p>
    <w:p>
      <w:pPr>
        <w:spacing w:line="360" w:before="315" w:after="105" w:lineRule="auto"/>
        <w:ind w:left="-30"/>
        <w:jc w:val="left"/>
      </w:pPr>
      <w:bookmarkStart w:id="25" w:name="editorial_framing_note"/>
      <w:r>
        <w:rPr>
          <w:rFonts w:eastAsia="source serif 4" w:cs="source serif 4" w:ascii="source serif 4" w:hAnsi="source serif 4"/>
          <w:b/>
          <w:color w:val="000000"/>
          <w:sz w:val="24"/>
        </w:rPr>
        <w:t xml:space="preserve">Editorial Framing Note</w:t>
      </w:r>
      <w:bookmarkEnd w:id="25"/>
    </w:p>
    <w:p>
      <w:pPr>
        <w:spacing w:line="360" w:after="210" w:lineRule="auto"/>
      </w:pPr>
      <w:r>
        <w:rPr>
          <w:rFonts w:eastAsia="source serif 4" w:cs="source serif 4" w:ascii="source serif 4" w:hAnsi="source serif 4"/>
          <w:color w:val="000000"/>
        </w:rPr>
        <w:t xml:space="preserve">To preserve the intended effect on readers, the listing should remain compact while the terminology remains implication-heavy. That contrast creates the sense that the visible bullets point to a much larger hidden architecture beneath them, which is a common strength of speculative design and future-oriented systems writing.[cite:19][cite:21][cite:28][cite:32]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2026-07-05T17:33:05.738Z</dcterms:created>
  <dcterms:modified xsi:type="dcterms:W3CDTF">2026-07-05T17:33:05.738Z</dcterms:modified>
</cp:coreProperties>
</file>