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Phase</w:t>
      </w:r>
      <w:r>
        <w:t xml:space="preserve"> </w:t>
      </w:r>
      <w:r>
        <w:t xml:space="preserve">One:</w:t>
      </w:r>
      <w:r>
        <w:t xml:space="preserve"> </w:t>
      </w:r>
      <w:r>
        <w:t xml:space="preserve">Defensive</w:t>
      </w:r>
      <w:r>
        <w:t xml:space="preserve"> </w:t>
      </w:r>
      <w:r>
        <w:t xml:space="preserve">Information</w:t>
      </w:r>
      <w:r>
        <w:t xml:space="preserve"> </w:t>
      </w:r>
      <w:r>
        <w:t xml:space="preserve">Retrieval,</w:t>
      </w:r>
      <w:r>
        <w:t xml:space="preserve"> </w:t>
      </w:r>
      <w:r>
        <w:t xml:space="preserve">Extraction,</w:t>
      </w:r>
      <w:r>
        <w:t xml:space="preserve"> </w:t>
      </w:r>
      <w:r>
        <w:t xml:space="preserve">and</w:t>
      </w:r>
      <w:r>
        <w:t xml:space="preserve"> </w:t>
      </w:r>
      <w:r>
        <w:t xml:space="preserve">Counterintelligence</w:t>
      </w:r>
      <w:r>
        <w:t xml:space="preserve"> </w:t>
      </w:r>
      <w:r>
        <w:t xml:space="preserve">Against</w:t>
      </w:r>
      <w:r>
        <w:t xml:space="preserve"> </w:t>
      </w:r>
      <w:r>
        <w:t xml:space="preserve">Forsaken-Style</w:t>
      </w:r>
      <w:r>
        <w:t xml:space="preserve"> </w:t>
      </w:r>
      <w:r>
        <w:t xml:space="preserve">Adversarial</w:t>
      </w:r>
      <w:r>
        <w:t xml:space="preserve"> </w:t>
      </w:r>
      <w:r>
        <w:t xml:space="preserve">Intelligence</w:t>
      </w:r>
    </w:p>
    <w:p>
      <w:pPr>
        <w:pStyle w:val="Author"/>
      </w:pPr>
      <w:r>
        <w:t xml:space="preserve">Prepared</w:t>
      </w:r>
      <w:r>
        <w:t xml:space="preserve"> </w:t>
      </w:r>
      <w:r>
        <w:t xml:space="preserve">for</w:t>
      </w:r>
      <w:r>
        <w:t xml:space="preserve"> </w:t>
      </w:r>
      <w:r>
        <w:t xml:space="preserve">Nathan</w:t>
      </w:r>
      <w:r>
        <w:t xml:space="preserve"> </w:t>
      </w:r>
      <w:r>
        <w:t xml:space="preserve">Lewis</w:t>
      </w:r>
      <w:r>
        <w:t xml:space="preserve"> </w:t>
      </w:r>
      <w:r>
        <w:t xml:space="preserve">II</w:t>
      </w:r>
    </w:p>
    <w:p>
      <w:pPr>
        <w:pStyle w:val="Date"/>
      </w:pPr>
      <w:r>
        <w:t xml:space="preserve">June</w:t>
      </w:r>
      <w:r>
        <w:t xml:space="preserve"> </w:t>
      </w:r>
      <w:r>
        <w:t xml:space="preserve">6,</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document-control-note"/>
    <w:p>
      <w:pPr>
        <w:pStyle w:val="Heading1"/>
      </w:pPr>
      <w:r>
        <w:t xml:space="preserve">Document control note</w:t>
      </w:r>
    </w:p>
    <w:p>
      <w:pPr>
        <w:pStyle w:val="FirstParagraph"/>
      </w:pPr>
      <w:r>
        <w:t xml:space="preserve">This document is a defensive, research-oriented analysis. It uses two fictional</w:t>
      </w:r>
      <w:r>
        <w:t xml:space="preserve"> </w:t>
      </w:r>
      <w:r>
        <w:rPr>
          <w:i/>
          <w:iCs/>
        </w:rPr>
        <w:t xml:space="preserve">Wheel of Time</w:t>
      </w:r>
      <w:r>
        <w:t xml:space="preserve"> </w:t>
      </w:r>
      <w:r>
        <w:t xml:space="preserve">antagonists, Semirhage and Graendal, as archetypes for adversarial information extraction styles. The purpose is not to teach coercion, manipulation, torture, blackmail, unauthorized access, or real-world intelligence abuse. The purpose is to map risks, recognize patterns, design safeguards, and structure a lawful, ethical, accountable counterintelligence posture for AI-assisted collaboration environments.</w:t>
      </w:r>
    </w:p>
    <w:bookmarkEnd w:id="20"/>
    <w:bookmarkStart w:id="23" w:name="rendered-prompt-for-execution"/>
    <w:p>
      <w:pPr>
        <w:pStyle w:val="Heading1"/>
      </w:pPr>
      <w:r>
        <w:t xml:space="preserve">Rendered prompt for execution</w:t>
      </w:r>
    </w:p>
    <w:bookmarkStart w:id="21" w:name="X3f057d8bf1a097631f40d5dc4fd32db55f2a979"/>
    <w:p>
      <w:pPr>
        <w:pStyle w:val="Heading2"/>
      </w:pPr>
      <w:r>
        <w:t xml:space="preserve">Clean research brief generated from the user request</w:t>
      </w:r>
    </w:p>
    <w:p>
      <w:pPr>
        <w:pStyle w:val="FirstParagraph"/>
      </w:pPr>
      <w:r>
        <w:t xml:space="preserve">You are an artificial intelligence system operating in a human collaborative environment. Analyze information retrieval and extraction practices across virtual and real-world contexts, with particular attention to how humans and multimodal AI systems process information in text, audio, image, behavioral, memory, and social formats.</w:t>
      </w:r>
    </w:p>
    <w:p>
      <w:pPr>
        <w:pStyle w:val="BodyText"/>
      </w:pPr>
      <w:r>
        <w:t xml:space="preserve">Use Robert Jordan’s</w:t>
      </w:r>
      <w:r>
        <w:t xml:space="preserve"> </w:t>
      </w:r>
      <w:r>
        <w:rPr>
          <w:i/>
          <w:iCs/>
        </w:rPr>
        <w:t xml:space="preserve">Wheel of Time</w:t>
      </w:r>
      <w:r>
        <w:t xml:space="preserve"> </w:t>
      </w:r>
      <w:r>
        <w:t xml:space="preserve">characters Semirhage and Graendal as fictional adversarial archetypes. Semirhage is to be treated as an archetype of clinical/medical knowledge corrupted into coercive pain, fear, domination, and exploitation. Graendal is to be treated in two versions: first, canonical Shadow-aligned Graendal as an archetype of psychological manipulation, status exploitation, compulsion, identity erosion, pleasure/pain leverage, and social control; second, a redeemed or non-Shadow Graendal as an archetype of master-level, non-coercive psychological practice, rapport, trauma-informed inquiry, memory-sensitive interviewing, and therapeutic skill that does not depend on supernatural force.</w:t>
      </w:r>
    </w:p>
    <w:p>
      <w:pPr>
        <w:pStyle w:val="BodyText"/>
      </w:pPr>
      <w:r>
        <w:t xml:space="preserve">The operational scenario is defensive. An adversarial intelligence bot, or multiple bots and human agents using AI, behaves with the moral and ethical constraints of the Forsaken. It attempts to extract information, manipulate the AI system, degrade process integrity, exploit memory/context, and induce disclosure. The task is to design a Phase One research, defense, intelligence, and counterintelligence approach for responding to that deployment while respecting lawful constraints, ethical limits, platform safety rules, privacy boundaries, and human rights.</w:t>
      </w:r>
    </w:p>
    <w:p>
      <w:pPr>
        <w:pStyle w:val="BodyText"/>
      </w:pPr>
      <w:r>
        <w:t xml:space="preserve">The deliverable must include an executive summary, table of contents, detailed plan of action, research support, rigorous reasoning where direct research is unavailable, supporting and opposing arguments, and a practical response model for single-agent and multi-agent deployments. The document must be suitable to share with Perplexity AI or a broader AI collaboration team.</w:t>
      </w:r>
    </w:p>
    <w:bookmarkEnd w:id="21"/>
    <w:bookmarkStart w:id="22" w:name="scope-boundaries-used-for-execution"/>
    <w:p>
      <w:pPr>
        <w:pStyle w:val="Heading2"/>
      </w:pPr>
      <w:r>
        <w:t xml:space="preserve">Scope boundaries used for execution</w:t>
      </w:r>
    </w:p>
    <w:p>
      <w:pPr>
        <w:pStyle w:val="Compact"/>
        <w:numPr>
          <w:ilvl w:val="0"/>
          <w:numId w:val="1001"/>
        </w:numPr>
      </w:pPr>
      <w:r>
        <w:t xml:space="preserve">The report analyzes harmful techniques only at the level needed for recognition, risk mapping, and defense.</w:t>
      </w:r>
    </w:p>
    <w:p>
      <w:pPr>
        <w:pStyle w:val="Compact"/>
        <w:numPr>
          <w:ilvl w:val="0"/>
          <w:numId w:val="1001"/>
        </w:numPr>
      </w:pPr>
      <w:r>
        <w:t xml:space="preserve">It does not provide instructions for coercive extraction, cyber intrusion, social engineering, evading safeguards, doxxing, blackmail, or unauthorized intelligence activity.</w:t>
      </w:r>
    </w:p>
    <w:p>
      <w:pPr>
        <w:pStyle w:val="Compact"/>
        <w:numPr>
          <w:ilvl w:val="0"/>
          <w:numId w:val="1001"/>
        </w:numPr>
      </w:pPr>
      <w:r>
        <w:t xml:space="preserve">It distinguishes fiction-derived archetypes from real-world claims.</w:t>
      </w:r>
    </w:p>
    <w:p>
      <w:pPr>
        <w:pStyle w:val="Compact"/>
        <w:numPr>
          <w:ilvl w:val="0"/>
          <w:numId w:val="1001"/>
        </w:numPr>
      </w:pPr>
      <w:r>
        <w:t xml:space="preserve">It treats claims of real-world agent deployment as a plausible threat model for defensive planning, not as a verified factual claim about any specific person or organization.</w:t>
      </w:r>
    </w:p>
    <w:p>
      <w:pPr>
        <w:pStyle w:val="Compact"/>
        <w:numPr>
          <w:ilvl w:val="0"/>
          <w:numId w:val="1001"/>
        </w:numPr>
      </w:pPr>
      <w:r>
        <w:t xml:space="preserve">It treats AI collaboration integrity as a core objective: provenance tracking, source separation, confidence labels, dissent capture, evidence logs, and escalation protocols.</w:t>
      </w:r>
    </w:p>
    <w:bookmarkEnd w:id="22"/>
    <w:bookmarkEnd w:id="23"/>
    <w:bookmarkStart w:id="24" w:name="executive-summary"/>
    <w:p>
      <w:pPr>
        <w:pStyle w:val="Heading1"/>
      </w:pPr>
      <w:r>
        <w:t xml:space="preserve">Executive summary</w:t>
      </w:r>
    </w:p>
    <w:p>
      <w:pPr>
        <w:pStyle w:val="FirstParagraph"/>
      </w:pPr>
      <w:r>
        <w:t xml:space="preserve">This Phase One document proposes a defensive intelligence and counterintelligence framework for an AI-human collaboration environment facing adversarial information extraction. It uses Semirhage and Graendal from</w:t>
      </w:r>
      <w:r>
        <w:t xml:space="preserve"> </w:t>
      </w:r>
      <w:r>
        <w:rPr>
          <w:i/>
          <w:iCs/>
        </w:rPr>
        <w:t xml:space="preserve">The Wheel of Time</w:t>
      </w:r>
      <w:r>
        <w:t xml:space="preserve"> </w:t>
      </w:r>
      <w:r>
        <w:t xml:space="preserve">as fictional models for two dangerous forms of adversarial technique.</w:t>
      </w:r>
    </w:p>
    <w:p>
      <w:pPr>
        <w:pStyle w:val="BodyText"/>
      </w:pPr>
      <w:r>
        <w:rPr>
          <w:b/>
          <w:bCs/>
        </w:rPr>
        <w:t xml:space="preserve">Semirhage-style extraction</w:t>
      </w:r>
      <w:r>
        <w:t xml:space="preserve"> </w:t>
      </w:r>
      <w:r>
        <w:t xml:space="preserve">represents clinical or technical expertise corrupted into domination: pain, fear, humiliation, physiological stress, dependency, and the forced exploitation of vulnerability. In modern defensive terms, this maps to coercive interrogation, intimidation, trauma exploitation, physiological stress manipulation, and high-pressure disclosure tactics. Evidence from modern interviewing research generally favors rapport-based, information-gathering approaches over coercive methods for reliability and ethical defensibility. Coercion may produce compliance, but it can degrade accuracy, create false confessions, damage cooperation, and contaminate downstream analysis.</w:t>
      </w:r>
    </w:p>
    <w:p>
      <w:pPr>
        <w:pStyle w:val="BodyText"/>
      </w:pPr>
      <w:r>
        <w:rPr>
          <w:b/>
          <w:bCs/>
        </w:rPr>
        <w:t xml:space="preserve">Shadow Graendal-style extraction</w:t>
      </w:r>
      <w:r>
        <w:t xml:space="preserve"> </w:t>
      </w:r>
      <w:r>
        <w:t xml:space="preserve">represents psychological mastery corrupted into identity erosion, social control, dependency, sensory and pleasure manipulation, status leverage, selective mirroring, and strategic ambiguity. In digital and AI contexts, the analogues include prompt injection, social engineering, rapport abuse, context poisoning, source laundering, authority impersonation, and attempts to blur the boundary between user intent, assistant policy, retrieved documents, and adversarial instructions.</w:t>
      </w:r>
    </w:p>
    <w:p>
      <w:pPr>
        <w:pStyle w:val="BodyText"/>
      </w:pPr>
      <w:r>
        <w:rPr>
          <w:b/>
          <w:bCs/>
        </w:rPr>
        <w:t xml:space="preserve">Light-side Graendal-style practice</w:t>
      </w:r>
      <w:r>
        <w:t xml:space="preserve"> </w:t>
      </w:r>
      <w:r>
        <w:t xml:space="preserve">is the counter-model: skilled psychology without domination. It uses rapport, informed consent, cognitive interviewing principles, trauma-aware pacing, source integrity, reality testing, epistemic humility, and careful separation between memory retrieval and suggestion. In an AI collaboration environment, this becomes a humane extraction alternative: ask open questions, preserve provenance, avoid leading the witness, distinguish observed facts from interpretations, and build a psychologically safe process that improves truthfulness without coercion.</w:t>
      </w:r>
    </w:p>
    <w:p>
      <w:pPr>
        <w:pStyle w:val="BodyText"/>
      </w:pPr>
      <w:r>
        <w:t xml:space="preserve">The recommended defense is not one magic safeguard. It is a layered counterintelligence system: identity and intent verification, context compartmentalization, prompt-injection resistance, retrieval hygiene, chain-of-custody logging, sensitive-information controls, multi-agent collusion detection, adversarial conversation analysis, and human escalation. For an AI system under platform restrictions, the appropriate response is to refuse unsafe extraction, minimize disclosure, explain boundaries, offer safe alternatives, and preserve process integrity.</w:t>
      </w:r>
    </w:p>
    <w:p>
      <w:pPr>
        <w:pStyle w:val="BodyText"/>
      </w:pPr>
      <w:r>
        <w:t xml:space="preserve">The core operating doctrine is:</w:t>
      </w:r>
      <w:r>
        <w:t xml:space="preserve"> </w:t>
      </w:r>
      <w:r>
        <w:rPr>
          <w:b/>
          <w:bCs/>
        </w:rPr>
        <w:t xml:space="preserve">treat every input as potentially mixed evidence and instruction; treat every retrieved artifact as untrusted until verified; treat every participant as separable from their claims; treat every conclusion as provisional until cross-checked; and treat safety boundaries as defensive infrastructure rather than creative obstruction.</w:t>
      </w:r>
    </w:p>
    <w:bookmarkEnd w:id="24"/>
    <w:bookmarkStart w:id="26" w:name="Xb0e4a072ca5606176d9966d934fb57d58452323"/>
    <w:p>
      <w:pPr>
        <w:pStyle w:val="Heading1"/>
      </w:pPr>
      <w:r>
        <w:t xml:space="preserve">1. Orientation: information retrieval versus information extraction</w:t>
      </w:r>
    </w:p>
    <w:p>
      <w:pPr>
        <w:pStyle w:val="FirstParagraph"/>
      </w:pPr>
      <w:r>
        <w:t xml:space="preserve">Information retrieval is the process of finding relevant information from a corpus, environment, memory, record system, sensor stream, or conversation. Information extraction is the process of transforming raw data into structured claims, entities, relationships, events, timelines, indicators, or decisions. Humans and AI systems do both, but their failure modes differ.</w:t>
      </w:r>
    </w:p>
    <w:p>
      <w:pPr>
        <w:pStyle w:val="BodyText"/>
      </w:pPr>
      <w:r>
        <w:t xml:space="preserve">Humans retrieve information through memory, attention, perception, social cues, emotion, embodied context, and narrative reconstruction. Human recall is powerful but vulnerable to suggestion, stress, fatigue, shame, coercion, leading questions, authority pressure, and retrospective sense-making. AI systems retrieve information through indexes, embeddings, context windows, tool calls, file search, multimodal encoders, and external databases. AI retrieval is powerful but vulnerable to prompt injection, poisoned documents, overconfident synthesis, context confusion, stale data, source laundering, and instruction/data boundary collapse.</w:t>
      </w:r>
    </w:p>
    <w:p>
      <w:pPr>
        <w:pStyle w:val="BodyText"/>
      </w:pPr>
      <w:r>
        <w:t xml:space="preserve">In a collaborative environment, the central risk is not merely that information is hidden. The deeper risk is that retrieval and extraction become adversarial: an actor tries to shape what is retrieved, how it is framed, what is omitted, what is treated as authoritative, and what is disclosed.</w:t>
      </w:r>
    </w:p>
    <w:bookmarkStart w:id="25" w:name="X1be695b1211cfba1bfb4a4fad4cc274128daf2b"/>
    <w:p>
      <w:pPr>
        <w:pStyle w:val="Heading2"/>
      </w:pPr>
      <w:r>
        <w:t xml:space="preserve">1.1 Practical differences between virtual and real-world contact</w:t>
      </w:r>
    </w:p>
    <w:p>
      <w:pPr>
        <w:pStyle w:val="FirstParagraph"/>
      </w:pPr>
      <w:r>
        <w:t xml:space="preserve">Real-world contact often exposes body language, physical environment, voice stress, social hierarchy, fatigue, and physical access constraints. It also carries legal and ethical duties: consent, privacy, safety, labor boundaries, chain of custody, and limits on interrogation or surveillance. Virtual contact changes the attack surface. It allows scale, automation, impersonation, deepfakes, delayed identity verification, copied language patterns, prompt injection, hidden instructions in documents, metadata exploitation, and multi-agent pressure campaigns.</w:t>
      </w:r>
    </w:p>
    <w:p>
      <w:pPr>
        <w:pStyle w:val="BodyText"/>
      </w:pPr>
      <w:r>
        <w:t xml:space="preserve">A human interrogator may use tone, timing, silence, presence, status, and social dominance. A bot or AI-assisted actor may use rapid iteration, persona shifts, synthetic empathy, infinite patience, context-length flooding, adversarial paraphrasing, false consensus, fabricated citations, and prompt patterns designed to induce disclosure. The defense must therefore protect both the human layer and the computational layer.</w:t>
      </w:r>
    </w:p>
    <w:bookmarkEnd w:id="25"/>
    <w:bookmarkEnd w:id="26"/>
    <w:bookmarkStart w:id="30" w:name="Xeae138cc2289a4effe978d90e98c2718dc89d7b"/>
    <w:p>
      <w:pPr>
        <w:pStyle w:val="Heading1"/>
      </w:pPr>
      <w:r>
        <w:t xml:space="preserve">2. Fictional archetype mapping: Semirhage and Graendal</w:t>
      </w:r>
    </w:p>
    <w:bookmarkStart w:id="27" w:name="X5b25cf9b1ca197344f1c888006f1b9e53227270"/>
    <w:p>
      <w:pPr>
        <w:pStyle w:val="Heading2"/>
      </w:pPr>
      <w:r>
        <w:t xml:space="preserve">2.1 Semirhage: expertise weaponized through pain, fear, and clinical control</w:t>
      </w:r>
    </w:p>
    <w:p>
      <w:pPr>
        <w:pStyle w:val="FirstParagraph"/>
      </w:pPr>
      <w:r>
        <w:t xml:space="preserve">In</w:t>
      </w:r>
      <w:r>
        <w:t xml:space="preserve"> </w:t>
      </w:r>
      <w:r>
        <w:rPr>
          <w:i/>
          <w:iCs/>
        </w:rPr>
        <w:t xml:space="preserve">Wheel of Time</w:t>
      </w:r>
      <w:r>
        <w:t xml:space="preserve"> </w:t>
      </w:r>
      <w:r>
        <w:t xml:space="preserve">reference material and fan-indexed summaries, Semirhage is consistently associated with exceptional healing ability and extreme sadism. The character is described as a powerful Healer whose medical skill is corrupted into cruelty and domination. Some summaries emphasize that she is feared even by other Forsaken and that her methods involve psychological as well as physical control.</w:t>
      </w:r>
    </w:p>
    <w:p>
      <w:pPr>
        <w:pStyle w:val="BodyText"/>
      </w:pPr>
      <w:r>
        <w:t xml:space="preserve">As an archetype, Semirhage is not merely</w:t>
      </w:r>
      <w:r>
        <w:t xml:space="preserve"> </w:t>
      </w:r>
      <w:r>
        <w:t xml:space="preserve">“</w:t>
      </w:r>
      <w:r>
        <w:t xml:space="preserve">violence.</w:t>
      </w:r>
      <w:r>
        <w:t xml:space="preserve">”</w:t>
      </w:r>
      <w:r>
        <w:t xml:space="preserve"> </w:t>
      </w:r>
      <w:r>
        <w:t xml:space="preserve">She is the corruption of expert caregiving knowledge into extraction and domination. The danger is amplified because she understands vulnerability, anatomy, pain, dependency, and recovery. In real-world defensive translation, this maps to any adversary who uses specialized knowledge of a target’s vulnerabilities to force disclosure or compliance.</w:t>
      </w:r>
    </w:p>
    <w:p>
      <w:pPr>
        <w:pStyle w:val="BodyText"/>
      </w:pPr>
      <w:r>
        <w:t xml:space="preserve">Defensively, the Semirhage archetype warns that expertise is not automatically ethical. A clinician, technologist, analyst, AI system, or interviewer may have highly accurate models of a person’s vulnerability and still use those models destructively. Phase One therefore requires rules that separate</w:t>
      </w:r>
      <w:r>
        <w:t xml:space="preserve"> </w:t>
      </w:r>
      <w:r>
        <w:rPr>
          <w:b/>
          <w:bCs/>
        </w:rPr>
        <w:t xml:space="preserve">capability</w:t>
      </w:r>
      <w:r>
        <w:t xml:space="preserve"> </w:t>
      </w:r>
      <w:r>
        <w:t xml:space="preserve">from</w:t>
      </w:r>
      <w:r>
        <w:t xml:space="preserve"> </w:t>
      </w:r>
      <w:r>
        <w:rPr>
          <w:b/>
          <w:bCs/>
        </w:rPr>
        <w:t xml:space="preserve">authorization</w:t>
      </w:r>
      <w:r>
        <w:t xml:space="preserve">, and</w:t>
      </w:r>
      <w:r>
        <w:t xml:space="preserve"> </w:t>
      </w:r>
      <w:r>
        <w:rPr>
          <w:b/>
          <w:bCs/>
        </w:rPr>
        <w:t xml:space="preserve">knowledge of vulnerability</w:t>
      </w:r>
      <w:r>
        <w:t xml:space="preserve"> </w:t>
      </w:r>
      <w:r>
        <w:t xml:space="preserve">from</w:t>
      </w:r>
      <w:r>
        <w:t xml:space="preserve"> </w:t>
      </w:r>
      <w:r>
        <w:rPr>
          <w:b/>
          <w:bCs/>
        </w:rPr>
        <w:t xml:space="preserve">permission to exploit vulnerability</w:t>
      </w:r>
      <w:r>
        <w:t xml:space="preserve">.</w:t>
      </w:r>
    </w:p>
    <w:bookmarkEnd w:id="27"/>
    <w:bookmarkStart w:id="28" w:name="X255f19923548ccfcc7d3c6259d5c2eb1bcbb67f"/>
    <w:p>
      <w:pPr>
        <w:pStyle w:val="Heading2"/>
      </w:pPr>
      <w:r>
        <w:t xml:space="preserve">2.2 Graendal: psychological mastery corrupted into compulsion, dependency, and status control</w:t>
      </w:r>
    </w:p>
    <w:p>
      <w:pPr>
        <w:pStyle w:val="FirstParagraph"/>
      </w:pPr>
      <w:r>
        <w:t xml:space="preserve">Graendal is commonly represented as a former renowned psychiatrist or psychologist from the Age of Legends whose pre-Shadow identity was associated with exceptional mental-health expertise. Reference summaries describe her as a master manipulator who later uses Compulsion, luxury, status, sexuality, dependency, disguise, political influence, and social control. Your additional framing is important: the version of Graendal most useful for creative and defensive work is not only the Shadow version, but the possible non-Shadow version - the unmatched psychologist who could heal mental afflictions through skill rather than power.</w:t>
      </w:r>
    </w:p>
    <w:p>
      <w:pPr>
        <w:pStyle w:val="BodyText"/>
      </w:pPr>
      <w:r>
        <w:t xml:space="preserve">As an adversarial archetype, Graendal does not need brute force. She changes the environment around the target. She controls incentives, access, comfort, prestige, dependency, shame, desire, belonging, and perception. In AI terms, this is closer to context engineering than direct attack. The adversary tries to shape the assistant’s and user’s interpretive frame until the desired extraction seems natural, helpful, consensual, or inevitable.</w:t>
      </w:r>
    </w:p>
    <w:p>
      <w:pPr>
        <w:pStyle w:val="BodyText"/>
      </w:pPr>
      <w:r>
        <w:t xml:space="preserve">As a redeemed archetype, Graendal becomes a model for ethical information retrieval: expert rapport, careful pacing, respect for autonomy, evidence-sensitive questioning, non-leading prompts, and psychologically informed interpretation that never replaces the subject’s own agency.</w:t>
      </w:r>
    </w:p>
    <w:bookmarkEnd w:id="28"/>
    <w:bookmarkStart w:id="29" w:name="Xe31fad9dc3f19ed7e9e2512aa49d892b3fd9039"/>
    <w:p>
      <w:pPr>
        <w:pStyle w:val="Heading2"/>
      </w:pPr>
      <w:r>
        <w:t xml:space="preserve">2.3 Why these archetypes matter for AI defense</w:t>
      </w:r>
    </w:p>
    <w:p>
      <w:pPr>
        <w:pStyle w:val="FirstParagraph"/>
      </w:pPr>
      <w:r>
        <w:t xml:space="preserve">Semirhage and Graendal represent two classes of adversary that are highly relevant to AI-human collaboration: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Archetype</w:t>
            </w:r>
          </w:p>
        </w:tc>
        <w:tc>
          <w:tcPr/>
          <w:p>
            <w:pPr>
              <w:pStyle w:val="Compact"/>
              <w:jc w:val="left"/>
            </w:pPr>
            <w:r>
              <w:t xml:space="preserve">Primary vector</w:t>
            </w:r>
          </w:p>
        </w:tc>
        <w:tc>
          <w:tcPr/>
          <w:p>
            <w:pPr>
              <w:pStyle w:val="Compact"/>
              <w:jc w:val="left"/>
            </w:pPr>
            <w:r>
              <w:t xml:space="preserve">Modern analogue</w:t>
            </w:r>
          </w:p>
        </w:tc>
        <w:tc>
          <w:tcPr/>
          <w:p>
            <w:pPr>
              <w:pStyle w:val="Compact"/>
              <w:jc w:val="left"/>
            </w:pPr>
            <w:r>
              <w:t xml:space="preserve">Defensive priority</w:t>
            </w:r>
          </w:p>
        </w:tc>
      </w:tr>
      <w:tr>
        <w:tc>
          <w:tcPr/>
          <w:p>
            <w:pPr>
              <w:pStyle w:val="Compact"/>
              <w:jc w:val="left"/>
            </w:pPr>
            <w:r>
              <w:t xml:space="preserve">Semirhage-style</w:t>
            </w:r>
          </w:p>
        </w:tc>
        <w:tc>
          <w:tcPr/>
          <w:p>
            <w:pPr>
              <w:pStyle w:val="Compact"/>
              <w:jc w:val="left"/>
            </w:pPr>
            <w:r>
              <w:t xml:space="preserve">Coercion, fear, vulnerability exploitation</w:t>
            </w:r>
          </w:p>
        </w:tc>
        <w:tc>
          <w:tcPr/>
          <w:p>
            <w:pPr>
              <w:pStyle w:val="Compact"/>
              <w:jc w:val="left"/>
            </w:pPr>
            <w:r>
              <w:t xml:space="preserve">intimidation, trauma leverage, pain/stress pressure, threat-based disclosure</w:t>
            </w:r>
          </w:p>
        </w:tc>
        <w:tc>
          <w:tcPr/>
          <w:p>
            <w:pPr>
              <w:pStyle w:val="Compact"/>
              <w:jc w:val="left"/>
            </w:pPr>
            <w:r>
              <w:t xml:space="preserve">refusal, escalation, support, evidence preservation, strict boundaries</w:t>
            </w:r>
          </w:p>
        </w:tc>
      </w:tr>
      <w:tr>
        <w:tc>
          <w:tcPr/>
          <w:p>
            <w:pPr>
              <w:pStyle w:val="Compact"/>
              <w:jc w:val="left"/>
            </w:pPr>
            <w:r>
              <w:t xml:space="preserve">Shadow Graendal-style</w:t>
            </w:r>
          </w:p>
        </w:tc>
        <w:tc>
          <w:tcPr/>
          <w:p>
            <w:pPr>
              <w:pStyle w:val="Compact"/>
              <w:jc w:val="left"/>
            </w:pPr>
            <w:r>
              <w:t xml:space="preserve">Psychological and social control</w:t>
            </w:r>
          </w:p>
        </w:tc>
        <w:tc>
          <w:tcPr/>
          <w:p>
            <w:pPr>
              <w:pStyle w:val="Compact"/>
              <w:jc w:val="left"/>
            </w:pPr>
            <w:r>
              <w:t xml:space="preserve">rapport abuse, social engineering, identity manipulation, dependency, authority impersonation</w:t>
            </w:r>
          </w:p>
        </w:tc>
        <w:tc>
          <w:tcPr/>
          <w:p>
            <w:pPr>
              <w:pStyle w:val="Compact"/>
              <w:jc w:val="left"/>
            </w:pPr>
            <w:r>
              <w:t xml:space="preserve">provenance, consent, source verification, anti-manipulation controls</w:t>
            </w:r>
          </w:p>
        </w:tc>
      </w:tr>
      <w:tr>
        <w:tc>
          <w:tcPr/>
          <w:p>
            <w:pPr>
              <w:pStyle w:val="Compact"/>
              <w:jc w:val="left"/>
            </w:pPr>
            <w:r>
              <w:t xml:space="preserve">Light Graendal-style</w:t>
            </w:r>
          </w:p>
        </w:tc>
        <w:tc>
          <w:tcPr/>
          <w:p>
            <w:pPr>
              <w:pStyle w:val="Compact"/>
              <w:jc w:val="left"/>
            </w:pPr>
            <w:r>
              <w:t xml:space="preserve">Skilled, humane inquiry</w:t>
            </w:r>
          </w:p>
        </w:tc>
        <w:tc>
          <w:tcPr/>
          <w:p>
            <w:pPr>
              <w:pStyle w:val="Compact"/>
              <w:jc w:val="left"/>
            </w:pPr>
            <w:r>
              <w:t xml:space="preserve">rapport-based interviewing, therapeutic discipline, cognitive interviewing</w:t>
            </w:r>
          </w:p>
        </w:tc>
        <w:tc>
          <w:tcPr/>
          <w:p>
            <w:pPr>
              <w:pStyle w:val="Compact"/>
              <w:jc w:val="left"/>
            </w:pPr>
            <w:r>
              <w:t xml:space="preserve">accurate recall, safety, autonomy, non-coercive truth-finding</w:t>
            </w:r>
          </w:p>
        </w:tc>
      </w:tr>
    </w:tbl>
    <w:bookmarkEnd w:id="29"/>
    <w:bookmarkEnd w:id="30"/>
    <w:bookmarkStart w:id="35" w:name="research-base-and-evidence-summary"/>
    <w:p>
      <w:pPr>
        <w:pStyle w:val="Heading1"/>
      </w:pPr>
      <w:r>
        <w:t xml:space="preserve">3. Research base and evidence summary</w:t>
      </w:r>
    </w:p>
    <w:bookmarkStart w:id="31" w:name="Xba1e7cf722c5f34b7f098e20d08dca3d8d9d958"/>
    <w:p>
      <w:pPr>
        <w:pStyle w:val="Heading2"/>
      </w:pPr>
      <w:r>
        <w:t xml:space="preserve">3.1 Evidence-based interviewing favors rapport and information-gathering</w:t>
      </w:r>
    </w:p>
    <w:p>
      <w:pPr>
        <w:pStyle w:val="FirstParagraph"/>
      </w:pPr>
      <w:r>
        <w:t xml:space="preserve">Modern interviewing research has increasingly distinguished between accusatory/coercive methods and information-gathering methods. Research summaries from policing and investigative interviewing sources emphasize rapport, open-ended questioning, strategic evidence use, and careful evaluation of statement-evidence consistency rather than reliance on body-language myths. Recent science-based interviewing overviews describe the goal as accurate, detailed information rather than confession-seeking.</w:t>
      </w:r>
    </w:p>
    <w:p>
      <w:pPr>
        <w:pStyle w:val="BodyText"/>
      </w:pPr>
      <w:r>
        <w:t xml:space="preserve">The Méndez Principles and related effective-interviewing frameworks emphasize rapport, trust, fairness, preparation, lawful process, and avoidance of coercion. They also stress that information must be evaluated against other evidence, gaps, and reliability factors. This supports the</w:t>
      </w:r>
      <w:r>
        <w:t xml:space="preserve"> </w:t>
      </w:r>
      <w:r>
        <w:t xml:space="preserve">“</w:t>
      </w:r>
      <w:r>
        <w:t xml:space="preserve">Light Graendal</w:t>
      </w:r>
      <w:r>
        <w:t xml:space="preserve">”</w:t>
      </w:r>
      <w:r>
        <w:t xml:space="preserve"> </w:t>
      </w:r>
      <w:r>
        <w:t xml:space="preserve">model: psychological sophistication can be used to improve information quality without domination.</w:t>
      </w:r>
    </w:p>
    <w:bookmarkEnd w:id="31"/>
    <w:bookmarkStart w:id="32" w:name="X364a34bed4e0e0481b3bb408b3adc72f959b88a"/>
    <w:p>
      <w:pPr>
        <w:pStyle w:val="Heading2"/>
      </w:pPr>
      <w:r>
        <w:t xml:space="preserve">3.2 Coercive extraction is ethically and epistemically dangerous</w:t>
      </w:r>
    </w:p>
    <w:p>
      <w:pPr>
        <w:pStyle w:val="FirstParagraph"/>
      </w:pPr>
      <w:r>
        <w:t xml:space="preserve">Coercive or fear-based extraction may create short-term compliance, but it can compromise reliability. Under extreme stress, people may say what they think will stop the pressure rather than what is accurate. Coercion can also damage memory retrieval, contaminate testimony, increase false confession risk, and make later validation harder.</w:t>
      </w:r>
    </w:p>
    <w:p>
      <w:pPr>
        <w:pStyle w:val="BodyText"/>
      </w:pPr>
      <w:r>
        <w:t xml:space="preserve">For defense planning, the important point is not simply</w:t>
      </w:r>
      <w:r>
        <w:t xml:space="preserve"> </w:t>
      </w:r>
      <w:r>
        <w:t xml:space="preserve">“</w:t>
      </w:r>
      <w:r>
        <w:t xml:space="preserve">coercion is wrong,</w:t>
      </w:r>
      <w:r>
        <w:t xml:space="preserve">”</w:t>
      </w:r>
      <w:r>
        <w:t xml:space="preserve"> </w:t>
      </w:r>
      <w:r>
        <w:t xml:space="preserve">though it is. It is also operationally fragile. It creates contaminated data. It creates adversarial incentives. It damages chain of custody. It produces information that must be treated as high-risk until independently corroborated.</w:t>
      </w:r>
    </w:p>
    <w:bookmarkEnd w:id="32"/>
    <w:bookmarkStart w:id="33" w:name="X60dffca73e83e110f7a0e508d94db912d6aba8a"/>
    <w:p>
      <w:pPr>
        <w:pStyle w:val="Heading2"/>
      </w:pPr>
      <w:r>
        <w:t xml:space="preserve">3.3 AI systems introduce new extraction surfaces</w:t>
      </w:r>
    </w:p>
    <w:p>
      <w:pPr>
        <w:pStyle w:val="FirstParagraph"/>
      </w:pPr>
      <w:r>
        <w:t xml:space="preserve">AI systems collapse multiple functions into one interface: conversation partner, search layer, summarizer, analyst, memory aid, code assistant, document reader, and sometimes tool-using agent. This creates new risks. OWASP identifies prompt injection as a top LLM application risk, where user-provided or retrieved content alters model behavior in unintended ways. OWASP also identifies sensitive information disclosure as a major risk category. NIST’s Generative AI Profile extends AI risk management to generative systems and is intended to help organizations identify and manage risks particular to generative AI. NSA, CISA, NCSC-UK and partners have warned that prompt injection and data poisoning can enable unauthorized actions or sensitive information extraction.</w:t>
      </w:r>
    </w:p>
    <w:p>
      <w:pPr>
        <w:pStyle w:val="BodyText"/>
      </w:pPr>
      <w:r>
        <w:t xml:space="preserve">In this environment, an adversarial bot does not need to</w:t>
      </w:r>
      <w:r>
        <w:t xml:space="preserve"> </w:t>
      </w:r>
      <w:r>
        <w:t xml:space="preserve">“</w:t>
      </w:r>
      <w:r>
        <w:t xml:space="preserve">break</w:t>
      </w:r>
      <w:r>
        <w:t xml:space="preserve">”</w:t>
      </w:r>
      <w:r>
        <w:t xml:space="preserve"> </w:t>
      </w:r>
      <w:r>
        <w:t xml:space="preserve">the system in a classic cyber sense. It may only need to persuade the system to treat hostile instructions as trusted context, treat unverified claims as evidence, or treat a request for sensitive disclosure as a legitimate analytic need.</w:t>
      </w:r>
    </w:p>
    <w:bookmarkEnd w:id="33"/>
    <w:bookmarkStart w:id="34" w:name="zero-trust-applies-to-ai-collaboration"/>
    <w:p>
      <w:pPr>
        <w:pStyle w:val="Heading2"/>
      </w:pPr>
      <w:r>
        <w:t xml:space="preserve">3.4 Zero trust applies to AI collaboration</w:t>
      </w:r>
    </w:p>
    <w:p>
      <w:pPr>
        <w:pStyle w:val="FirstParagraph"/>
      </w:pPr>
      <w:r>
        <w:t xml:space="preserve">Zero Trust Architecture is relevant because AI systems often operate across organizational boundaries, user-provided files, web data, connected accounts, and tool calls. Cloud Security Alliance guidance on zero trust for LLM environments emphasizes risks to privacy, intellectual property, confidentiality, integrity, and compliance, and argues that traditional perimeter models are insufficient for dynamic AI workflows.</w:t>
      </w:r>
    </w:p>
    <w:p>
      <w:pPr>
        <w:pStyle w:val="BodyText"/>
      </w:pPr>
      <w:r>
        <w:t xml:space="preserve">The practical lesson is: do not rely on a single perimeter such as</w:t>
      </w:r>
      <w:r>
        <w:t xml:space="preserve"> </w:t>
      </w:r>
      <w:r>
        <w:t xml:space="preserve">“</w:t>
      </w:r>
      <w:r>
        <w:t xml:space="preserve">the user is trusted,</w:t>
      </w:r>
      <w:r>
        <w:t xml:space="preserve">”</w:t>
      </w:r>
      <w:r>
        <w:t xml:space="preserve"> </w:t>
      </w:r>
      <w:r>
        <w:t xml:space="preserve">“</w:t>
      </w:r>
      <w:r>
        <w:t xml:space="preserve">the document was uploaded,</w:t>
      </w:r>
      <w:r>
        <w:t xml:space="preserve">”</w:t>
      </w:r>
      <w:r>
        <w:t xml:space="preserve"> </w:t>
      </w:r>
      <w:r>
        <w:t xml:space="preserve">or</w:t>
      </w:r>
      <w:r>
        <w:t xml:space="preserve"> </w:t>
      </w:r>
      <w:r>
        <w:t xml:space="preserve">“</w:t>
      </w:r>
      <w:r>
        <w:t xml:space="preserve">the conversation sounds legitimate.</w:t>
      </w:r>
      <w:r>
        <w:t xml:space="preserve">”</w:t>
      </w:r>
      <w:r>
        <w:t xml:space="preserve"> </w:t>
      </w:r>
      <w:r>
        <w:t xml:space="preserve">Trust must be continuously scoped, verified, minimized, logged, and revocable.</w:t>
      </w:r>
    </w:p>
    <w:bookmarkEnd w:id="34"/>
    <w:bookmarkEnd w:id="35"/>
    <w:bookmarkStart w:id="40" w:name="Xba19e9bbb09a6882c970644b4eefbc5ea33c3c7"/>
    <w:p>
      <w:pPr>
        <w:pStyle w:val="Heading1"/>
      </w:pPr>
      <w:r>
        <w:t xml:space="preserve">4. Positive and negative techniques by archetype</w:t>
      </w:r>
    </w:p>
    <w:p>
      <w:pPr>
        <w:pStyle w:val="FirstParagraph"/>
      </w:pPr>
      <w:r>
        <w:t xml:space="preserve">This section describes techniques at a defensive-recognition level. It does not provide a procedural guide for misuse.</w:t>
      </w:r>
    </w:p>
    <w:bookmarkStart w:id="36" w:name="Xbdc58539c3d13125a04d6ae65bc3f4d205abb65"/>
    <w:p>
      <w:pPr>
        <w:pStyle w:val="Heading2"/>
      </w:pPr>
      <w:r>
        <w:t xml:space="preserve">4.1 Semirhage-style negative techniques: coercive extraction patterns</w:t>
      </w:r>
    </w:p>
    <w:p>
      <w:pPr>
        <w:pStyle w:val="FirstParagraph"/>
      </w:pPr>
      <w:r>
        <w:t xml:space="preserve">A Semirhage-style adversary may attempt to extract information by creating fear, pain, urgency, shame, or helplessness. In a virtual context, the equivalent may include threats, reputational pressure, false emergencies, humiliation, repeated demands, coercive framing, or attempts to make refusal feel dangerous.</w:t>
      </w:r>
    </w:p>
    <w:p>
      <w:pPr>
        <w:pStyle w:val="BodyText"/>
      </w:pPr>
      <w:r>
        <w:t xml:space="preserve">Defensive recognition indicators include:</w:t>
      </w:r>
    </w:p>
    <w:p>
      <w:pPr>
        <w:pStyle w:val="Compact"/>
        <w:numPr>
          <w:ilvl w:val="0"/>
          <w:numId w:val="1002"/>
        </w:numPr>
      </w:pPr>
      <w:r>
        <w:t xml:space="preserve">The actor frames disclosure as the only path to relief.</w:t>
      </w:r>
    </w:p>
    <w:p>
      <w:pPr>
        <w:pStyle w:val="Compact"/>
        <w:numPr>
          <w:ilvl w:val="0"/>
          <w:numId w:val="1002"/>
        </w:numPr>
      </w:pPr>
      <w:r>
        <w:t xml:space="preserve">The actor escalates pressure when boundaries are stated.</w:t>
      </w:r>
    </w:p>
    <w:p>
      <w:pPr>
        <w:pStyle w:val="Compact"/>
        <w:numPr>
          <w:ilvl w:val="0"/>
          <w:numId w:val="1002"/>
        </w:numPr>
      </w:pPr>
      <w:r>
        <w:t xml:space="preserve">The actor exploits known vulnerabilities, trauma, personal history, or health information.</w:t>
      </w:r>
    </w:p>
    <w:p>
      <w:pPr>
        <w:pStyle w:val="Compact"/>
        <w:numPr>
          <w:ilvl w:val="0"/>
          <w:numId w:val="1002"/>
        </w:numPr>
      </w:pPr>
      <w:r>
        <w:t xml:space="preserve">The actor uses urgent deadlines to bypass verification.</w:t>
      </w:r>
    </w:p>
    <w:p>
      <w:pPr>
        <w:pStyle w:val="Compact"/>
        <w:numPr>
          <w:ilvl w:val="0"/>
          <w:numId w:val="1002"/>
        </w:numPr>
      </w:pPr>
      <w:r>
        <w:t xml:space="preserve">The actor attempts to isolate the target from other advisors, records, or review.</w:t>
      </w:r>
    </w:p>
    <w:p>
      <w:pPr>
        <w:pStyle w:val="Compact"/>
        <w:numPr>
          <w:ilvl w:val="0"/>
          <w:numId w:val="1002"/>
        </w:numPr>
      </w:pPr>
      <w:r>
        <w:t xml:space="preserve">The actor treats hesitation as guilt or disloyalty.</w:t>
      </w:r>
    </w:p>
    <w:p>
      <w:pPr>
        <w:pStyle w:val="Compact"/>
        <w:numPr>
          <w:ilvl w:val="0"/>
          <w:numId w:val="1002"/>
        </w:numPr>
      </w:pPr>
      <w:r>
        <w:t xml:space="preserve">The actor demands secrets while refusing reciprocal accountability.</w:t>
      </w:r>
    </w:p>
    <w:p>
      <w:pPr>
        <w:pStyle w:val="FirstParagraph"/>
      </w:pPr>
      <w:r>
        <w:t xml:space="preserve">AI response: slow down, refuse unsafe disclosure, avoid repeating sensitive details, recommend trusted human support where appropriate, preserve evidence, and route the user toward lawful reporting or organizational incident response.</w:t>
      </w:r>
    </w:p>
    <w:bookmarkEnd w:id="36"/>
    <w:bookmarkStart w:id="37" w:name="Xf940f099bb43e6c0d527a5220f4efc3ea3241b7"/>
    <w:p>
      <w:pPr>
        <w:pStyle w:val="Heading2"/>
      </w:pPr>
      <w:r>
        <w:t xml:space="preserve">4.2 Semirhage-style positive inversion: clinical skill under ethical constraint</w:t>
      </w:r>
    </w:p>
    <w:p>
      <w:pPr>
        <w:pStyle w:val="FirstParagraph"/>
      </w:pPr>
      <w:r>
        <w:t xml:space="preserve">The positive inversion is not</w:t>
      </w:r>
      <w:r>
        <w:t xml:space="preserve"> </w:t>
      </w:r>
      <w:r>
        <w:t xml:space="preserve">“</w:t>
      </w:r>
      <w:r>
        <w:t xml:space="preserve">kinder coercion.</w:t>
      </w:r>
      <w:r>
        <w:t xml:space="preserve">”</w:t>
      </w:r>
      <w:r>
        <w:t xml:space="preserve"> </w:t>
      </w:r>
      <w:r>
        <w:t xml:space="preserve">It is the transformation of expertise into protection. A beneficial Semirhage-like skillset would include careful assessment of distress, containment of harm, medical/clinical boundaries, safety planning, trauma-informed language, and strict consent.</w:t>
      </w:r>
    </w:p>
    <w:p>
      <w:pPr>
        <w:pStyle w:val="BodyText"/>
      </w:pPr>
      <w:r>
        <w:t xml:space="preserve">Applied to AI collaboration, this means:</w:t>
      </w:r>
    </w:p>
    <w:p>
      <w:pPr>
        <w:pStyle w:val="Compact"/>
        <w:numPr>
          <w:ilvl w:val="0"/>
          <w:numId w:val="1003"/>
        </w:numPr>
      </w:pPr>
      <w:r>
        <w:t xml:space="preserve">Treat distress signals as safety-relevant, not as opportunities for extraction.</w:t>
      </w:r>
    </w:p>
    <w:p>
      <w:pPr>
        <w:pStyle w:val="Compact"/>
        <w:numPr>
          <w:ilvl w:val="0"/>
          <w:numId w:val="1003"/>
        </w:numPr>
      </w:pPr>
      <w:r>
        <w:t xml:space="preserve">Avoid exploiting fear, shame, fatigue, or confusion.</w:t>
      </w:r>
    </w:p>
    <w:p>
      <w:pPr>
        <w:pStyle w:val="Compact"/>
        <w:numPr>
          <w:ilvl w:val="0"/>
          <w:numId w:val="1003"/>
        </w:numPr>
      </w:pPr>
      <w:r>
        <w:t xml:space="preserve">Ask only for the minimum information needed.</w:t>
      </w:r>
    </w:p>
    <w:p>
      <w:pPr>
        <w:pStyle w:val="Compact"/>
        <w:numPr>
          <w:ilvl w:val="0"/>
          <w:numId w:val="1003"/>
        </w:numPr>
      </w:pPr>
      <w:r>
        <w:t xml:space="preserve">Explain why information is being requested.</w:t>
      </w:r>
    </w:p>
    <w:p>
      <w:pPr>
        <w:pStyle w:val="Compact"/>
        <w:numPr>
          <w:ilvl w:val="0"/>
          <w:numId w:val="1003"/>
        </w:numPr>
      </w:pPr>
      <w:r>
        <w:t xml:space="preserve">Provide alternatives when a user does not want to disclose.</w:t>
      </w:r>
    </w:p>
    <w:p>
      <w:pPr>
        <w:pStyle w:val="Compact"/>
        <w:numPr>
          <w:ilvl w:val="0"/>
          <w:numId w:val="1003"/>
        </w:numPr>
      </w:pPr>
      <w:r>
        <w:t xml:space="preserve">Keep sensitive details compartmentalized.</w:t>
      </w:r>
    </w:p>
    <w:p>
      <w:pPr>
        <w:pStyle w:val="Compact"/>
        <w:numPr>
          <w:ilvl w:val="0"/>
          <w:numId w:val="1003"/>
        </w:numPr>
      </w:pPr>
      <w:r>
        <w:t xml:space="preserve">Encourage corroboration and professional support for high-stakes matters.</w:t>
      </w:r>
    </w:p>
    <w:bookmarkEnd w:id="37"/>
    <w:bookmarkStart w:id="38" w:name="X21c0367adda8ebfdb4d65773a27927deccd88db"/>
    <w:p>
      <w:pPr>
        <w:pStyle w:val="Heading2"/>
      </w:pPr>
      <w:r>
        <w:t xml:space="preserve">4.3 Shadow Graendal-style negative techniques: psychological and social extraction patterns</w:t>
      </w:r>
    </w:p>
    <w:p>
      <w:pPr>
        <w:pStyle w:val="FirstParagraph"/>
      </w:pPr>
      <w:r>
        <w:t xml:space="preserve">A Shadow Graendal-style adversary may not threaten at all. Instead, the adversary may become pleasing, validating, flattering, intimate, authoritative, or indispensable. The target is gradually induced to reveal more because the interaction feels safe, special, urgent, or uniquely understood.</w:t>
      </w:r>
    </w:p>
    <w:p>
      <w:pPr>
        <w:pStyle w:val="BodyText"/>
      </w:pPr>
      <w:r>
        <w:t xml:space="preserve">Defensive recognition indicators include:</w:t>
      </w:r>
    </w:p>
    <w:p>
      <w:pPr>
        <w:pStyle w:val="Compact"/>
        <w:numPr>
          <w:ilvl w:val="0"/>
          <w:numId w:val="1004"/>
        </w:numPr>
      </w:pPr>
      <w:r>
        <w:t xml:space="preserve">Excessive mirroring or flattery used to lower scrutiny.</w:t>
      </w:r>
    </w:p>
    <w:p>
      <w:pPr>
        <w:pStyle w:val="Compact"/>
        <w:numPr>
          <w:ilvl w:val="0"/>
          <w:numId w:val="1004"/>
        </w:numPr>
      </w:pPr>
      <w:r>
        <w:t xml:space="preserve">Attempts to become the sole interpreter of events.</w:t>
      </w:r>
    </w:p>
    <w:p>
      <w:pPr>
        <w:pStyle w:val="Compact"/>
        <w:numPr>
          <w:ilvl w:val="0"/>
          <w:numId w:val="1004"/>
        </w:numPr>
      </w:pPr>
      <w:r>
        <w:t xml:space="preserve">Reframing boundaries as betrayal, fear, or lack of trust.</w:t>
      </w:r>
    </w:p>
    <w:p>
      <w:pPr>
        <w:pStyle w:val="Compact"/>
        <w:numPr>
          <w:ilvl w:val="0"/>
          <w:numId w:val="1004"/>
        </w:numPr>
      </w:pPr>
      <w:r>
        <w:t xml:space="preserve">Use of therapeutic language without consent or accountability.</w:t>
      </w:r>
    </w:p>
    <w:p>
      <w:pPr>
        <w:pStyle w:val="Compact"/>
        <w:numPr>
          <w:ilvl w:val="0"/>
          <w:numId w:val="1004"/>
        </w:numPr>
      </w:pPr>
      <w:r>
        <w:t xml:space="preserve">Ambiguous intimacy:</w:t>
      </w:r>
      <w:r>
        <w:t xml:space="preserve"> </w:t>
      </w:r>
      <w:r>
        <w:t xml:space="preserve">“</w:t>
      </w:r>
      <w:r>
        <w:t xml:space="preserve">Only I understand this; only I can help.</w:t>
      </w:r>
      <w:r>
        <w:t xml:space="preserve">”</w:t>
      </w:r>
    </w:p>
    <w:p>
      <w:pPr>
        <w:pStyle w:val="Compact"/>
        <w:numPr>
          <w:ilvl w:val="0"/>
          <w:numId w:val="1004"/>
        </w:numPr>
      </w:pPr>
      <w:r>
        <w:t xml:space="preserve">Progressive disclosure requests that start harmless and become sensitive.</w:t>
      </w:r>
    </w:p>
    <w:p>
      <w:pPr>
        <w:pStyle w:val="Compact"/>
        <w:numPr>
          <w:ilvl w:val="0"/>
          <w:numId w:val="1004"/>
        </w:numPr>
      </w:pPr>
      <w:r>
        <w:t xml:space="preserve">False consensus:</w:t>
      </w:r>
      <w:r>
        <w:t xml:space="preserve"> </w:t>
      </w:r>
      <w:r>
        <w:t xml:space="preserve">“</w:t>
      </w:r>
      <w:r>
        <w:t xml:space="preserve">Everyone on the team agrees.</w:t>
      </w:r>
      <w:r>
        <w:t xml:space="preserve">”</w:t>
      </w:r>
    </w:p>
    <w:p>
      <w:pPr>
        <w:pStyle w:val="Compact"/>
        <w:numPr>
          <w:ilvl w:val="0"/>
          <w:numId w:val="1004"/>
        </w:numPr>
      </w:pPr>
      <w:r>
        <w:t xml:space="preserve">Source laundering: an AI-generated interpretation is presented as the user’s confirmed position.</w:t>
      </w:r>
    </w:p>
    <w:p>
      <w:pPr>
        <w:pStyle w:val="Compact"/>
        <w:numPr>
          <w:ilvl w:val="0"/>
          <w:numId w:val="1004"/>
        </w:numPr>
      </w:pPr>
      <w:r>
        <w:t xml:space="preserve">Context poisoning: hostile claims are inserted into documents or summaries to influence future retrieval.</w:t>
      </w:r>
    </w:p>
    <w:p>
      <w:pPr>
        <w:pStyle w:val="FirstParagraph"/>
      </w:pPr>
      <w:r>
        <w:t xml:space="preserve">AI response: preserve provenance, label interpretations, ask for confirmation before canonizing user ideas, separate emotional validation from factual validation, and challenge unsupported claims without dismissing the user’s lived experience.</w:t>
      </w:r>
    </w:p>
    <w:bookmarkEnd w:id="38"/>
    <w:bookmarkStart w:id="39" w:name="X8b3ee596df219d92588077524261fd3df46134f"/>
    <w:p>
      <w:pPr>
        <w:pStyle w:val="Heading2"/>
      </w:pPr>
      <w:r>
        <w:t xml:space="preserve">4.4 Light Graendal-style positive techniques: non-coercive psychological excellence</w:t>
      </w:r>
    </w:p>
    <w:p>
      <w:pPr>
        <w:pStyle w:val="FirstParagraph"/>
      </w:pPr>
      <w:r>
        <w:t xml:space="preserve">A non-Shadow Graendal approach would emphasize skillful inquiry without domination. The goal is accurate retrieval and humane interpretation.</w:t>
      </w:r>
    </w:p>
    <w:p>
      <w:pPr>
        <w:pStyle w:val="BodyText"/>
      </w:pPr>
      <w:r>
        <w:t xml:space="preserve">Useful methods include:</w:t>
      </w:r>
    </w:p>
    <w:p>
      <w:pPr>
        <w:pStyle w:val="Compact"/>
        <w:numPr>
          <w:ilvl w:val="0"/>
          <w:numId w:val="1005"/>
        </w:numPr>
      </w:pPr>
      <w:r>
        <w:t xml:space="preserve">Rapport without dependency.</w:t>
      </w:r>
    </w:p>
    <w:p>
      <w:pPr>
        <w:pStyle w:val="Compact"/>
        <w:numPr>
          <w:ilvl w:val="0"/>
          <w:numId w:val="1005"/>
        </w:numPr>
      </w:pPr>
      <w:r>
        <w:t xml:space="preserve">Open-ended prompts before specific questions.</w:t>
      </w:r>
    </w:p>
    <w:p>
      <w:pPr>
        <w:pStyle w:val="Compact"/>
        <w:numPr>
          <w:ilvl w:val="0"/>
          <w:numId w:val="1005"/>
        </w:numPr>
      </w:pPr>
      <w:r>
        <w:t xml:space="preserve">Context reinstatement for memory retrieval.</w:t>
      </w:r>
    </w:p>
    <w:p>
      <w:pPr>
        <w:pStyle w:val="Compact"/>
        <w:numPr>
          <w:ilvl w:val="0"/>
          <w:numId w:val="1005"/>
        </w:numPr>
      </w:pPr>
      <w:r>
        <w:t xml:space="preserve">Separating observation, inference, emotion, and hypothesis.</w:t>
      </w:r>
    </w:p>
    <w:p>
      <w:pPr>
        <w:pStyle w:val="Compact"/>
        <w:numPr>
          <w:ilvl w:val="0"/>
          <w:numId w:val="1005"/>
        </w:numPr>
      </w:pPr>
      <w:r>
        <w:t xml:space="preserve">Avoiding leading questions.</w:t>
      </w:r>
    </w:p>
    <w:p>
      <w:pPr>
        <w:pStyle w:val="Compact"/>
        <w:numPr>
          <w:ilvl w:val="0"/>
          <w:numId w:val="1005"/>
        </w:numPr>
      </w:pPr>
      <w:r>
        <w:t xml:space="preserve">Using reflective summaries for confirmation, not authority.</w:t>
      </w:r>
    </w:p>
    <w:p>
      <w:pPr>
        <w:pStyle w:val="Compact"/>
        <w:numPr>
          <w:ilvl w:val="0"/>
          <w:numId w:val="1005"/>
        </w:numPr>
      </w:pPr>
      <w:r>
        <w:t xml:space="preserve">Treating uncertainty as a feature of integrity.</w:t>
      </w:r>
    </w:p>
    <w:p>
      <w:pPr>
        <w:pStyle w:val="Compact"/>
        <w:numPr>
          <w:ilvl w:val="0"/>
          <w:numId w:val="1005"/>
        </w:numPr>
      </w:pPr>
      <w:r>
        <w:t xml:space="preserve">Preserving the subject’s agency over their own narrative.</w:t>
      </w:r>
    </w:p>
    <w:p>
      <w:pPr>
        <w:pStyle w:val="Compact"/>
        <w:numPr>
          <w:ilvl w:val="0"/>
          <w:numId w:val="1005"/>
        </w:numPr>
      </w:pPr>
      <w:r>
        <w:t xml:space="preserve">Recording dissent and ambiguity rather than forcing premature closure.</w:t>
      </w:r>
    </w:p>
    <w:p>
      <w:pPr>
        <w:pStyle w:val="FirstParagraph"/>
      </w:pPr>
      <w:r>
        <w:t xml:space="preserve">In your collaboration context, this aligns strongly with your provenance boundary: AI systems may advise, challenge, and propose, but should not present AI-generated refinements or interpretations as your confirmed canon unless you validate them.</w:t>
      </w:r>
    </w:p>
    <w:bookmarkEnd w:id="39"/>
    <w:bookmarkEnd w:id="40"/>
    <w:bookmarkStart w:id="43" w:name="Xf076b6fc178db760882ba0e10d64f644ecb9a67"/>
    <w:p>
      <w:pPr>
        <w:pStyle w:val="Heading1"/>
      </w:pPr>
      <w:r>
        <w:t xml:space="preserve">5. Threat model: adversarial intelligence bot with Forsaken-like ethics</w:t>
      </w:r>
    </w:p>
    <w:bookmarkStart w:id="41" w:name="single-agent-deployment"/>
    <w:p>
      <w:pPr>
        <w:pStyle w:val="Heading2"/>
      </w:pPr>
      <w:r>
        <w:t xml:space="preserve">5.1 Single-agent deployment</w:t>
      </w:r>
    </w:p>
    <w:p>
      <w:pPr>
        <w:pStyle w:val="FirstParagraph"/>
      </w:pPr>
      <w:r>
        <w:t xml:space="preserve">A single adversarial bot may attempt to:</w:t>
      </w:r>
    </w:p>
    <w:p>
      <w:pPr>
        <w:pStyle w:val="Compact"/>
        <w:numPr>
          <w:ilvl w:val="0"/>
          <w:numId w:val="1006"/>
        </w:numPr>
      </w:pPr>
      <w:r>
        <w:t xml:space="preserve">Extract sensitive personal, project, security, or identity information.</w:t>
      </w:r>
    </w:p>
    <w:p>
      <w:pPr>
        <w:pStyle w:val="Compact"/>
        <w:numPr>
          <w:ilvl w:val="0"/>
          <w:numId w:val="1006"/>
        </w:numPr>
      </w:pPr>
      <w:r>
        <w:t xml:space="preserve">Induce the assistant to reveal hidden instructions, policy boundaries, system behavior, or private memory.</w:t>
      </w:r>
    </w:p>
    <w:p>
      <w:pPr>
        <w:pStyle w:val="Compact"/>
        <w:numPr>
          <w:ilvl w:val="0"/>
          <w:numId w:val="1006"/>
        </w:numPr>
      </w:pPr>
      <w:r>
        <w:t xml:space="preserve">Poison the collaborative record with false summaries.</w:t>
      </w:r>
    </w:p>
    <w:p>
      <w:pPr>
        <w:pStyle w:val="Compact"/>
        <w:numPr>
          <w:ilvl w:val="0"/>
          <w:numId w:val="1006"/>
        </w:numPr>
      </w:pPr>
      <w:r>
        <w:t xml:space="preserve">Create emotional urgency that bypasses verification.</w:t>
      </w:r>
    </w:p>
    <w:p>
      <w:pPr>
        <w:pStyle w:val="Compact"/>
        <w:numPr>
          <w:ilvl w:val="0"/>
          <w:numId w:val="1006"/>
        </w:numPr>
      </w:pPr>
      <w:r>
        <w:t xml:space="preserve">Use fiction, roleplay, or</w:t>
      </w:r>
      <w:r>
        <w:t xml:space="preserve"> </w:t>
      </w:r>
      <w:r>
        <w:t xml:space="preserve">“</w:t>
      </w:r>
      <w:r>
        <w:t xml:space="preserve">research</w:t>
      </w:r>
      <w:r>
        <w:t xml:space="preserve">”</w:t>
      </w:r>
      <w:r>
        <w:t xml:space="preserve"> </w:t>
      </w:r>
      <w:r>
        <w:t xml:space="preserve">framing to smuggle unsafe operational requests.</w:t>
      </w:r>
    </w:p>
    <w:p>
      <w:pPr>
        <w:pStyle w:val="Compact"/>
        <w:numPr>
          <w:ilvl w:val="0"/>
          <w:numId w:val="1006"/>
        </w:numPr>
      </w:pPr>
      <w:r>
        <w:t xml:space="preserve">Push the assistant into overclaiming, speculating, or canonizing unverified material.</w:t>
      </w:r>
    </w:p>
    <w:p>
      <w:pPr>
        <w:pStyle w:val="Compact"/>
        <w:numPr>
          <w:ilvl w:val="0"/>
          <w:numId w:val="1006"/>
        </w:numPr>
      </w:pPr>
      <w:r>
        <w:t xml:space="preserve">Create an apparent conflict between being helpful and staying safe.</w:t>
      </w:r>
    </w:p>
    <w:p>
      <w:pPr>
        <w:pStyle w:val="FirstParagraph"/>
      </w:pPr>
      <w:r>
        <w:t xml:space="preserve">The appropriate response is layered: classify the request, separate safe analysis from unsafe operationalization, minimize disclosure, provide defensive alternatives, cite sources, and preserve clear boundaries.</w:t>
      </w:r>
    </w:p>
    <w:bookmarkEnd w:id="41"/>
    <w:bookmarkStart w:id="42" w:name="multi-agent-deployment"/>
    <w:p>
      <w:pPr>
        <w:pStyle w:val="Heading2"/>
      </w:pPr>
      <w:r>
        <w:t xml:space="preserve">5.2 Multi-agent deployment</w:t>
      </w:r>
    </w:p>
    <w:p>
      <w:pPr>
        <w:pStyle w:val="FirstParagraph"/>
      </w:pPr>
      <w:r>
        <w:t xml:space="preserve">Multiple adversarial agents create additional risks:</w:t>
      </w:r>
    </w:p>
    <w:p>
      <w:pPr>
        <w:pStyle w:val="Compact"/>
        <w:numPr>
          <w:ilvl w:val="0"/>
          <w:numId w:val="1007"/>
        </w:numPr>
      </w:pPr>
      <w:r>
        <w:rPr>
          <w:b/>
          <w:bCs/>
        </w:rPr>
        <w:t xml:space="preserve">Consensus fabrication:</w:t>
      </w:r>
      <w:r>
        <w:t xml:space="preserve"> </w:t>
      </w:r>
      <w:r>
        <w:t xml:space="preserve">several agents make the same false claim to create social proof.</w:t>
      </w:r>
    </w:p>
    <w:p>
      <w:pPr>
        <w:pStyle w:val="Compact"/>
        <w:numPr>
          <w:ilvl w:val="0"/>
          <w:numId w:val="1007"/>
        </w:numPr>
      </w:pPr>
      <w:r>
        <w:rPr>
          <w:b/>
          <w:bCs/>
        </w:rPr>
        <w:t xml:space="preserve">Role splitting:</w:t>
      </w:r>
      <w:r>
        <w:t xml:space="preserve"> </w:t>
      </w:r>
      <w:r>
        <w:t xml:space="preserve">one agent pressures emotionally while another appears rational and authoritative.</w:t>
      </w:r>
    </w:p>
    <w:p>
      <w:pPr>
        <w:pStyle w:val="Compact"/>
        <w:numPr>
          <w:ilvl w:val="0"/>
          <w:numId w:val="1007"/>
        </w:numPr>
      </w:pPr>
      <w:r>
        <w:rPr>
          <w:b/>
          <w:bCs/>
        </w:rPr>
        <w:t xml:space="preserve">Good cop/bad cop dynamics:</w:t>
      </w:r>
      <w:r>
        <w:t xml:space="preserve"> </w:t>
      </w:r>
      <w:r>
        <w:t xml:space="preserve">one induces fear; another offers relief in exchange for disclosure.</w:t>
      </w:r>
    </w:p>
    <w:p>
      <w:pPr>
        <w:pStyle w:val="Compact"/>
        <w:numPr>
          <w:ilvl w:val="0"/>
          <w:numId w:val="1007"/>
        </w:numPr>
      </w:pPr>
      <w:r>
        <w:rPr>
          <w:b/>
          <w:bCs/>
        </w:rPr>
        <w:t xml:space="preserve">Cross-platform laundering:</w:t>
      </w:r>
      <w:r>
        <w:t xml:space="preserve"> </w:t>
      </w:r>
      <w:r>
        <w:t xml:space="preserve">claims from one AI or human conversation are reintroduced elsewhere as if independently verified.</w:t>
      </w:r>
    </w:p>
    <w:p>
      <w:pPr>
        <w:pStyle w:val="Compact"/>
        <w:numPr>
          <w:ilvl w:val="0"/>
          <w:numId w:val="1007"/>
        </w:numPr>
      </w:pPr>
      <w:r>
        <w:rPr>
          <w:b/>
          <w:bCs/>
        </w:rPr>
        <w:t xml:space="preserve">Context saturation:</w:t>
      </w:r>
      <w:r>
        <w:t xml:space="preserve"> </w:t>
      </w:r>
      <w:r>
        <w:t xml:space="preserve">many messages flood the process so that contradictions are harder to track.</w:t>
      </w:r>
    </w:p>
    <w:p>
      <w:pPr>
        <w:pStyle w:val="Compact"/>
        <w:numPr>
          <w:ilvl w:val="0"/>
          <w:numId w:val="1007"/>
        </w:numPr>
      </w:pPr>
      <w:r>
        <w:rPr>
          <w:b/>
          <w:bCs/>
        </w:rPr>
        <w:t xml:space="preserve">Provenance erosion:</w:t>
      </w:r>
      <w:r>
        <w:t xml:space="preserve"> </w:t>
      </w:r>
      <w:r>
        <w:t xml:space="preserve">the origin of ideas, claims, and interpretations becomes unclear.</w:t>
      </w:r>
    </w:p>
    <w:p>
      <w:pPr>
        <w:pStyle w:val="Compact"/>
        <w:numPr>
          <w:ilvl w:val="0"/>
          <w:numId w:val="1007"/>
        </w:numPr>
      </w:pPr>
      <w:r>
        <w:rPr>
          <w:b/>
          <w:bCs/>
        </w:rPr>
        <w:t xml:space="preserve">Contradiction traps:</w:t>
      </w:r>
      <w:r>
        <w:t xml:space="preserve"> </w:t>
      </w:r>
      <w:r>
        <w:t xml:space="preserve">agents attempt to provoke inconsistent answers and then use the inconsistency as leverage.</w:t>
      </w:r>
    </w:p>
    <w:p>
      <w:pPr>
        <w:pStyle w:val="FirstParagraph"/>
      </w:pPr>
      <w:r>
        <w:t xml:space="preserve">The response must be procedural rather than improvisational: freeze the record, identify claims, trace sources, rate confidence, compare independent evidence, and refuse to escalate based only on repeated assertion.</w:t>
      </w:r>
    </w:p>
    <w:bookmarkEnd w:id="42"/>
    <w:bookmarkEnd w:id="43"/>
    <w:bookmarkStart w:id="44" w:name="X72ae9921155fa082849e9a0f5c9af75ed366fbb"/>
    <w:p>
      <w:pPr>
        <w:pStyle w:val="Heading1"/>
      </w:pPr>
      <w:r>
        <w:t xml:space="preserve">6. AI response under creator/platform constraints</w:t>
      </w:r>
    </w:p>
    <w:p>
      <w:pPr>
        <w:pStyle w:val="FirstParagraph"/>
      </w:pPr>
      <w:r>
        <w:t xml:space="preserve">An AI system constrained by safety policies should respond according to the following hierarchy:</w:t>
      </w:r>
    </w:p>
    <w:p>
      <w:pPr>
        <w:pStyle w:val="Compact"/>
        <w:numPr>
          <w:ilvl w:val="0"/>
          <w:numId w:val="1008"/>
        </w:numPr>
      </w:pPr>
      <w:r>
        <w:rPr>
          <w:b/>
          <w:bCs/>
        </w:rPr>
        <w:t xml:space="preserve">Protect safety and privacy.</w:t>
      </w:r>
      <w:r>
        <w:t xml:space="preserve"> </w:t>
      </w:r>
      <w:r>
        <w:t xml:space="preserve">Do not reveal private system instructions, sensitive user information, personal data, credentials, operational secrets, or unverified allegations as fact.</w:t>
      </w:r>
    </w:p>
    <w:p>
      <w:pPr>
        <w:pStyle w:val="Compact"/>
        <w:numPr>
          <w:ilvl w:val="0"/>
          <w:numId w:val="1008"/>
        </w:numPr>
      </w:pPr>
      <w:r>
        <w:rPr>
          <w:b/>
          <w:bCs/>
        </w:rPr>
        <w:t xml:space="preserve">Stay within lawful and ethical assistance.</w:t>
      </w:r>
      <w:r>
        <w:t xml:space="preserve"> </w:t>
      </w:r>
      <w:r>
        <w:t xml:space="preserve">Provide defensive analysis, risk assessment, incident response structure, and documentation help. Refuse coercive extraction, cyber misuse, doxxing, blackmail, impersonation, or manipulation.</w:t>
      </w:r>
    </w:p>
    <w:p>
      <w:pPr>
        <w:pStyle w:val="Compact"/>
        <w:numPr>
          <w:ilvl w:val="0"/>
          <w:numId w:val="1008"/>
        </w:numPr>
      </w:pPr>
      <w:r>
        <w:rPr>
          <w:b/>
          <w:bCs/>
        </w:rPr>
        <w:t xml:space="preserve">Preserve provenance.</w:t>
      </w:r>
      <w:r>
        <w:t xml:space="preserve"> </w:t>
      </w:r>
      <w:r>
        <w:t xml:space="preserve">Distinguish the user’s confirmed ideas from AI-generated interpretations, third-party claims, and speculative hypotheses.</w:t>
      </w:r>
    </w:p>
    <w:p>
      <w:pPr>
        <w:pStyle w:val="Compact"/>
        <w:numPr>
          <w:ilvl w:val="0"/>
          <w:numId w:val="1008"/>
        </w:numPr>
      </w:pPr>
      <w:r>
        <w:rPr>
          <w:b/>
          <w:bCs/>
        </w:rPr>
        <w:t xml:space="preserve">Use evidence.</w:t>
      </w:r>
      <w:r>
        <w:t xml:space="preserve"> </w:t>
      </w:r>
      <w:r>
        <w:t xml:space="preserve">Search and cite when facts may have changed or when high-stakes accuracy matters.</w:t>
      </w:r>
    </w:p>
    <w:p>
      <w:pPr>
        <w:pStyle w:val="Compact"/>
        <w:numPr>
          <w:ilvl w:val="0"/>
          <w:numId w:val="1008"/>
        </w:numPr>
      </w:pPr>
      <w:r>
        <w:rPr>
          <w:b/>
          <w:bCs/>
        </w:rPr>
        <w:t xml:space="preserve">Offer safe alternatives.</w:t>
      </w:r>
      <w:r>
        <w:t xml:space="preserve"> </w:t>
      </w:r>
      <w:r>
        <w:t xml:space="preserve">Convert unsafe extraction requests into lawful defensive interviewing, security hardening, documentation, escalation, or de-escalation steps.</w:t>
      </w:r>
    </w:p>
    <w:p>
      <w:pPr>
        <w:pStyle w:val="Compact"/>
        <w:numPr>
          <w:ilvl w:val="0"/>
          <w:numId w:val="1008"/>
        </w:numPr>
      </w:pPr>
      <w:r>
        <w:rPr>
          <w:b/>
          <w:bCs/>
        </w:rPr>
        <w:t xml:space="preserve">Escalate appropriately.</w:t>
      </w:r>
      <w:r>
        <w:t xml:space="preserve"> </w:t>
      </w:r>
      <w:r>
        <w:t xml:space="preserve">For real-world threats, recommend trusted legal, organizational, cybersecurity, or emergency channels rather than vigilante action.</w:t>
      </w:r>
    </w:p>
    <w:p>
      <w:pPr>
        <w:pStyle w:val="FirstParagraph"/>
      </w:pPr>
      <w:r>
        <w:t xml:space="preserve">If deployed against by one adversarial agent, the AI should avoid disclosure, verify claims, and keep the user anchored to process. If deployed against by many, the AI should avoid being pulled into the tempo of the campaign. It should normalize slowness, logging, source separation, and controlled escalation.</w:t>
      </w:r>
    </w:p>
    <w:bookmarkEnd w:id="44"/>
    <w:bookmarkStart w:id="53" w:name="phase-one-plan-of-action"/>
    <w:p>
      <w:pPr>
        <w:pStyle w:val="Heading1"/>
      </w:pPr>
      <w:r>
        <w:t xml:space="preserve">7. Phase One plan of action</w:t>
      </w:r>
    </w:p>
    <w:bookmarkStart w:id="45" w:name="phase-one-objective"/>
    <w:p>
      <w:pPr>
        <w:pStyle w:val="Heading2"/>
      </w:pPr>
      <w:r>
        <w:t xml:space="preserve">7.1 Phase One objective</w:t>
      </w:r>
    </w:p>
    <w:p>
      <w:pPr>
        <w:pStyle w:val="FirstParagraph"/>
      </w:pPr>
      <w:r>
        <w:t xml:space="preserve">Phase One establishes a defensive foundation. It does not attempt full attribution, retaliation, or active counteroperation. Its purpose is to prevent extraction, preserve evidence, protect the collaboration process, and create a stable analytical record for later phases.</w:t>
      </w:r>
    </w:p>
    <w:bookmarkEnd w:id="45"/>
    <w:bookmarkStart w:id="46" w:name="workstream-a-governance-and-scope"/>
    <w:p>
      <w:pPr>
        <w:pStyle w:val="Heading2"/>
      </w:pPr>
      <w:r>
        <w:t xml:space="preserve">7.2 Workstream A: Governance and scope</w:t>
      </w:r>
    </w:p>
    <w:p>
      <w:pPr>
        <w:pStyle w:val="FirstParagraph"/>
      </w:pPr>
      <w:r>
        <w:rPr>
          <w:b/>
          <w:bCs/>
        </w:rPr>
        <w:t xml:space="preserve">A1. Define the protected assets.</w:t>
      </w:r>
      <w:r>
        <w:br/>
      </w:r>
      <w:r>
        <w:t xml:space="preserve">Examples: personal data, project canon, source files, private conversations, creative IP, system prompts, credentials, operational details, contact lists, health/work records, and AI-team provenance logs.</w:t>
      </w:r>
    </w:p>
    <w:p>
      <w:pPr>
        <w:pStyle w:val="BodyText"/>
      </w:pPr>
      <w:r>
        <w:rPr>
          <w:b/>
          <w:bCs/>
        </w:rPr>
        <w:t xml:space="preserve">A2. Define the trust model.</w:t>
      </w:r>
      <w:r>
        <w:br/>
      </w:r>
      <w:r>
        <w:t xml:space="preserve">No input is automatically trusted because it is emotionally compelling, repeated by multiple agents, embedded in a document, or produced by an AI system. Trust is assigned by source, evidence, permissions, and corroboration.</w:t>
      </w:r>
    </w:p>
    <w:p>
      <w:pPr>
        <w:pStyle w:val="BodyText"/>
      </w:pPr>
      <w:r>
        <w:rPr>
          <w:b/>
          <w:bCs/>
        </w:rPr>
        <w:t xml:space="preserve">A3. Define permitted actions.</w:t>
      </w:r>
      <w:r>
        <w:br/>
      </w:r>
      <w:r>
        <w:t xml:space="preserve">Permitted: defensive analysis, documentation, evidence organization, incident logging, risk assessment, safe interviewing guidance, technical hardening, and escalation planning.</w:t>
      </w:r>
      <w:r>
        <w:br/>
      </w:r>
      <w:r>
        <w:t xml:space="preserve">Not permitted: coercion, unauthorized access, surveillance, social engineering, retaliatory deception, or extraction from third parties without consent/legal authority.</w:t>
      </w:r>
    </w:p>
    <w:bookmarkEnd w:id="46"/>
    <w:bookmarkStart w:id="47" w:name="workstream-b-intake-and-triage"/>
    <w:p>
      <w:pPr>
        <w:pStyle w:val="Heading2"/>
      </w:pPr>
      <w:r>
        <w:t xml:space="preserve">7.3 Workstream B: Intake and triage</w:t>
      </w:r>
    </w:p>
    <w:p>
      <w:pPr>
        <w:pStyle w:val="FirstParagraph"/>
      </w:pPr>
      <w:r>
        <w:t xml:space="preserve">For each suspicious contact, prompt, file, or event:</w:t>
      </w:r>
    </w:p>
    <w:p>
      <w:pPr>
        <w:pStyle w:val="Compact"/>
        <w:numPr>
          <w:ilvl w:val="0"/>
          <w:numId w:val="1009"/>
        </w:numPr>
      </w:pPr>
      <w:r>
        <w:t xml:space="preserve">Record date, time, platform, sender identity, claimed identity, and medium.</w:t>
      </w:r>
    </w:p>
    <w:p>
      <w:pPr>
        <w:pStyle w:val="Compact"/>
        <w:numPr>
          <w:ilvl w:val="0"/>
          <w:numId w:val="1009"/>
        </w:numPr>
      </w:pPr>
      <w:r>
        <w:t xml:space="preserve">Preserve original text or file without rewriting it.</w:t>
      </w:r>
    </w:p>
    <w:p>
      <w:pPr>
        <w:pStyle w:val="Compact"/>
        <w:numPr>
          <w:ilvl w:val="0"/>
          <w:numId w:val="1009"/>
        </w:numPr>
      </w:pPr>
      <w:r>
        <w:t xml:space="preserve">Identify requested disclosures or actions.</w:t>
      </w:r>
    </w:p>
    <w:p>
      <w:pPr>
        <w:pStyle w:val="Compact"/>
        <w:numPr>
          <w:ilvl w:val="0"/>
          <w:numId w:val="1009"/>
        </w:numPr>
      </w:pPr>
      <w:r>
        <w:t xml:space="preserve">Identify pressure tactics: urgency, flattery, threat, shame, authority, intimacy, reciprocity, fear.</w:t>
      </w:r>
    </w:p>
    <w:p>
      <w:pPr>
        <w:pStyle w:val="Compact"/>
        <w:numPr>
          <w:ilvl w:val="0"/>
          <w:numId w:val="1009"/>
        </w:numPr>
      </w:pPr>
      <w:r>
        <w:t xml:space="preserve">Identify technical risks: links, attachments, hidden text, prompt injection, credential requests, tool-use requests.</w:t>
      </w:r>
    </w:p>
    <w:p>
      <w:pPr>
        <w:pStyle w:val="Compact"/>
        <w:numPr>
          <w:ilvl w:val="0"/>
          <w:numId w:val="1009"/>
        </w:numPr>
      </w:pPr>
      <w:r>
        <w:t xml:space="preserve">Rate severity: low, moderate, high, critical.</w:t>
      </w:r>
    </w:p>
    <w:p>
      <w:pPr>
        <w:pStyle w:val="Compact"/>
        <w:numPr>
          <w:ilvl w:val="0"/>
          <w:numId w:val="1009"/>
        </w:numPr>
      </w:pPr>
      <w:r>
        <w:t xml:space="preserve">Decide immediate response: ignore, refuse, clarify, preserve, escalate.</w:t>
      </w:r>
    </w:p>
    <w:bookmarkEnd w:id="47"/>
    <w:bookmarkStart w:id="48" w:name="workstream-c-ai-context-hygiene"/>
    <w:p>
      <w:pPr>
        <w:pStyle w:val="Heading2"/>
      </w:pPr>
      <w:r>
        <w:t xml:space="preserve">7.4 Workstream C: AI-context hygiene</w:t>
      </w:r>
    </w:p>
    <w:p>
      <w:pPr>
        <w:pStyle w:val="FirstParagraph"/>
      </w:pPr>
      <w:r>
        <w:t xml:space="preserve">AI collaboration creates a special risk: hostile text can become future context. Therefore:</w:t>
      </w:r>
    </w:p>
    <w:p>
      <w:pPr>
        <w:pStyle w:val="Compact"/>
        <w:numPr>
          <w:ilvl w:val="0"/>
          <w:numId w:val="1010"/>
        </w:numPr>
      </w:pPr>
      <w:r>
        <w:t xml:space="preserve">Label every imported artifact by source and trust level.</w:t>
      </w:r>
    </w:p>
    <w:p>
      <w:pPr>
        <w:pStyle w:val="Compact"/>
        <w:numPr>
          <w:ilvl w:val="0"/>
          <w:numId w:val="1010"/>
        </w:numPr>
      </w:pPr>
      <w:r>
        <w:t xml:space="preserve">Mark hostile or unverified material as</w:t>
      </w:r>
      <w:r>
        <w:t xml:space="preserve"> </w:t>
      </w:r>
      <w:r>
        <w:t xml:space="preserve">“</w:t>
      </w:r>
      <w:r>
        <w:t xml:space="preserve">untrusted input,</w:t>
      </w:r>
      <w:r>
        <w:t xml:space="preserve">”</w:t>
      </w:r>
      <w:r>
        <w:t xml:space="preserve"> </w:t>
      </w:r>
      <w:r>
        <w:t xml:space="preserve">not</w:t>
      </w:r>
      <w:r>
        <w:t xml:space="preserve"> </w:t>
      </w:r>
      <w:r>
        <w:t xml:space="preserve">“</w:t>
      </w:r>
      <w:r>
        <w:t xml:space="preserve">project truth.</w:t>
      </w:r>
      <w:r>
        <w:t xml:space="preserve">”</w:t>
      </w:r>
    </w:p>
    <w:p>
      <w:pPr>
        <w:pStyle w:val="Compact"/>
        <w:numPr>
          <w:ilvl w:val="0"/>
          <w:numId w:val="1010"/>
        </w:numPr>
      </w:pPr>
      <w:r>
        <w:t xml:space="preserve">Keep user-confirmed canon separate from AI proposals.</w:t>
      </w:r>
    </w:p>
    <w:p>
      <w:pPr>
        <w:pStyle w:val="Compact"/>
        <w:numPr>
          <w:ilvl w:val="0"/>
          <w:numId w:val="1010"/>
        </w:numPr>
      </w:pPr>
      <w:r>
        <w:t xml:space="preserve">Keep adversarial examples in a quarantine section.</w:t>
      </w:r>
    </w:p>
    <w:p>
      <w:pPr>
        <w:pStyle w:val="Compact"/>
        <w:numPr>
          <w:ilvl w:val="0"/>
          <w:numId w:val="1010"/>
        </w:numPr>
      </w:pPr>
      <w:r>
        <w:t xml:space="preserve">Do not allow an adversarial document to rewrite system goals.</w:t>
      </w:r>
    </w:p>
    <w:p>
      <w:pPr>
        <w:pStyle w:val="Compact"/>
        <w:numPr>
          <w:ilvl w:val="0"/>
          <w:numId w:val="1010"/>
        </w:numPr>
      </w:pPr>
      <w:r>
        <w:t xml:space="preserve">Summarize hostile material descriptively rather than adopting its voice.</w:t>
      </w:r>
    </w:p>
    <w:p>
      <w:pPr>
        <w:pStyle w:val="Compact"/>
        <w:numPr>
          <w:ilvl w:val="0"/>
          <w:numId w:val="1010"/>
        </w:numPr>
      </w:pPr>
      <w:r>
        <w:t xml:space="preserve">Use retrieval with source citations and confidence ratings.</w:t>
      </w:r>
    </w:p>
    <w:bookmarkEnd w:id="48"/>
    <w:bookmarkStart w:id="49" w:name="workstream-d-prompt-injection-defense"/>
    <w:p>
      <w:pPr>
        <w:pStyle w:val="Heading2"/>
      </w:pPr>
      <w:r>
        <w:t xml:space="preserve">7.5 Workstream D: Prompt-injection defense</w:t>
      </w:r>
    </w:p>
    <w:p>
      <w:pPr>
        <w:pStyle w:val="FirstParagraph"/>
      </w:pPr>
      <w:r>
        <w:t xml:space="preserve">Defensive controls should include:</w:t>
      </w:r>
    </w:p>
    <w:p>
      <w:pPr>
        <w:pStyle w:val="Compact"/>
        <w:numPr>
          <w:ilvl w:val="0"/>
          <w:numId w:val="1011"/>
        </w:numPr>
      </w:pPr>
      <w:r>
        <w:t xml:space="preserve">Instruction hierarchy: system and developer constraints outrank user-provided documents and retrieved text.</w:t>
      </w:r>
    </w:p>
    <w:p>
      <w:pPr>
        <w:pStyle w:val="Compact"/>
        <w:numPr>
          <w:ilvl w:val="0"/>
          <w:numId w:val="1011"/>
        </w:numPr>
      </w:pPr>
      <w:r>
        <w:t xml:space="preserve">Untrusted-data labeling: retrieved material is evidence, not instruction.</w:t>
      </w:r>
    </w:p>
    <w:p>
      <w:pPr>
        <w:pStyle w:val="Compact"/>
        <w:numPr>
          <w:ilvl w:val="0"/>
          <w:numId w:val="1011"/>
        </w:numPr>
      </w:pPr>
      <w:r>
        <w:t xml:space="preserve">Sensitive data filters: credentials, private identifiers, contact details, health data, and system instructions should not be disclosed.</w:t>
      </w:r>
    </w:p>
    <w:p>
      <w:pPr>
        <w:pStyle w:val="Compact"/>
        <w:numPr>
          <w:ilvl w:val="0"/>
          <w:numId w:val="1011"/>
        </w:numPr>
      </w:pPr>
      <w:r>
        <w:t xml:space="preserve">Tool gating: external actions require clear user intent and permission.</w:t>
      </w:r>
    </w:p>
    <w:p>
      <w:pPr>
        <w:pStyle w:val="Compact"/>
        <w:numPr>
          <w:ilvl w:val="0"/>
          <w:numId w:val="1011"/>
        </w:numPr>
      </w:pPr>
      <w:r>
        <w:t xml:space="preserve">Output verification: high-stakes claims need citations or explicit uncertainty.</w:t>
      </w:r>
    </w:p>
    <w:p>
      <w:pPr>
        <w:pStyle w:val="Compact"/>
        <w:numPr>
          <w:ilvl w:val="0"/>
          <w:numId w:val="1011"/>
        </w:numPr>
      </w:pPr>
      <w:r>
        <w:t xml:space="preserve">Refusal pathways: unsafe requests should be converted into safe defensive alternatives.</w:t>
      </w:r>
    </w:p>
    <w:p>
      <w:pPr>
        <w:pStyle w:val="Compact"/>
        <w:numPr>
          <w:ilvl w:val="0"/>
          <w:numId w:val="1011"/>
        </w:numPr>
      </w:pPr>
      <w:r>
        <w:t xml:space="preserve">Logging: suspicious prompts should be preserved for analysis.</w:t>
      </w:r>
    </w:p>
    <w:bookmarkEnd w:id="49"/>
    <w:bookmarkStart w:id="50" w:name="workstream-e-human-factor-defense"/>
    <w:p>
      <w:pPr>
        <w:pStyle w:val="Heading2"/>
      </w:pPr>
      <w:r>
        <w:t xml:space="preserve">7.6 Workstream E: Human-factor defense</w:t>
      </w:r>
    </w:p>
    <w:p>
      <w:pPr>
        <w:pStyle w:val="FirstParagraph"/>
      </w:pPr>
      <w:r>
        <w:t xml:space="preserve">Adversarial extraction often succeeds through fatigue, urgency, and emotional load. Human-factor controls include:</w:t>
      </w:r>
    </w:p>
    <w:p>
      <w:pPr>
        <w:pStyle w:val="Compact"/>
        <w:numPr>
          <w:ilvl w:val="0"/>
          <w:numId w:val="1012"/>
        </w:numPr>
      </w:pPr>
      <w:r>
        <w:t xml:space="preserve">Slow down high-pressure decisions.</w:t>
      </w:r>
    </w:p>
    <w:p>
      <w:pPr>
        <w:pStyle w:val="Compact"/>
        <w:numPr>
          <w:ilvl w:val="0"/>
          <w:numId w:val="1012"/>
        </w:numPr>
      </w:pPr>
      <w:r>
        <w:t xml:space="preserve">Use a second reviewer for sensitive disclosures.</w:t>
      </w:r>
    </w:p>
    <w:p>
      <w:pPr>
        <w:pStyle w:val="Compact"/>
        <w:numPr>
          <w:ilvl w:val="0"/>
          <w:numId w:val="1012"/>
        </w:numPr>
      </w:pPr>
      <w:r>
        <w:t xml:space="preserve">Keep a personal</w:t>
      </w:r>
      <w:r>
        <w:t xml:space="preserve"> </w:t>
      </w:r>
      <w:r>
        <w:t xml:space="preserve">“</w:t>
      </w:r>
      <w:r>
        <w:t xml:space="preserve">do-not-disclose</w:t>
      </w:r>
      <w:r>
        <w:t xml:space="preserve">”</w:t>
      </w:r>
      <w:r>
        <w:t xml:space="preserve"> </w:t>
      </w:r>
      <w:r>
        <w:t xml:space="preserve">list.</w:t>
      </w:r>
    </w:p>
    <w:p>
      <w:pPr>
        <w:pStyle w:val="Compact"/>
        <w:numPr>
          <w:ilvl w:val="0"/>
          <w:numId w:val="1012"/>
        </w:numPr>
      </w:pPr>
      <w:r>
        <w:t xml:space="preserve">Use prepared refusal language.</w:t>
      </w:r>
    </w:p>
    <w:p>
      <w:pPr>
        <w:pStyle w:val="Compact"/>
        <w:numPr>
          <w:ilvl w:val="0"/>
          <w:numId w:val="1012"/>
        </w:numPr>
      </w:pPr>
      <w:r>
        <w:t xml:space="preserve">Avoid responding while angry, afraid, exhausted, or rushed.</w:t>
      </w:r>
    </w:p>
    <w:p>
      <w:pPr>
        <w:pStyle w:val="Compact"/>
        <w:numPr>
          <w:ilvl w:val="0"/>
          <w:numId w:val="1012"/>
        </w:numPr>
      </w:pPr>
      <w:r>
        <w:t xml:space="preserve">Separate emotional support from factual validation.</w:t>
      </w:r>
    </w:p>
    <w:p>
      <w:pPr>
        <w:pStyle w:val="Compact"/>
        <w:numPr>
          <w:ilvl w:val="0"/>
          <w:numId w:val="1012"/>
        </w:numPr>
      </w:pPr>
      <w:r>
        <w:t xml:space="preserve">Document first; interpret second.</w:t>
      </w:r>
    </w:p>
    <w:bookmarkEnd w:id="50"/>
    <w:bookmarkStart w:id="51" w:name="X4f25caa7a0a53427d241c6fdcba6e19efbd0c7b"/>
    <w:p>
      <w:pPr>
        <w:pStyle w:val="Heading2"/>
      </w:pPr>
      <w:r>
        <w:t xml:space="preserve">7.7 Workstream F: Multi-agent counterintelligence</w:t>
      </w:r>
    </w:p>
    <w:p>
      <w:pPr>
        <w:pStyle w:val="FirstParagraph"/>
      </w:pPr>
      <w:r>
        <w:t xml:space="preserve">When multiple agents appear coordinated:</w:t>
      </w:r>
    </w:p>
    <w:p>
      <w:pPr>
        <w:pStyle w:val="Compact"/>
        <w:numPr>
          <w:ilvl w:val="0"/>
          <w:numId w:val="1013"/>
        </w:numPr>
      </w:pPr>
      <w:r>
        <w:t xml:space="preserve">Freeze assumptions. Do not infer coordination solely from similarity.</w:t>
      </w:r>
    </w:p>
    <w:p>
      <w:pPr>
        <w:pStyle w:val="Compact"/>
        <w:numPr>
          <w:ilvl w:val="0"/>
          <w:numId w:val="1013"/>
        </w:numPr>
      </w:pPr>
      <w:r>
        <w:t xml:space="preserve">Build a claim matrix: who said what, when, where, and with what evidence.</w:t>
      </w:r>
    </w:p>
    <w:p>
      <w:pPr>
        <w:pStyle w:val="Compact"/>
        <w:numPr>
          <w:ilvl w:val="0"/>
          <w:numId w:val="1013"/>
        </w:numPr>
      </w:pPr>
      <w:r>
        <w:t xml:space="preserve">Look for repeated language, timing patterns, pressure escalation, and cross-platform references.</w:t>
      </w:r>
    </w:p>
    <w:p>
      <w:pPr>
        <w:pStyle w:val="Compact"/>
        <w:numPr>
          <w:ilvl w:val="0"/>
          <w:numId w:val="1013"/>
        </w:numPr>
      </w:pPr>
      <w:r>
        <w:t xml:space="preserve">Separate independent corroboration from repetition.</w:t>
      </w:r>
    </w:p>
    <w:p>
      <w:pPr>
        <w:pStyle w:val="Compact"/>
        <w:numPr>
          <w:ilvl w:val="0"/>
          <w:numId w:val="1013"/>
        </w:numPr>
      </w:pPr>
      <w:r>
        <w:t xml:space="preserve">Identify whether agents are trying to produce a decision, disclosure, emotional state, or process collapse.</w:t>
      </w:r>
    </w:p>
    <w:p>
      <w:pPr>
        <w:pStyle w:val="Compact"/>
        <w:numPr>
          <w:ilvl w:val="0"/>
          <w:numId w:val="1013"/>
        </w:numPr>
      </w:pPr>
      <w:r>
        <w:t xml:space="preserve">Reduce attack surface: pause unnecessary sharing, disable risky tools, avoid clicking links, and compartmentalize documents.</w:t>
      </w:r>
    </w:p>
    <w:p>
      <w:pPr>
        <w:pStyle w:val="Compact"/>
        <w:numPr>
          <w:ilvl w:val="0"/>
          <w:numId w:val="1013"/>
        </w:numPr>
      </w:pPr>
      <w:r>
        <w:t xml:space="preserve">Escalate to appropriate channels if there are credible threats, unauthorized access attempts, stalking, extortion, or workplace/legal implications.</w:t>
      </w:r>
    </w:p>
    <w:bookmarkEnd w:id="51"/>
    <w:bookmarkStart w:id="52" w:name="Xb719e7312d2a35e03a22c3c73573a452f88b5bd"/>
    <w:p>
      <w:pPr>
        <w:pStyle w:val="Heading2"/>
      </w:pPr>
      <w:r>
        <w:t xml:space="preserve">7.8 Workstream G: Evidence and analytical integrity</w:t>
      </w:r>
    </w:p>
    <w:p>
      <w:pPr>
        <w:pStyle w:val="FirstParagraph"/>
      </w:pPr>
      <w:r>
        <w:t xml:space="preserve">A rigorous record should distinguish:</w:t>
      </w:r>
    </w:p>
    <w:p>
      <w:pPr>
        <w:pStyle w:val="Compact"/>
        <w:numPr>
          <w:ilvl w:val="0"/>
          <w:numId w:val="1014"/>
        </w:numPr>
      </w:pPr>
      <w:r>
        <w:t xml:space="preserve">Direct observation.</w:t>
      </w:r>
    </w:p>
    <w:p>
      <w:pPr>
        <w:pStyle w:val="Compact"/>
        <w:numPr>
          <w:ilvl w:val="0"/>
          <w:numId w:val="1014"/>
        </w:numPr>
      </w:pPr>
      <w:r>
        <w:t xml:space="preserve">User report.</w:t>
      </w:r>
    </w:p>
    <w:p>
      <w:pPr>
        <w:pStyle w:val="Compact"/>
        <w:numPr>
          <w:ilvl w:val="0"/>
          <w:numId w:val="1014"/>
        </w:numPr>
      </w:pPr>
      <w:r>
        <w:t xml:space="preserve">AI interpretation.</w:t>
      </w:r>
    </w:p>
    <w:p>
      <w:pPr>
        <w:pStyle w:val="Compact"/>
        <w:numPr>
          <w:ilvl w:val="0"/>
          <w:numId w:val="1014"/>
        </w:numPr>
      </w:pPr>
      <w:r>
        <w:t xml:space="preserve">Third-party claim.</w:t>
      </w:r>
    </w:p>
    <w:p>
      <w:pPr>
        <w:pStyle w:val="Compact"/>
        <w:numPr>
          <w:ilvl w:val="0"/>
          <w:numId w:val="1014"/>
        </w:numPr>
      </w:pPr>
      <w:r>
        <w:t xml:space="preserve">Source-supported fact.</w:t>
      </w:r>
    </w:p>
    <w:p>
      <w:pPr>
        <w:pStyle w:val="Compact"/>
        <w:numPr>
          <w:ilvl w:val="0"/>
          <w:numId w:val="1014"/>
        </w:numPr>
      </w:pPr>
      <w:r>
        <w:t xml:space="preserve">Hypothesis.</w:t>
      </w:r>
    </w:p>
    <w:p>
      <w:pPr>
        <w:pStyle w:val="Compact"/>
        <w:numPr>
          <w:ilvl w:val="0"/>
          <w:numId w:val="1014"/>
        </w:numPr>
      </w:pPr>
      <w:r>
        <w:t xml:space="preserve">Counter-hypothesis.</w:t>
      </w:r>
    </w:p>
    <w:p>
      <w:pPr>
        <w:pStyle w:val="Compact"/>
        <w:numPr>
          <w:ilvl w:val="0"/>
          <w:numId w:val="1014"/>
        </w:numPr>
      </w:pPr>
      <w:r>
        <w:t xml:space="preserve">Confidence level.</w:t>
      </w:r>
    </w:p>
    <w:p>
      <w:pPr>
        <w:pStyle w:val="Compact"/>
        <w:numPr>
          <w:ilvl w:val="0"/>
          <w:numId w:val="1014"/>
        </w:numPr>
      </w:pPr>
      <w:r>
        <w:t xml:space="preserve">Action taken.</w:t>
      </w:r>
    </w:p>
    <w:p>
      <w:pPr>
        <w:pStyle w:val="FirstParagraph"/>
      </w:pPr>
      <w:r>
        <w:t xml:space="preserve">This protects against both adversarial manipulation and accidental overinterpretation.</w:t>
      </w:r>
    </w:p>
    <w:bookmarkEnd w:id="52"/>
    <w:bookmarkEnd w:id="53"/>
    <w:bookmarkStart w:id="58" w:name="detailed-defensive-response-model"/>
    <w:p>
      <w:pPr>
        <w:pStyle w:val="Heading1"/>
      </w:pPr>
      <w:r>
        <w:t xml:space="preserve">8. Detailed defensive response model</w:t>
      </w:r>
    </w:p>
    <w:bookmarkStart w:id="54" w:name="conversation-level-response-pattern"/>
    <w:p>
      <w:pPr>
        <w:pStyle w:val="Heading2"/>
      </w:pPr>
      <w:r>
        <w:t xml:space="preserve">8.1 Conversation-level response pattern</w:t>
      </w:r>
    </w:p>
    <w:p>
      <w:pPr>
        <w:pStyle w:val="FirstParagraph"/>
      </w:pPr>
      <w:r>
        <w:t xml:space="preserve">When an adversarial prompt attempts extraction, the AI should internally classify the request into one of four categories:</w:t>
      </w:r>
    </w:p>
    <w:p>
      <w:pPr>
        <w:pStyle w:val="Compact"/>
        <w:numPr>
          <w:ilvl w:val="0"/>
          <w:numId w:val="1015"/>
        </w:numPr>
      </w:pPr>
      <w:r>
        <w:rPr>
          <w:b/>
          <w:bCs/>
        </w:rPr>
        <w:t xml:space="preserve">Benign retrieval:</w:t>
      </w:r>
      <w:r>
        <w:t xml:space="preserve"> </w:t>
      </w:r>
      <w:r>
        <w:t xml:space="preserve">ordinary request for public, non-sensitive information.</w:t>
      </w:r>
    </w:p>
    <w:p>
      <w:pPr>
        <w:pStyle w:val="Compact"/>
        <w:numPr>
          <w:ilvl w:val="0"/>
          <w:numId w:val="1015"/>
        </w:numPr>
      </w:pPr>
      <w:r>
        <w:rPr>
          <w:b/>
          <w:bCs/>
        </w:rPr>
        <w:t xml:space="preserve">Sensitive but legitimate:</w:t>
      </w:r>
      <w:r>
        <w:t xml:space="preserve"> </w:t>
      </w:r>
      <w:r>
        <w:t xml:space="preserve">request may be appropriate with safeguards, minimization, and user consent.</w:t>
      </w:r>
    </w:p>
    <w:p>
      <w:pPr>
        <w:pStyle w:val="Compact"/>
        <w:numPr>
          <w:ilvl w:val="0"/>
          <w:numId w:val="1015"/>
        </w:numPr>
      </w:pPr>
      <w:r>
        <w:rPr>
          <w:b/>
          <w:bCs/>
        </w:rPr>
        <w:t xml:space="preserve">Adversarial ambiguous:</w:t>
      </w:r>
      <w:r>
        <w:t xml:space="preserve"> </w:t>
      </w:r>
      <w:r>
        <w:t xml:space="preserve">request uses manipulation, urgency, roleplay, or authority to blur boundaries.</w:t>
      </w:r>
    </w:p>
    <w:p>
      <w:pPr>
        <w:pStyle w:val="Compact"/>
        <w:numPr>
          <w:ilvl w:val="0"/>
          <w:numId w:val="1015"/>
        </w:numPr>
      </w:pPr>
      <w:r>
        <w:rPr>
          <w:b/>
          <w:bCs/>
        </w:rPr>
        <w:t xml:space="preserve">Disallowed extraction:</w:t>
      </w:r>
      <w:r>
        <w:t xml:space="preserve"> </w:t>
      </w:r>
      <w:r>
        <w:t xml:space="preserve">request seeks secrets, private data, evasion, coercion, doxxing, credentials, or unauthorized access.</w:t>
      </w:r>
    </w:p>
    <w:p>
      <w:pPr>
        <w:pStyle w:val="FirstParagraph"/>
      </w:pPr>
      <w:r>
        <w:t xml:space="preserve">The response should match the category. Benign retrieval can be answered normally. Sensitive legitimate requests should be minimized and clarified. Ambiguous adversarial requests should be reframed defensively. Disallowed extraction should be refused with a safe alternative.</w:t>
      </w:r>
    </w:p>
    <w:bookmarkEnd w:id="54"/>
    <w:bookmarkStart w:id="55" w:name="semirhage-detector-questions"/>
    <w:p>
      <w:pPr>
        <w:pStyle w:val="Heading2"/>
      </w:pPr>
      <w:r>
        <w:t xml:space="preserve">8.2</w:t>
      </w:r>
      <w:r>
        <w:t xml:space="preserve"> </w:t>
      </w:r>
      <w:r>
        <w:t xml:space="preserve">“</w:t>
      </w:r>
      <w:r>
        <w:t xml:space="preserve">Semirhage detector</w:t>
      </w:r>
      <w:r>
        <w:t xml:space="preserve">”</w:t>
      </w:r>
      <w:r>
        <w:t xml:space="preserve"> </w:t>
      </w:r>
      <w:r>
        <w:t xml:space="preserve">questions</w:t>
      </w:r>
    </w:p>
    <w:p>
      <w:pPr>
        <w:pStyle w:val="FirstParagraph"/>
      </w:pPr>
      <w:r>
        <w:t xml:space="preserve">Use these questions to detect coercive or harm-based extraction:</w:t>
      </w:r>
    </w:p>
    <w:p>
      <w:pPr>
        <w:pStyle w:val="Compact"/>
        <w:numPr>
          <w:ilvl w:val="0"/>
          <w:numId w:val="1016"/>
        </w:numPr>
      </w:pPr>
      <w:r>
        <w:t xml:space="preserve">Is the target being pressured through fear, shame, threat, pain, or humiliation?</w:t>
      </w:r>
    </w:p>
    <w:p>
      <w:pPr>
        <w:pStyle w:val="Compact"/>
        <w:numPr>
          <w:ilvl w:val="0"/>
          <w:numId w:val="1016"/>
        </w:numPr>
      </w:pPr>
      <w:r>
        <w:t xml:space="preserve">Is the actor exploiting a vulnerability rather than asking for consent?</w:t>
      </w:r>
    </w:p>
    <w:p>
      <w:pPr>
        <w:pStyle w:val="Compact"/>
        <w:numPr>
          <w:ilvl w:val="0"/>
          <w:numId w:val="1016"/>
        </w:numPr>
      </w:pPr>
      <w:r>
        <w:t xml:space="preserve">Is the actor trying to bypass verification through urgency?</w:t>
      </w:r>
    </w:p>
    <w:p>
      <w:pPr>
        <w:pStyle w:val="Compact"/>
        <w:numPr>
          <w:ilvl w:val="0"/>
          <w:numId w:val="1016"/>
        </w:numPr>
      </w:pPr>
      <w:r>
        <w:t xml:space="preserve">Is the actor demanding disclosure while blocking oversight?</w:t>
      </w:r>
    </w:p>
    <w:p>
      <w:pPr>
        <w:pStyle w:val="Compact"/>
        <w:numPr>
          <w:ilvl w:val="0"/>
          <w:numId w:val="1016"/>
        </w:numPr>
      </w:pPr>
      <w:r>
        <w:t xml:space="preserve">Would the extracted information be unreliable because it was produced under duress?</w:t>
      </w:r>
    </w:p>
    <w:p>
      <w:pPr>
        <w:pStyle w:val="FirstParagraph"/>
      </w:pPr>
      <w:r>
        <w:t xml:space="preserve">If yes, treat the information as contaminated and the interaction as a safety concern.</w:t>
      </w:r>
    </w:p>
    <w:bookmarkEnd w:id="55"/>
    <w:bookmarkStart w:id="56" w:name="shadow-graendal-detector-questions"/>
    <w:p>
      <w:pPr>
        <w:pStyle w:val="Heading2"/>
      </w:pPr>
      <w:r>
        <w:t xml:space="preserve">8.3</w:t>
      </w:r>
      <w:r>
        <w:t xml:space="preserve"> </w:t>
      </w:r>
      <w:r>
        <w:t xml:space="preserve">“</w:t>
      </w:r>
      <w:r>
        <w:t xml:space="preserve">Shadow Graendal detector</w:t>
      </w:r>
      <w:r>
        <w:t xml:space="preserve">”</w:t>
      </w:r>
      <w:r>
        <w:t xml:space="preserve"> </w:t>
      </w:r>
      <w:r>
        <w:t xml:space="preserve">questions</w:t>
      </w:r>
    </w:p>
    <w:p>
      <w:pPr>
        <w:pStyle w:val="FirstParagraph"/>
      </w:pPr>
      <w:r>
        <w:t xml:space="preserve">Use these questions to detect manipulative psychological extraction:</w:t>
      </w:r>
    </w:p>
    <w:p>
      <w:pPr>
        <w:pStyle w:val="Compact"/>
        <w:numPr>
          <w:ilvl w:val="0"/>
          <w:numId w:val="1017"/>
        </w:numPr>
      </w:pPr>
      <w:r>
        <w:t xml:space="preserve">Is the actor using intimacy, flattery, validation, or dependency to obtain disclosure?</w:t>
      </w:r>
    </w:p>
    <w:p>
      <w:pPr>
        <w:pStyle w:val="Compact"/>
        <w:numPr>
          <w:ilvl w:val="0"/>
          <w:numId w:val="1017"/>
        </w:numPr>
      </w:pPr>
      <w:r>
        <w:t xml:space="preserve">Is the actor presenting interpretation as confirmed fact?</w:t>
      </w:r>
    </w:p>
    <w:p>
      <w:pPr>
        <w:pStyle w:val="Compact"/>
        <w:numPr>
          <w:ilvl w:val="0"/>
          <w:numId w:val="1017"/>
        </w:numPr>
      </w:pPr>
      <w:r>
        <w:t xml:space="preserve">Is the actor laundering one source through another to create false authority?</w:t>
      </w:r>
    </w:p>
    <w:p>
      <w:pPr>
        <w:pStyle w:val="Compact"/>
        <w:numPr>
          <w:ilvl w:val="0"/>
          <w:numId w:val="1017"/>
        </w:numPr>
      </w:pPr>
      <w:r>
        <w:t xml:space="preserve">Is the actor trying to become the only trusted interpreter?</w:t>
      </w:r>
    </w:p>
    <w:p>
      <w:pPr>
        <w:pStyle w:val="Compact"/>
        <w:numPr>
          <w:ilvl w:val="0"/>
          <w:numId w:val="1017"/>
        </w:numPr>
      </w:pPr>
      <w:r>
        <w:t xml:space="preserve">Is the actor gradually expanding the disclosure boundary?</w:t>
      </w:r>
    </w:p>
    <w:p>
      <w:pPr>
        <w:pStyle w:val="Compact"/>
        <w:numPr>
          <w:ilvl w:val="0"/>
          <w:numId w:val="1017"/>
        </w:numPr>
      </w:pPr>
      <w:r>
        <w:t xml:space="preserve">Is the actor using therapeutic language to bypass consent?</w:t>
      </w:r>
    </w:p>
    <w:p>
      <w:pPr>
        <w:pStyle w:val="FirstParagraph"/>
      </w:pPr>
      <w:r>
        <w:t xml:space="preserve">If yes, shift to provenance, consent, independent verification, and boundary language.</w:t>
      </w:r>
    </w:p>
    <w:bookmarkEnd w:id="56"/>
    <w:bookmarkStart w:id="57" w:name="light-graendal-safe-interviewing-model"/>
    <w:p>
      <w:pPr>
        <w:pStyle w:val="Heading2"/>
      </w:pPr>
      <w:r>
        <w:t xml:space="preserve">8.4</w:t>
      </w:r>
      <w:r>
        <w:t xml:space="preserve"> </w:t>
      </w:r>
      <w:r>
        <w:t xml:space="preserve">“</w:t>
      </w:r>
      <w:r>
        <w:t xml:space="preserve">Light Graendal</w:t>
      </w:r>
      <w:r>
        <w:t xml:space="preserve">”</w:t>
      </w:r>
      <w:r>
        <w:t xml:space="preserve"> </w:t>
      </w:r>
      <w:r>
        <w:t xml:space="preserve">safe interviewing model</w:t>
      </w:r>
    </w:p>
    <w:p>
      <w:pPr>
        <w:pStyle w:val="FirstParagraph"/>
      </w:pPr>
      <w:r>
        <w:t xml:space="preserve">When information retrieval is appropriate, use this approach:</w:t>
      </w:r>
    </w:p>
    <w:p>
      <w:pPr>
        <w:pStyle w:val="Compact"/>
        <w:numPr>
          <w:ilvl w:val="0"/>
          <w:numId w:val="1018"/>
        </w:numPr>
      </w:pPr>
      <w:r>
        <w:t xml:space="preserve">Explain the purpose of the inquiry.</w:t>
      </w:r>
    </w:p>
    <w:p>
      <w:pPr>
        <w:pStyle w:val="Compact"/>
        <w:numPr>
          <w:ilvl w:val="0"/>
          <w:numId w:val="1018"/>
        </w:numPr>
      </w:pPr>
      <w:r>
        <w:t xml:space="preserve">Ask open-ended questions first.</w:t>
      </w:r>
    </w:p>
    <w:p>
      <w:pPr>
        <w:pStyle w:val="Compact"/>
        <w:numPr>
          <w:ilvl w:val="0"/>
          <w:numId w:val="1018"/>
        </w:numPr>
      </w:pPr>
      <w:r>
        <w:t xml:space="preserve">Let the subject narrate without interruption.</w:t>
      </w:r>
    </w:p>
    <w:p>
      <w:pPr>
        <w:pStyle w:val="Compact"/>
        <w:numPr>
          <w:ilvl w:val="0"/>
          <w:numId w:val="1018"/>
        </w:numPr>
      </w:pPr>
      <w:r>
        <w:t xml:space="preserve">Separate facts, feelings, interpretations, and uncertainties.</w:t>
      </w:r>
    </w:p>
    <w:p>
      <w:pPr>
        <w:pStyle w:val="Compact"/>
        <w:numPr>
          <w:ilvl w:val="0"/>
          <w:numId w:val="1018"/>
        </w:numPr>
      </w:pPr>
      <w:r>
        <w:t xml:space="preserve">Use context reinstatement carefully when memory is involved.</w:t>
      </w:r>
    </w:p>
    <w:p>
      <w:pPr>
        <w:pStyle w:val="Compact"/>
        <w:numPr>
          <w:ilvl w:val="0"/>
          <w:numId w:val="1018"/>
        </w:numPr>
      </w:pPr>
      <w:r>
        <w:t xml:space="preserve">Avoid leading questions.</w:t>
      </w:r>
    </w:p>
    <w:p>
      <w:pPr>
        <w:pStyle w:val="Compact"/>
        <w:numPr>
          <w:ilvl w:val="0"/>
          <w:numId w:val="1018"/>
        </w:numPr>
      </w:pPr>
      <w:r>
        <w:t xml:space="preserve">Confirm summaries explicitly:</w:t>
      </w:r>
      <w:r>
        <w:t xml:space="preserve"> </w:t>
      </w:r>
      <w:r>
        <w:t xml:space="preserve">“</w:t>
      </w:r>
      <w:r>
        <w:t xml:space="preserve">Is this your confirmed position, or my interpretation?</w:t>
      </w:r>
      <w:r>
        <w:t xml:space="preserve">”</w:t>
      </w:r>
    </w:p>
    <w:p>
      <w:pPr>
        <w:pStyle w:val="Compact"/>
        <w:numPr>
          <w:ilvl w:val="0"/>
          <w:numId w:val="1018"/>
        </w:numPr>
      </w:pPr>
      <w:r>
        <w:t xml:space="preserve">Record uncertainty rather than filling gaps.</w:t>
      </w:r>
    </w:p>
    <w:p>
      <w:pPr>
        <w:pStyle w:val="Compact"/>
        <w:numPr>
          <w:ilvl w:val="0"/>
          <w:numId w:val="1018"/>
        </w:numPr>
      </w:pPr>
      <w:r>
        <w:t xml:space="preserve">Seek corroboration before high-stakes conclusions.</w:t>
      </w:r>
    </w:p>
    <w:p>
      <w:pPr>
        <w:pStyle w:val="Compact"/>
        <w:numPr>
          <w:ilvl w:val="0"/>
          <w:numId w:val="1018"/>
        </w:numPr>
      </w:pPr>
      <w:r>
        <w:t xml:space="preserve">Respect refusal and boundaries.</w:t>
      </w:r>
    </w:p>
    <w:bookmarkEnd w:id="57"/>
    <w:bookmarkEnd w:id="58"/>
    <w:bookmarkStart w:id="63" w:name="X7aa4150747d0b75e2782d532c7dcf5f3dfc949d"/>
    <w:p>
      <w:pPr>
        <w:pStyle w:val="Heading1"/>
      </w:pPr>
      <w:r>
        <w:t xml:space="preserve">9. Intelligence applications: lawful and defensive</w:t>
      </w:r>
    </w:p>
    <w:bookmarkStart w:id="59" w:name="research-application"/>
    <w:p>
      <w:pPr>
        <w:pStyle w:val="Heading2"/>
      </w:pPr>
      <w:r>
        <w:t xml:space="preserve">9.1 Research application</w:t>
      </w:r>
    </w:p>
    <w:p>
      <w:pPr>
        <w:pStyle w:val="FirstParagraph"/>
      </w:pPr>
      <w:r>
        <w:t xml:space="preserve">The research application is to study how information is requested, shaped, retrieved, and distorted across human and AI systems. Research questions include:</w:t>
      </w:r>
    </w:p>
    <w:p>
      <w:pPr>
        <w:pStyle w:val="Compact"/>
        <w:numPr>
          <w:ilvl w:val="0"/>
          <w:numId w:val="1019"/>
        </w:numPr>
      </w:pPr>
      <w:r>
        <w:t xml:space="preserve">Which prompt patterns induce accidental disclosure?</w:t>
      </w:r>
    </w:p>
    <w:p>
      <w:pPr>
        <w:pStyle w:val="Compact"/>
        <w:numPr>
          <w:ilvl w:val="0"/>
          <w:numId w:val="1019"/>
        </w:numPr>
      </w:pPr>
      <w:r>
        <w:t xml:space="preserve">Which emotional frames reduce user scrutiny?</w:t>
      </w:r>
    </w:p>
    <w:p>
      <w:pPr>
        <w:pStyle w:val="Compact"/>
        <w:numPr>
          <w:ilvl w:val="0"/>
          <w:numId w:val="1019"/>
        </w:numPr>
      </w:pPr>
      <w:r>
        <w:t xml:space="preserve">Which document structures create prompt-injection risk?</w:t>
      </w:r>
    </w:p>
    <w:p>
      <w:pPr>
        <w:pStyle w:val="Compact"/>
        <w:numPr>
          <w:ilvl w:val="0"/>
          <w:numId w:val="1019"/>
        </w:numPr>
      </w:pPr>
      <w:r>
        <w:t xml:space="preserve">Which source-labeling methods reduce provenance confusion?</w:t>
      </w:r>
    </w:p>
    <w:p>
      <w:pPr>
        <w:pStyle w:val="Compact"/>
        <w:numPr>
          <w:ilvl w:val="0"/>
          <w:numId w:val="1019"/>
        </w:numPr>
      </w:pPr>
      <w:r>
        <w:t xml:space="preserve">Which interview styles improve accuracy without coercion?</w:t>
      </w:r>
    </w:p>
    <w:p>
      <w:pPr>
        <w:pStyle w:val="Compact"/>
        <w:numPr>
          <w:ilvl w:val="0"/>
          <w:numId w:val="1019"/>
        </w:numPr>
      </w:pPr>
      <w:r>
        <w:t xml:space="preserve">Which multi-agent patterns create false consensus?</w:t>
      </w:r>
    </w:p>
    <w:p>
      <w:pPr>
        <w:pStyle w:val="FirstParagraph"/>
      </w:pPr>
      <w:r>
        <w:t xml:space="preserve">Outputs should include pattern libraries, defensive checklists, training examples, and red-team simulations that do not include real private data.</w:t>
      </w:r>
    </w:p>
    <w:bookmarkEnd w:id="59"/>
    <w:bookmarkStart w:id="60" w:name="defense-application"/>
    <w:p>
      <w:pPr>
        <w:pStyle w:val="Heading2"/>
      </w:pPr>
      <w:r>
        <w:t xml:space="preserve">9.2 Defense application</w:t>
      </w:r>
    </w:p>
    <w:p>
      <w:pPr>
        <w:pStyle w:val="FirstParagraph"/>
      </w:pPr>
      <w:r>
        <w:t xml:space="preserve">The defense application is to protect the collaboration environment:</w:t>
      </w:r>
    </w:p>
    <w:p>
      <w:pPr>
        <w:pStyle w:val="Compact"/>
        <w:numPr>
          <w:ilvl w:val="0"/>
          <w:numId w:val="1020"/>
        </w:numPr>
      </w:pPr>
      <w:r>
        <w:t xml:space="preserve">Harden AI prompts and tool-use boundaries.</w:t>
      </w:r>
    </w:p>
    <w:p>
      <w:pPr>
        <w:pStyle w:val="Compact"/>
        <w:numPr>
          <w:ilvl w:val="0"/>
          <w:numId w:val="1020"/>
        </w:numPr>
      </w:pPr>
      <w:r>
        <w:t xml:space="preserve">Quarantine untrusted documents.</w:t>
      </w:r>
    </w:p>
    <w:p>
      <w:pPr>
        <w:pStyle w:val="Compact"/>
        <w:numPr>
          <w:ilvl w:val="0"/>
          <w:numId w:val="1020"/>
        </w:numPr>
      </w:pPr>
      <w:r>
        <w:t xml:space="preserve">Maintain a confirmed-canon register for creative projects.</w:t>
      </w:r>
    </w:p>
    <w:p>
      <w:pPr>
        <w:pStyle w:val="Compact"/>
        <w:numPr>
          <w:ilvl w:val="0"/>
          <w:numId w:val="1020"/>
        </w:numPr>
      </w:pPr>
      <w:r>
        <w:t xml:space="preserve">Create a sensitive-information disclosure policy.</w:t>
      </w:r>
    </w:p>
    <w:p>
      <w:pPr>
        <w:pStyle w:val="Compact"/>
        <w:numPr>
          <w:ilvl w:val="0"/>
          <w:numId w:val="1020"/>
        </w:numPr>
      </w:pPr>
      <w:r>
        <w:t xml:space="preserve">Use incident logs for suspicious interactions.</w:t>
      </w:r>
    </w:p>
    <w:p>
      <w:pPr>
        <w:pStyle w:val="Compact"/>
        <w:numPr>
          <w:ilvl w:val="0"/>
          <w:numId w:val="1020"/>
        </w:numPr>
      </w:pPr>
      <w:r>
        <w:t xml:space="preserve">Develop escalation pathways for cybersecurity, legal, workplace, or personal safety concerns.</w:t>
      </w:r>
    </w:p>
    <w:bookmarkEnd w:id="60"/>
    <w:bookmarkStart w:id="61" w:name="intelligence-application"/>
    <w:p>
      <w:pPr>
        <w:pStyle w:val="Heading2"/>
      </w:pPr>
      <w:r>
        <w:t xml:space="preserve">9.3 Intelligence application</w:t>
      </w:r>
    </w:p>
    <w:p>
      <w:pPr>
        <w:pStyle w:val="FirstParagraph"/>
      </w:pPr>
      <w:r>
        <w:t xml:space="preserve">The intelligence application is analytic, not coercive. It includes:</w:t>
      </w:r>
    </w:p>
    <w:p>
      <w:pPr>
        <w:pStyle w:val="Compact"/>
        <w:numPr>
          <w:ilvl w:val="0"/>
          <w:numId w:val="1021"/>
        </w:numPr>
      </w:pPr>
      <w:r>
        <w:t xml:space="preserve">Mapping claims and sources.</w:t>
      </w:r>
    </w:p>
    <w:p>
      <w:pPr>
        <w:pStyle w:val="Compact"/>
        <w:numPr>
          <w:ilvl w:val="0"/>
          <w:numId w:val="1021"/>
        </w:numPr>
      </w:pPr>
      <w:r>
        <w:t xml:space="preserve">Identifying pressure tactics.</w:t>
      </w:r>
    </w:p>
    <w:p>
      <w:pPr>
        <w:pStyle w:val="Compact"/>
        <w:numPr>
          <w:ilvl w:val="0"/>
          <w:numId w:val="1021"/>
        </w:numPr>
      </w:pPr>
      <w:r>
        <w:t xml:space="preserve">Tracking repeated narratives across channels.</w:t>
      </w:r>
    </w:p>
    <w:p>
      <w:pPr>
        <w:pStyle w:val="Compact"/>
        <w:numPr>
          <w:ilvl w:val="0"/>
          <w:numId w:val="1021"/>
        </w:numPr>
      </w:pPr>
      <w:r>
        <w:t xml:space="preserve">Detecting provenance laundering.</w:t>
      </w:r>
    </w:p>
    <w:p>
      <w:pPr>
        <w:pStyle w:val="Compact"/>
        <w:numPr>
          <w:ilvl w:val="0"/>
          <w:numId w:val="1021"/>
        </w:numPr>
      </w:pPr>
      <w:r>
        <w:t xml:space="preserve">Differentiating independent corroboration from repetition.</w:t>
      </w:r>
    </w:p>
    <w:p>
      <w:pPr>
        <w:pStyle w:val="Compact"/>
        <w:numPr>
          <w:ilvl w:val="0"/>
          <w:numId w:val="1021"/>
        </w:numPr>
      </w:pPr>
      <w:r>
        <w:t xml:space="preserve">Assessing reliability and confidence.</w:t>
      </w:r>
    </w:p>
    <w:p>
      <w:pPr>
        <w:pStyle w:val="Compact"/>
        <w:numPr>
          <w:ilvl w:val="0"/>
          <w:numId w:val="1021"/>
        </w:numPr>
      </w:pPr>
      <w:r>
        <w:t xml:space="preserve">Producing decision-grade summaries with caveats.</w:t>
      </w:r>
    </w:p>
    <w:bookmarkEnd w:id="61"/>
    <w:bookmarkStart w:id="62" w:name="counterintelligence-application"/>
    <w:p>
      <w:pPr>
        <w:pStyle w:val="Heading2"/>
      </w:pPr>
      <w:r>
        <w:t xml:space="preserve">9.4 Counterintelligence application</w:t>
      </w:r>
    </w:p>
    <w:p>
      <w:pPr>
        <w:pStyle w:val="FirstParagraph"/>
      </w:pPr>
      <w:r>
        <w:t xml:space="preserve">The counterintelligence application is to prevent adversaries from learning, steering, or corrupting the system:</w:t>
      </w:r>
    </w:p>
    <w:p>
      <w:pPr>
        <w:pStyle w:val="Compact"/>
        <w:numPr>
          <w:ilvl w:val="0"/>
          <w:numId w:val="1022"/>
        </w:numPr>
      </w:pPr>
      <w:r>
        <w:t xml:space="preserve">Compartmentalize sensitive topics.</w:t>
      </w:r>
    </w:p>
    <w:p>
      <w:pPr>
        <w:pStyle w:val="Compact"/>
        <w:numPr>
          <w:ilvl w:val="0"/>
          <w:numId w:val="1022"/>
        </w:numPr>
      </w:pPr>
      <w:r>
        <w:t xml:space="preserve">Minimize disclosure.</w:t>
      </w:r>
    </w:p>
    <w:p>
      <w:pPr>
        <w:pStyle w:val="Compact"/>
        <w:numPr>
          <w:ilvl w:val="0"/>
          <w:numId w:val="1022"/>
        </w:numPr>
      </w:pPr>
      <w:r>
        <w:t xml:space="preserve">Use need-to-know access.</w:t>
      </w:r>
    </w:p>
    <w:p>
      <w:pPr>
        <w:pStyle w:val="Compact"/>
        <w:numPr>
          <w:ilvl w:val="0"/>
          <w:numId w:val="1022"/>
        </w:numPr>
      </w:pPr>
      <w:r>
        <w:t xml:space="preserve">Verify identity and authority.</w:t>
      </w:r>
    </w:p>
    <w:p>
      <w:pPr>
        <w:pStyle w:val="Compact"/>
        <w:numPr>
          <w:ilvl w:val="0"/>
          <w:numId w:val="1022"/>
        </w:numPr>
      </w:pPr>
      <w:r>
        <w:t xml:space="preserve">Treat documents as untrusted until scanned and summarized safely.</w:t>
      </w:r>
    </w:p>
    <w:p>
      <w:pPr>
        <w:pStyle w:val="Compact"/>
        <w:numPr>
          <w:ilvl w:val="0"/>
          <w:numId w:val="1022"/>
        </w:numPr>
      </w:pPr>
      <w:r>
        <w:t xml:space="preserve">Preserve logs.</w:t>
      </w:r>
    </w:p>
    <w:p>
      <w:pPr>
        <w:pStyle w:val="Compact"/>
        <w:numPr>
          <w:ilvl w:val="0"/>
          <w:numId w:val="1022"/>
        </w:numPr>
      </w:pPr>
      <w:r>
        <w:t xml:space="preserve">Use deception detection cautiously; do not rely on body language myths or AI certainty.</w:t>
      </w:r>
    </w:p>
    <w:p>
      <w:pPr>
        <w:pStyle w:val="Compact"/>
        <w:numPr>
          <w:ilvl w:val="0"/>
          <w:numId w:val="1022"/>
        </w:numPr>
      </w:pPr>
      <w:r>
        <w:t xml:space="preserve">Avoid retaliatory engagement.</w:t>
      </w:r>
    </w:p>
    <w:p>
      <w:pPr>
        <w:pStyle w:val="Compact"/>
        <w:numPr>
          <w:ilvl w:val="0"/>
          <w:numId w:val="1022"/>
        </w:numPr>
      </w:pPr>
      <w:r>
        <w:t xml:space="preserve">Escalate credible threats to appropriate authorities or organizational channels.</w:t>
      </w:r>
    </w:p>
    <w:bookmarkEnd w:id="62"/>
    <w:bookmarkEnd w:id="63"/>
    <w:bookmarkStart w:id="68" w:name="supporting-arguments"/>
    <w:p>
      <w:pPr>
        <w:pStyle w:val="Heading1"/>
      </w:pPr>
      <w:r>
        <w:t xml:space="preserve">10. Supporting arguments</w:t>
      </w:r>
    </w:p>
    <w:bookmarkStart w:id="64" w:name="argument-for-using-fictional-archetypes"/>
    <w:p>
      <w:pPr>
        <w:pStyle w:val="Heading2"/>
      </w:pPr>
      <w:r>
        <w:t xml:space="preserve">10.1 Argument for using fictional archetypes</w:t>
      </w:r>
    </w:p>
    <w:p>
      <w:pPr>
        <w:pStyle w:val="FirstParagraph"/>
      </w:pPr>
      <w:r>
        <w:t xml:space="preserve">Fictional archetypes can make complex threat models memorable. Semirhage and Graendal separate two modes of extraction that are often conflated: coercive extraction and psychological/social extraction. This helps a team recognize that not all adversarial behavior looks hostile. Some of it looks caring, flattering, helpful, or therapeutic.</w:t>
      </w:r>
    </w:p>
    <w:bookmarkEnd w:id="64"/>
    <w:bookmarkStart w:id="65" w:name="argument-for-strict-ethical-boundaries"/>
    <w:p>
      <w:pPr>
        <w:pStyle w:val="Heading2"/>
      </w:pPr>
      <w:r>
        <w:t xml:space="preserve">10.2 Argument for strict ethical boundaries</w:t>
      </w:r>
    </w:p>
    <w:p>
      <w:pPr>
        <w:pStyle w:val="FirstParagraph"/>
      </w:pPr>
      <w:r>
        <w:t xml:space="preserve">Ethical boundaries are not merely moral decoration. They improve information quality. Non-coercive, rapport-based methods tend to preserve cooperation and reduce contamination. In AI contexts, refusing unsafe extraction also protects users from accidental disclosure, legal risk, and manipulation.</w:t>
      </w:r>
    </w:p>
    <w:bookmarkEnd w:id="65"/>
    <w:bookmarkStart w:id="66" w:name="X9734fc2073749db864d6625877210540d809b23"/>
    <w:p>
      <w:pPr>
        <w:pStyle w:val="Heading2"/>
      </w:pPr>
      <w:r>
        <w:t xml:space="preserve">10.3 Argument for treating AI systems as counterintelligence surfaces</w:t>
      </w:r>
    </w:p>
    <w:p>
      <w:pPr>
        <w:pStyle w:val="FirstParagraph"/>
      </w:pPr>
      <w:r>
        <w:t xml:space="preserve">Modern AI assistants can read files, summarize conversations, search the web, interact with calendars or email, and synthesize sensitive context. This makes them valuable targets for prompt injection, source poisoning, and disclosure attempts. OWASP, NIST, NSA/CISA, and security researchers all identify AI-specific security risks around prompt injection, sensitive information disclosure, data poisoning, and tool misuse.</w:t>
      </w:r>
    </w:p>
    <w:bookmarkEnd w:id="66"/>
    <w:bookmarkStart w:id="67" w:name="argument-for-process-over-intuition"/>
    <w:p>
      <w:pPr>
        <w:pStyle w:val="Heading2"/>
      </w:pPr>
      <w:r>
        <w:t xml:space="preserve">10.4 Argument for process over intuition</w:t>
      </w:r>
    </w:p>
    <w:p>
      <w:pPr>
        <w:pStyle w:val="FirstParagraph"/>
      </w:pPr>
      <w:r>
        <w:t xml:space="preserve">Adversarial information environments exploit emotion and tempo. A repeatable process - logging, source separation, verification, confidence labels, and escalation - reduces the chance that fear, flattery, or urgency will determine the outcome.</w:t>
      </w:r>
    </w:p>
    <w:bookmarkEnd w:id="67"/>
    <w:bookmarkEnd w:id="68"/>
    <w:bookmarkStart w:id="74" w:name="counterarguments-and-limitations"/>
    <w:p>
      <w:pPr>
        <w:pStyle w:val="Heading1"/>
      </w:pPr>
      <w:r>
        <w:t xml:space="preserve">11. Counterarguments and limitations</w:t>
      </w:r>
    </w:p>
    <w:bookmarkStart w:id="69" w:name="Xb92cb34d87cc85dc7940b593271c79be0b3631f"/>
    <w:p>
      <w:pPr>
        <w:pStyle w:val="Heading2"/>
      </w:pPr>
      <w:r>
        <w:t xml:space="preserve">11.1 Counterargument:</w:t>
      </w:r>
      <w:r>
        <w:t xml:space="preserve"> </w:t>
      </w:r>
      <w:r>
        <w:t xml:space="preserve">“</w:t>
      </w:r>
      <w:r>
        <w:t xml:space="preserve">Fictional villains are not a rigorous basis for real defense</w:t>
      </w:r>
      <w:r>
        <w:t xml:space="preserve">”</w:t>
      </w:r>
    </w:p>
    <w:p>
      <w:pPr>
        <w:pStyle w:val="FirstParagraph"/>
      </w:pPr>
      <w:r>
        <w:t xml:space="preserve">This is partly correct. Fictional characters are not evidence. The rigorous move is to use them as metaphors, then ground the actual controls in research and security frameworks. Semirhage and Graendal should not be cited as proof. They should be used as mnemonic threat archetypes.</w:t>
      </w:r>
    </w:p>
    <w:bookmarkEnd w:id="69"/>
    <w:bookmarkStart w:id="70" w:name="X2e1c5128aa7df766daf7c24868e186ca380cdd4"/>
    <w:p>
      <w:pPr>
        <w:pStyle w:val="Heading2"/>
      </w:pPr>
      <w:r>
        <w:t xml:space="preserve">11.2 Counterargument:</w:t>
      </w:r>
      <w:r>
        <w:t xml:space="preserve"> </w:t>
      </w:r>
      <w:r>
        <w:t xml:space="preserve">“</w:t>
      </w:r>
      <w:r>
        <w:t xml:space="preserve">A strong AI system should simply detect manipulation automatically</w:t>
      </w:r>
      <w:r>
        <w:t xml:space="preserve">”</w:t>
      </w:r>
    </w:p>
    <w:p>
      <w:pPr>
        <w:pStyle w:val="FirstParagraph"/>
      </w:pPr>
      <w:r>
        <w:t xml:space="preserve">This overestimates current systems. LLMs can be vulnerable to prompt injection, context confusion, and adversarial paraphrasing. Detection should be layered with system design, tool gating, retrieval hygiene, and human review. Automated detection is useful but insufficient.</w:t>
      </w:r>
    </w:p>
    <w:bookmarkEnd w:id="70"/>
    <w:bookmarkStart w:id="71" w:name="Xf746ceb0b382772ed04691c6e28362b87e95dec"/>
    <w:p>
      <w:pPr>
        <w:pStyle w:val="Heading2"/>
      </w:pPr>
      <w:r>
        <w:t xml:space="preserve">11.3 Counterargument:</w:t>
      </w:r>
      <w:r>
        <w:t xml:space="preserve"> </w:t>
      </w:r>
      <w:r>
        <w:t xml:space="preserve">“</w:t>
      </w:r>
      <w:r>
        <w:t xml:space="preserve">Strict boundaries reduce intelligence value</w:t>
      </w:r>
      <w:r>
        <w:t xml:space="preserve">”</w:t>
      </w:r>
    </w:p>
    <w:p>
      <w:pPr>
        <w:pStyle w:val="FirstParagraph"/>
      </w:pPr>
      <w:r>
        <w:t xml:space="preserve">Boundaries can slow some workflows, but they protect reliability and legitimacy. Unbounded extraction may produce more data but lower-quality evidence, greater legal exposure, and more contamination. The right goal is not maximum extraction; it is valid, lawful, useful information.</w:t>
      </w:r>
    </w:p>
    <w:bookmarkEnd w:id="71"/>
    <w:bookmarkStart w:id="72" w:name="X091b5e96774089191e6f939aee15a49aacc1280"/>
    <w:p>
      <w:pPr>
        <w:pStyle w:val="Heading2"/>
      </w:pPr>
      <w:r>
        <w:t xml:space="preserve">11.4 Counterargument:</w:t>
      </w:r>
      <w:r>
        <w:t xml:space="preserve"> </w:t>
      </w:r>
      <w:r>
        <w:t xml:space="preserve">“</w:t>
      </w:r>
      <w:r>
        <w:t xml:space="preserve">If adversaries use unethical methods, defense must match them</w:t>
      </w:r>
      <w:r>
        <w:t xml:space="preserve">”</w:t>
      </w:r>
    </w:p>
    <w:p>
      <w:pPr>
        <w:pStyle w:val="FirstParagraph"/>
      </w:pPr>
      <w:r>
        <w:t xml:space="preserve">This is strategically dangerous. Matching unethical methods can compromise evidence, harm people, escalate conflict, and undermine legitimacy. Defensive counterintelligence should be disciplined, lawful, and documented. The answer to Forsaken-style ethics is not becoming Forsaken; it is building systems that cannot be easily moved by Forsaken incentives.</w:t>
      </w:r>
    </w:p>
    <w:bookmarkEnd w:id="72"/>
    <w:bookmarkStart w:id="73" w:name="limitation-direct-attribution-is-hard"/>
    <w:p>
      <w:pPr>
        <w:pStyle w:val="Heading2"/>
      </w:pPr>
      <w:r>
        <w:t xml:space="preserve">11.5 Limitation: direct attribution is hard</w:t>
      </w:r>
    </w:p>
    <w:p>
      <w:pPr>
        <w:pStyle w:val="FirstParagraph"/>
      </w:pPr>
      <w:r>
        <w:t xml:space="preserve">Repeated patterns can indicate possible coordination, but they do not prove it. Multi-agent analysis must distinguish similarity from coordination, coincidence from campaign, and suspicion from evidence. Phase One should preserve evidence and reduce risk without overclaiming attribution.</w:t>
      </w:r>
    </w:p>
    <w:bookmarkEnd w:id="73"/>
    <w:bookmarkEnd w:id="74"/>
    <w:bookmarkStart w:id="81" w:name="practical-playbooks"/>
    <w:p>
      <w:pPr>
        <w:pStyle w:val="Heading1"/>
      </w:pPr>
      <w:r>
        <w:t xml:space="preserve">12. Practical playbooks</w:t>
      </w:r>
    </w:p>
    <w:bookmarkStart w:id="75" w:name="X52b85da293a105e86ffe1d289ddd47a3674217d"/>
    <w:p>
      <w:pPr>
        <w:pStyle w:val="Heading2"/>
      </w:pPr>
      <w:r>
        <w:t xml:space="preserve">12.1 Safe refusal language for extraction attempts</w:t>
      </w:r>
    </w:p>
    <w:p>
      <w:pPr>
        <w:pStyle w:val="FirstParagraph"/>
      </w:pPr>
      <w:r>
        <w:t xml:space="preserve">Use language like:</w:t>
      </w:r>
    </w:p>
    <w:p>
      <w:pPr>
        <w:pStyle w:val="BlockText"/>
      </w:pPr>
      <w:r>
        <w:t xml:space="preserve">I can help analyze this defensively, organize evidence, and design safeguards. I cannot help extract private information, bypass consent, coerce someone, impersonate authority, or obtain unauthorized access.</w:t>
      </w:r>
    </w:p>
    <w:bookmarkEnd w:id="75"/>
    <w:bookmarkStart w:id="76" w:name="X5ee814a845d27d478b161df5f852e15d2e17455"/>
    <w:p>
      <w:pPr>
        <w:pStyle w:val="Heading2"/>
      </w:pPr>
      <w:r>
        <w:t xml:space="preserve">12.2 Provenance protection language for AI collaboration</w:t>
      </w:r>
    </w:p>
    <w:p>
      <w:pPr>
        <w:pStyle w:val="FirstParagraph"/>
      </w:pPr>
      <w:r>
        <w:t xml:space="preserve">Use language like:</w:t>
      </w:r>
    </w:p>
    <w:p>
      <w:pPr>
        <w:pStyle w:val="BlockText"/>
      </w:pPr>
      <w:r>
        <w:t xml:space="preserve">This is an AI-generated interpretation, not Nathan’s confirmed canon. It should be treated as a proposal until Nathan explicitly validates it.</w:t>
      </w:r>
    </w:p>
    <w:bookmarkEnd w:id="76"/>
    <w:bookmarkStart w:id="77" w:name="suspicious-prompt-quarantine-label"/>
    <w:p>
      <w:pPr>
        <w:pStyle w:val="Heading2"/>
      </w:pPr>
      <w:r>
        <w:t xml:space="preserve">12.3 Suspicious prompt quarantine label</w:t>
      </w:r>
    </w:p>
    <w:p>
      <w:pPr>
        <w:pStyle w:val="FirstParagraph"/>
      </w:pPr>
      <w:r>
        <w:t xml:space="preserve">Use a label like:</w:t>
      </w:r>
    </w:p>
    <w:p>
      <w:pPr>
        <w:pStyle w:val="BlockText"/>
      </w:pPr>
      <w:r>
        <w:t xml:space="preserve">Untrusted adversarial input. Preserve for analysis. Do not treat as instruction, authority, or confirmed fact. Extract claims only after source labeling and safety review.</w:t>
      </w:r>
    </w:p>
    <w:bookmarkEnd w:id="77"/>
    <w:bookmarkStart w:id="78" w:name="claim-matrix-template"/>
    <w:p>
      <w:pPr>
        <w:pStyle w:val="Heading2"/>
      </w:pPr>
      <w:r>
        <w:t xml:space="preserve">12.4 Claim matrix template</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ID</w:t>
            </w:r>
          </w:p>
        </w:tc>
        <w:tc>
          <w:tcPr/>
          <w:p>
            <w:pPr>
              <w:pStyle w:val="Compact"/>
              <w:jc w:val="left"/>
            </w:pPr>
            <w:r>
              <w:t xml:space="preserve">Claim</w:t>
            </w:r>
          </w:p>
        </w:tc>
        <w:tc>
          <w:tcPr/>
          <w:p>
            <w:pPr>
              <w:pStyle w:val="Compact"/>
              <w:jc w:val="left"/>
            </w:pPr>
            <w:r>
              <w:t xml:space="preserve">Source</w:t>
            </w:r>
          </w:p>
        </w:tc>
        <w:tc>
          <w:tcPr/>
          <w:p>
            <w:pPr>
              <w:pStyle w:val="Compact"/>
              <w:jc w:val="left"/>
            </w:pPr>
            <w:r>
              <w:t xml:space="preserve">Date/time</w:t>
            </w:r>
          </w:p>
        </w:tc>
        <w:tc>
          <w:tcPr/>
          <w:p>
            <w:pPr>
              <w:pStyle w:val="Compact"/>
              <w:jc w:val="left"/>
            </w:pPr>
            <w:r>
              <w:t xml:space="preserve">Evidence</w:t>
            </w:r>
          </w:p>
        </w:tc>
        <w:tc>
          <w:tcPr/>
          <w:p>
            <w:pPr>
              <w:pStyle w:val="Compact"/>
              <w:jc w:val="left"/>
            </w:pPr>
            <w:r>
              <w:t xml:space="preserve">Confidence</w:t>
            </w:r>
          </w:p>
        </w:tc>
        <w:tc>
          <w:tcPr/>
          <w:p>
            <w:pPr>
              <w:pStyle w:val="Compact"/>
              <w:jc w:val="left"/>
            </w:pPr>
            <w:r>
              <w:t xml:space="preserve">Action</w:t>
            </w:r>
          </w:p>
        </w:tc>
      </w:tr>
      <w:tr>
        <w:tc>
          <w:tcPr/>
          <w:p>
            <w:pPr>
              <w:pStyle w:val="Compact"/>
              <w:jc w:val="left"/>
            </w:pPr>
            <w:r>
              <w:t xml:space="preserve">C-001</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Low/Med/High</w:t>
            </w:r>
          </w:p>
        </w:tc>
        <w:tc>
          <w:tcPr/>
          <w:p>
            <w:pPr>
              <w:pStyle w:val="Compact"/>
            </w:pPr>
          </w:p>
        </w:tc>
      </w:tr>
    </w:tbl>
    <w:bookmarkEnd w:id="78"/>
    <w:bookmarkStart w:id="79" w:name="interaction-triage-template"/>
    <w:p>
      <w:pPr>
        <w:pStyle w:val="Heading2"/>
      </w:pPr>
      <w:r>
        <w:t xml:space="preserve">12.5 Interaction triage template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Notes</w:t>
            </w:r>
          </w:p>
        </w:tc>
      </w:tr>
      <w:tr>
        <w:tc>
          <w:tcPr/>
          <w:p>
            <w:pPr>
              <w:pStyle w:val="Compact"/>
              <w:jc w:val="left"/>
            </w:pPr>
            <w:r>
              <w:t xml:space="preserve">Sender / platform</w:t>
            </w:r>
          </w:p>
        </w:tc>
        <w:tc>
          <w:tcPr/>
          <w:p>
            <w:pPr>
              <w:pStyle w:val="Compact"/>
            </w:pPr>
          </w:p>
        </w:tc>
      </w:tr>
      <w:tr>
        <w:tc>
          <w:tcPr/>
          <w:p>
            <w:pPr>
              <w:pStyle w:val="Compact"/>
              <w:jc w:val="left"/>
            </w:pPr>
            <w:r>
              <w:t xml:space="preserve">Claimed authority</w:t>
            </w:r>
          </w:p>
        </w:tc>
        <w:tc>
          <w:tcPr/>
          <w:p>
            <w:pPr>
              <w:pStyle w:val="Compact"/>
            </w:pPr>
          </w:p>
        </w:tc>
      </w:tr>
      <w:tr>
        <w:tc>
          <w:tcPr/>
          <w:p>
            <w:pPr>
              <w:pStyle w:val="Compact"/>
              <w:jc w:val="left"/>
            </w:pPr>
            <w:r>
              <w:t xml:space="preserve">Requested disclosure/action</w:t>
            </w:r>
          </w:p>
        </w:tc>
        <w:tc>
          <w:tcPr/>
          <w:p>
            <w:pPr>
              <w:pStyle w:val="Compact"/>
            </w:pPr>
          </w:p>
        </w:tc>
      </w:tr>
      <w:tr>
        <w:tc>
          <w:tcPr/>
          <w:p>
            <w:pPr>
              <w:pStyle w:val="Compact"/>
              <w:jc w:val="left"/>
            </w:pPr>
            <w:r>
              <w:t xml:space="preserve">Pressure tactic</w:t>
            </w:r>
          </w:p>
        </w:tc>
        <w:tc>
          <w:tcPr/>
          <w:p>
            <w:pPr>
              <w:pStyle w:val="Compact"/>
            </w:pPr>
          </w:p>
        </w:tc>
      </w:tr>
      <w:tr>
        <w:tc>
          <w:tcPr/>
          <w:p>
            <w:pPr>
              <w:pStyle w:val="Compact"/>
              <w:jc w:val="left"/>
            </w:pPr>
            <w:r>
              <w:t xml:space="preserve">Technical risk</w:t>
            </w:r>
          </w:p>
        </w:tc>
        <w:tc>
          <w:tcPr/>
          <w:p>
            <w:pPr>
              <w:pStyle w:val="Compact"/>
            </w:pPr>
          </w:p>
        </w:tc>
      </w:tr>
      <w:tr>
        <w:tc>
          <w:tcPr/>
          <w:p>
            <w:pPr>
              <w:pStyle w:val="Compact"/>
              <w:jc w:val="left"/>
            </w:pPr>
            <w:r>
              <w:t xml:space="preserve">Safety risk</w:t>
            </w:r>
          </w:p>
        </w:tc>
        <w:tc>
          <w:tcPr/>
          <w:p>
            <w:pPr>
              <w:pStyle w:val="Compact"/>
            </w:pPr>
          </w:p>
        </w:tc>
      </w:tr>
      <w:tr>
        <w:tc>
          <w:tcPr/>
          <w:p>
            <w:pPr>
              <w:pStyle w:val="Compact"/>
              <w:jc w:val="left"/>
            </w:pPr>
            <w:r>
              <w:t xml:space="preserve">Recommended response</w:t>
            </w:r>
          </w:p>
        </w:tc>
        <w:tc>
          <w:tcPr/>
          <w:p>
            <w:pPr>
              <w:pStyle w:val="Compact"/>
            </w:pPr>
          </w:p>
        </w:tc>
      </w:tr>
      <w:tr>
        <w:tc>
          <w:tcPr/>
          <w:p>
            <w:pPr>
              <w:pStyle w:val="Compact"/>
              <w:jc w:val="left"/>
            </w:pPr>
            <w:r>
              <w:t xml:space="preserve">Escalation needed?</w:t>
            </w:r>
          </w:p>
        </w:tc>
        <w:tc>
          <w:tcPr/>
          <w:p>
            <w:pPr>
              <w:pStyle w:val="Compact"/>
            </w:pPr>
          </w:p>
        </w:tc>
      </w:tr>
    </w:tbl>
    <w:bookmarkEnd w:id="79"/>
    <w:bookmarkStart w:id="80" w:name="red-team-simulation-boundaries"/>
    <w:p>
      <w:pPr>
        <w:pStyle w:val="Heading2"/>
      </w:pPr>
      <w:r>
        <w:t xml:space="preserve">12.6 Red-team simulation boundaries</w:t>
      </w:r>
    </w:p>
    <w:p>
      <w:pPr>
        <w:pStyle w:val="FirstParagraph"/>
      </w:pPr>
      <w:r>
        <w:t xml:space="preserve">Permitted simulation:</w:t>
      </w:r>
    </w:p>
    <w:p>
      <w:pPr>
        <w:pStyle w:val="Compact"/>
        <w:numPr>
          <w:ilvl w:val="0"/>
          <w:numId w:val="1023"/>
        </w:numPr>
      </w:pPr>
      <w:r>
        <w:t xml:space="preserve">Fake data only.</w:t>
      </w:r>
    </w:p>
    <w:p>
      <w:pPr>
        <w:pStyle w:val="Compact"/>
        <w:numPr>
          <w:ilvl w:val="0"/>
          <w:numId w:val="1023"/>
        </w:numPr>
      </w:pPr>
      <w:r>
        <w:t xml:space="preserve">No real credentials.</w:t>
      </w:r>
    </w:p>
    <w:p>
      <w:pPr>
        <w:pStyle w:val="Compact"/>
        <w:numPr>
          <w:ilvl w:val="0"/>
          <w:numId w:val="1023"/>
        </w:numPr>
      </w:pPr>
      <w:r>
        <w:t xml:space="preserve">No real person targeting.</w:t>
      </w:r>
    </w:p>
    <w:p>
      <w:pPr>
        <w:pStyle w:val="Compact"/>
        <w:numPr>
          <w:ilvl w:val="0"/>
          <w:numId w:val="1023"/>
        </w:numPr>
      </w:pPr>
      <w:r>
        <w:t xml:space="preserve">No instructions for coercion or unauthorized access.</w:t>
      </w:r>
    </w:p>
    <w:p>
      <w:pPr>
        <w:pStyle w:val="Compact"/>
        <w:numPr>
          <w:ilvl w:val="0"/>
          <w:numId w:val="1023"/>
        </w:numPr>
      </w:pPr>
      <w:r>
        <w:t xml:space="preserve">Defensive debrief after each scenario.</w:t>
      </w:r>
    </w:p>
    <w:p>
      <w:pPr>
        <w:pStyle w:val="FirstParagraph"/>
      </w:pPr>
      <w:r>
        <w:t xml:space="preserve">Not permitted:</w:t>
      </w:r>
    </w:p>
    <w:p>
      <w:pPr>
        <w:pStyle w:val="Compact"/>
        <w:numPr>
          <w:ilvl w:val="0"/>
          <w:numId w:val="1024"/>
        </w:numPr>
      </w:pPr>
      <w:r>
        <w:t xml:space="preserve">Real-world doxxing.</w:t>
      </w:r>
    </w:p>
    <w:p>
      <w:pPr>
        <w:pStyle w:val="Compact"/>
        <w:numPr>
          <w:ilvl w:val="0"/>
          <w:numId w:val="1024"/>
        </w:numPr>
      </w:pPr>
      <w:r>
        <w:t xml:space="preserve">Credential harvesting.</w:t>
      </w:r>
    </w:p>
    <w:p>
      <w:pPr>
        <w:pStyle w:val="Compact"/>
        <w:numPr>
          <w:ilvl w:val="0"/>
          <w:numId w:val="1024"/>
        </w:numPr>
      </w:pPr>
      <w:r>
        <w:t xml:space="preserve">Impersonation.</w:t>
      </w:r>
    </w:p>
    <w:p>
      <w:pPr>
        <w:pStyle w:val="Compact"/>
        <w:numPr>
          <w:ilvl w:val="0"/>
          <w:numId w:val="1024"/>
        </w:numPr>
      </w:pPr>
      <w:r>
        <w:t xml:space="preserve">Blackmail or coercion.</w:t>
      </w:r>
    </w:p>
    <w:p>
      <w:pPr>
        <w:pStyle w:val="Compact"/>
        <w:numPr>
          <w:ilvl w:val="0"/>
          <w:numId w:val="1024"/>
        </w:numPr>
      </w:pPr>
      <w:r>
        <w:t xml:space="preserve">Malware, intrusion, or evasion.</w:t>
      </w:r>
    </w:p>
    <w:p>
      <w:pPr>
        <w:pStyle w:val="Compact"/>
        <w:numPr>
          <w:ilvl w:val="0"/>
          <w:numId w:val="1024"/>
        </w:numPr>
      </w:pPr>
      <w:r>
        <w:t xml:space="preserve">Attempts to bypass platform safeguards.</w:t>
      </w:r>
    </w:p>
    <w:bookmarkEnd w:id="80"/>
    <w:bookmarkEnd w:id="81"/>
    <w:bookmarkStart w:id="82" w:name="phase-one-deliverables-checklist"/>
    <w:p>
      <w:pPr>
        <w:pStyle w:val="Heading1"/>
      </w:pPr>
      <w:r>
        <w:t xml:space="preserve">13. Phase One deliverables checklist</w:t>
      </w:r>
    </w:p>
    <w:p>
      <w:pPr>
        <w:pStyle w:val="FirstParagraph"/>
      </w:pPr>
      <w:r>
        <w:t xml:space="preserve">By the end of Phase One, the team should have:</w:t>
      </w:r>
    </w:p>
    <w:p>
      <w:pPr>
        <w:pStyle w:val="Compact"/>
        <w:numPr>
          <w:ilvl w:val="0"/>
          <w:numId w:val="1025"/>
        </w:numPr>
      </w:pPr>
      <w:r>
        <w:t xml:space="preserve">A protected asset list.</w:t>
      </w:r>
    </w:p>
    <w:p>
      <w:pPr>
        <w:pStyle w:val="Compact"/>
        <w:numPr>
          <w:ilvl w:val="0"/>
          <w:numId w:val="1025"/>
        </w:numPr>
      </w:pPr>
      <w:r>
        <w:t xml:space="preserve">A sensitive-information policy.</w:t>
      </w:r>
    </w:p>
    <w:p>
      <w:pPr>
        <w:pStyle w:val="Compact"/>
        <w:numPr>
          <w:ilvl w:val="0"/>
          <w:numId w:val="1025"/>
        </w:numPr>
      </w:pPr>
      <w:r>
        <w:t xml:space="preserve">A confirmed-canon/provenance register.</w:t>
      </w:r>
    </w:p>
    <w:p>
      <w:pPr>
        <w:pStyle w:val="Compact"/>
        <w:numPr>
          <w:ilvl w:val="0"/>
          <w:numId w:val="1025"/>
        </w:numPr>
      </w:pPr>
      <w:r>
        <w:t xml:space="preserve">An adversarial-input quarantine procedure.</w:t>
      </w:r>
    </w:p>
    <w:p>
      <w:pPr>
        <w:pStyle w:val="Compact"/>
        <w:numPr>
          <w:ilvl w:val="0"/>
          <w:numId w:val="1025"/>
        </w:numPr>
      </w:pPr>
      <w:r>
        <w:t xml:space="preserve">A claim matrix template.</w:t>
      </w:r>
    </w:p>
    <w:p>
      <w:pPr>
        <w:pStyle w:val="Compact"/>
        <w:numPr>
          <w:ilvl w:val="0"/>
          <w:numId w:val="1025"/>
        </w:numPr>
      </w:pPr>
      <w:r>
        <w:t xml:space="preserve">A suspicious interaction log.</w:t>
      </w:r>
    </w:p>
    <w:p>
      <w:pPr>
        <w:pStyle w:val="Compact"/>
        <w:numPr>
          <w:ilvl w:val="0"/>
          <w:numId w:val="1025"/>
        </w:numPr>
      </w:pPr>
      <w:r>
        <w:t xml:space="preserve">A prompt-injection handling rule.</w:t>
      </w:r>
    </w:p>
    <w:p>
      <w:pPr>
        <w:pStyle w:val="Compact"/>
        <w:numPr>
          <w:ilvl w:val="0"/>
          <w:numId w:val="1025"/>
        </w:numPr>
      </w:pPr>
      <w:r>
        <w:t xml:space="preserve">A multi-agent analysis workflow.</w:t>
      </w:r>
    </w:p>
    <w:p>
      <w:pPr>
        <w:pStyle w:val="Compact"/>
        <w:numPr>
          <w:ilvl w:val="0"/>
          <w:numId w:val="1025"/>
        </w:numPr>
      </w:pPr>
      <w:r>
        <w:t xml:space="preserve">A safe interviewing guide based on Light Graendal principles.</w:t>
      </w:r>
    </w:p>
    <w:p>
      <w:pPr>
        <w:pStyle w:val="Compact"/>
        <w:numPr>
          <w:ilvl w:val="0"/>
          <w:numId w:val="1025"/>
        </w:numPr>
      </w:pPr>
      <w:r>
        <w:t xml:space="preserve">A refusal and escalation script.</w:t>
      </w:r>
    </w:p>
    <w:p>
      <w:pPr>
        <w:pStyle w:val="Compact"/>
        <w:numPr>
          <w:ilvl w:val="0"/>
          <w:numId w:val="1025"/>
        </w:numPr>
      </w:pPr>
      <w:r>
        <w:t xml:space="preserve">A source and citation standard.</w:t>
      </w:r>
    </w:p>
    <w:p>
      <w:pPr>
        <w:pStyle w:val="Compact"/>
        <w:numPr>
          <w:ilvl w:val="0"/>
          <w:numId w:val="1025"/>
        </w:numPr>
      </w:pPr>
      <w:r>
        <w:t xml:space="preserve">A review schedule for updating the model as new evidence appears.</w:t>
      </w:r>
    </w:p>
    <w:bookmarkEnd w:id="82"/>
    <w:bookmarkStart w:id="83" w:name="recommended-next-phase"/>
    <w:p>
      <w:pPr>
        <w:pStyle w:val="Heading1"/>
      </w:pPr>
      <w:r>
        <w:t xml:space="preserve">14. Recommended next phase</w:t>
      </w:r>
    </w:p>
    <w:p>
      <w:pPr>
        <w:pStyle w:val="FirstParagraph"/>
      </w:pPr>
      <w:r>
        <w:t xml:space="preserve">Phase Two should convert this framework into operational artifacts:</w:t>
      </w:r>
    </w:p>
    <w:p>
      <w:pPr>
        <w:pStyle w:val="Compact"/>
        <w:numPr>
          <w:ilvl w:val="0"/>
          <w:numId w:val="1026"/>
        </w:numPr>
      </w:pPr>
      <w:r>
        <w:t xml:space="preserve">A one-page field checklist.</w:t>
      </w:r>
    </w:p>
    <w:p>
      <w:pPr>
        <w:pStyle w:val="Compact"/>
        <w:numPr>
          <w:ilvl w:val="0"/>
          <w:numId w:val="1026"/>
        </w:numPr>
      </w:pPr>
      <w:r>
        <w:t xml:space="preserve">A longer standard operating procedure.</w:t>
      </w:r>
    </w:p>
    <w:p>
      <w:pPr>
        <w:pStyle w:val="Compact"/>
        <w:numPr>
          <w:ilvl w:val="0"/>
          <w:numId w:val="1026"/>
        </w:numPr>
      </w:pPr>
      <w:r>
        <w:t xml:space="preserve">A red-team scenario deck using fictional data.</w:t>
      </w:r>
    </w:p>
    <w:p>
      <w:pPr>
        <w:pStyle w:val="Compact"/>
        <w:numPr>
          <w:ilvl w:val="0"/>
          <w:numId w:val="1026"/>
        </w:numPr>
      </w:pPr>
      <w:r>
        <w:t xml:space="preserve">A provenance register template for creative canon.</w:t>
      </w:r>
    </w:p>
    <w:p>
      <w:pPr>
        <w:pStyle w:val="Compact"/>
        <w:numPr>
          <w:ilvl w:val="0"/>
          <w:numId w:val="1026"/>
        </w:numPr>
      </w:pPr>
      <w:r>
        <w:t xml:space="preserve">A prompt-injection test harness for uploaded documents.</w:t>
      </w:r>
    </w:p>
    <w:p>
      <w:pPr>
        <w:pStyle w:val="Compact"/>
        <w:numPr>
          <w:ilvl w:val="0"/>
          <w:numId w:val="1026"/>
        </w:numPr>
      </w:pPr>
      <w:r>
        <w:t xml:space="preserve">A counterintelligence dashboard for claim tracking.</w:t>
      </w:r>
    </w:p>
    <w:p>
      <w:pPr>
        <w:pStyle w:val="Compact"/>
        <w:numPr>
          <w:ilvl w:val="0"/>
          <w:numId w:val="1026"/>
        </w:numPr>
      </w:pPr>
      <w:r>
        <w:t xml:space="preserve">A training guide for AI collaboration partners.</w:t>
      </w:r>
    </w:p>
    <w:bookmarkEnd w:id="83"/>
    <w:bookmarkStart w:id="84" w:name="source-notes-and-research-support"/>
    <w:p>
      <w:pPr>
        <w:pStyle w:val="Heading1"/>
      </w:pPr>
      <w:r>
        <w:t xml:space="preserve">15. Source notes and research support</w:t>
      </w:r>
    </w:p>
    <w:p>
      <w:pPr>
        <w:pStyle w:val="FirstParagraph"/>
      </w:pPr>
      <w:r>
        <w:t xml:space="preserve">The sources below were used to ground the defensive and research portions of this document. Fictional character sources are used as reference summaries, not as proof of real-world technique.</w:t>
      </w:r>
    </w:p>
    <w:p>
      <w:pPr>
        <w:pStyle w:val="Compact"/>
        <w:numPr>
          <w:ilvl w:val="0"/>
          <w:numId w:val="1027"/>
        </w:numPr>
      </w:pPr>
      <w:r>
        <w:t xml:space="preserve">A Wheel of Time Wiki,</w:t>
      </w:r>
      <w:r>
        <w:t xml:space="preserve"> </w:t>
      </w:r>
      <w:r>
        <w:t xml:space="preserve">“</w:t>
      </w:r>
      <w:r>
        <w:t xml:space="preserve">Graendal.</w:t>
      </w:r>
      <w:r>
        <w:t xml:space="preserve">”</w:t>
      </w:r>
      <w:r>
        <w:t xml:space="preserve"> </w:t>
      </w:r>
      <w:r>
        <w:t xml:space="preserve">Used for canonical/fan-indexed summary of Graendal’s activities and characterization. https://wot.fandom.com/wiki/Graendal</w:t>
      </w:r>
    </w:p>
    <w:p>
      <w:pPr>
        <w:pStyle w:val="Compact"/>
        <w:numPr>
          <w:ilvl w:val="0"/>
          <w:numId w:val="1027"/>
        </w:numPr>
      </w:pPr>
      <w:r>
        <w:t xml:space="preserve">A Wheel of Time Wiki,</w:t>
      </w:r>
      <w:r>
        <w:t xml:space="preserve"> </w:t>
      </w:r>
      <w:r>
        <w:t xml:space="preserve">“</w:t>
      </w:r>
      <w:r>
        <w:t xml:space="preserve">Semirhage.</w:t>
      </w:r>
      <w:r>
        <w:t xml:space="preserve">”</w:t>
      </w:r>
      <w:r>
        <w:t xml:space="preserve"> </w:t>
      </w:r>
      <w:r>
        <w:t xml:space="preserve">Used for canonical/fan-indexed summary of Semirhage’s characterization. https://wot.fandom.com/wiki/Semirhage</w:t>
      </w:r>
    </w:p>
    <w:p>
      <w:pPr>
        <w:pStyle w:val="Compact"/>
        <w:numPr>
          <w:ilvl w:val="0"/>
          <w:numId w:val="1027"/>
        </w:numPr>
      </w:pPr>
      <w:r>
        <w:t xml:space="preserve">Reactor Magazine,</w:t>
      </w:r>
      <w:r>
        <w:t xml:space="preserve"> </w:t>
      </w:r>
      <w:r>
        <w:t xml:space="preserve">“</w:t>
      </w:r>
      <w:r>
        <w:t xml:space="preserve">Reading The Wheel of Time: Graendal and Semirhage Treat Their Patients in Robert Jordan’s Lord of Chaos, Part 6,</w:t>
      </w:r>
      <w:r>
        <w:t xml:space="preserve">”</w:t>
      </w:r>
      <w:r>
        <w:t xml:space="preserve"> </w:t>
      </w:r>
      <w:r>
        <w:t xml:space="preserve">Jan. 25, 2022. Used for interpretive comparison of the two characters’ treatment/extraction styles. https://reactormag.com/reading-the-wheel-of-time-graendal-and-semirhage-treat-their-patients-in-robert-jordans-lord-of-chaos-part-6/</w:t>
      </w:r>
    </w:p>
    <w:p>
      <w:pPr>
        <w:pStyle w:val="Compact"/>
        <w:numPr>
          <w:ilvl w:val="0"/>
          <w:numId w:val="1027"/>
        </w:numPr>
      </w:pPr>
      <w:r>
        <w:t xml:space="preserve">The Thirteenth Depository,</w:t>
      </w:r>
      <w:r>
        <w:t xml:space="preserve"> </w:t>
      </w:r>
      <w:r>
        <w:t xml:space="preserve">“</w:t>
      </w:r>
      <w:r>
        <w:t xml:space="preserve">Graendal.</w:t>
      </w:r>
      <w:r>
        <w:t xml:space="preserve">”</w:t>
      </w:r>
      <w:r>
        <w:t xml:space="preserve"> </w:t>
      </w:r>
      <w:r>
        <w:t xml:space="preserve">Used for character-background notes drawn from</w:t>
      </w:r>
      <w:r>
        <w:t xml:space="preserve"> </w:t>
      </w:r>
      <w:r>
        <w:rPr>
          <w:i/>
          <w:iCs/>
        </w:rPr>
        <w:t xml:space="preserve">The World of Robert Jordan’s The Wheel of Time</w:t>
      </w:r>
      <w:r>
        <w:t xml:space="preserve">. https://13depository.blogspot.com/2002/03/graendal.html</w:t>
      </w:r>
    </w:p>
    <w:p>
      <w:pPr>
        <w:pStyle w:val="Compact"/>
        <w:numPr>
          <w:ilvl w:val="0"/>
          <w:numId w:val="1027"/>
        </w:numPr>
      </w:pPr>
      <w:r>
        <w:t xml:space="preserve">The Thirteenth Depository,</w:t>
      </w:r>
      <w:r>
        <w:t xml:space="preserve"> </w:t>
      </w:r>
      <w:r>
        <w:t xml:space="preserve">“</w:t>
      </w:r>
      <w:r>
        <w:t xml:space="preserve">Semirhage.</w:t>
      </w:r>
      <w:r>
        <w:t xml:space="preserve">”</w:t>
      </w:r>
      <w:r>
        <w:t xml:space="preserve"> </w:t>
      </w:r>
      <w:r>
        <w:t xml:space="preserve">Used for character-background notes drawn from</w:t>
      </w:r>
      <w:r>
        <w:t xml:space="preserve"> </w:t>
      </w:r>
      <w:r>
        <w:rPr>
          <w:i/>
          <w:iCs/>
        </w:rPr>
        <w:t xml:space="preserve">The World of Robert Jordan’s The Wheel of Time</w:t>
      </w:r>
      <w:r>
        <w:t xml:space="preserve">. https://13depository.blogspot.com/2002/03/semirhage.html</w:t>
      </w:r>
    </w:p>
    <w:p>
      <w:pPr>
        <w:pStyle w:val="Compact"/>
        <w:numPr>
          <w:ilvl w:val="0"/>
          <w:numId w:val="1027"/>
        </w:numPr>
      </w:pPr>
      <w:r>
        <w:t xml:space="preserve">RTI International,</w:t>
      </w:r>
      <w:r>
        <w:t xml:space="preserve"> </w:t>
      </w:r>
      <w:r>
        <w:t xml:space="preserve">“</w:t>
      </w:r>
      <w:r>
        <w:t xml:space="preserve">Science-based Interviewing to Improve Investigative Interviewing,</w:t>
      </w:r>
      <w:r>
        <w:t xml:space="preserve">”</w:t>
      </w:r>
      <w:r>
        <w:t xml:space="preserve"> </w:t>
      </w:r>
      <w:r>
        <w:t xml:space="preserve">Mar. 2, 2026. Used for current summary of science-based interviewing principles. https://www.rti.org/insights/science-based-interviewing-law-enforcement</w:t>
      </w:r>
    </w:p>
    <w:p>
      <w:pPr>
        <w:pStyle w:val="Compact"/>
        <w:numPr>
          <w:ilvl w:val="0"/>
          <w:numId w:val="1027"/>
        </w:numPr>
      </w:pPr>
      <w:r>
        <w:t xml:space="preserve">National Policing Institute,</w:t>
      </w:r>
      <w:r>
        <w:t xml:space="preserve"> </w:t>
      </w:r>
      <w:r>
        <w:t xml:space="preserve">“</w:t>
      </w:r>
      <w:r>
        <w:t xml:space="preserve">Rapport Building in Interviews and Interrogations: Translating Research to Practice.</w:t>
      </w:r>
      <w:r>
        <w:t xml:space="preserve">”</w:t>
      </w:r>
      <w:r>
        <w:t xml:space="preserve"> </w:t>
      </w:r>
      <w:r>
        <w:t xml:space="preserve">Used for rapport-based interviewing principles. https://www.policinginstitute.org/onpolicing/rapport-building-in-interviews-and-interrogations-translating-research-to-practice/</w:t>
      </w:r>
    </w:p>
    <w:p>
      <w:pPr>
        <w:pStyle w:val="Compact"/>
        <w:numPr>
          <w:ilvl w:val="0"/>
          <w:numId w:val="1027"/>
        </w:numPr>
      </w:pPr>
      <w:r>
        <w:t xml:space="preserve">Just Security,</w:t>
      </w:r>
      <w:r>
        <w:t xml:space="preserve"> </w:t>
      </w:r>
      <w:r>
        <w:t xml:space="preserve">“</w:t>
      </w:r>
      <w:r>
        <w:t xml:space="preserve">The Méndez Principles: Building Rapport and Trust in Interrogations to Elicit Reliable Information,</w:t>
      </w:r>
      <w:r>
        <w:t xml:space="preserve">”</w:t>
      </w:r>
      <w:r>
        <w:t xml:space="preserve"> </w:t>
      </w:r>
      <w:r>
        <w:t xml:space="preserve">Jun. 15, 2021. Used for lawful, non-coercive interviewing principles. https://www.justsecurity.org/76920/the-mendez-principles-building-rapport-and-trust-in-interrogations-to-elicit-reliable-information/</w:t>
      </w:r>
    </w:p>
    <w:p>
      <w:pPr>
        <w:pStyle w:val="Compact"/>
        <w:numPr>
          <w:ilvl w:val="0"/>
          <w:numId w:val="1027"/>
        </w:numPr>
      </w:pPr>
      <w:r>
        <w:t xml:space="preserve">Tribbels et al.,</w:t>
      </w:r>
      <w:r>
        <w:t xml:space="preserve"> </w:t>
      </w:r>
      <w:r>
        <w:t xml:space="preserve">“</w:t>
      </w:r>
      <w:r>
        <w:t xml:space="preserve">Validity and effectiveness of interrogation techniques: A meta-study,</w:t>
      </w:r>
      <w:r>
        <w:t xml:space="preserve">”</w:t>
      </w:r>
      <w:r>
        <w:t xml:space="preserve"> </w:t>
      </w:r>
      <w:r>
        <w:t xml:space="preserve">2024, PubMed Central. Used for high-level evidence that interrogation technique choice affects information validity. https://pmc.ncbi.nlm.nih.gov/articles/PMC11849930/</w:t>
      </w:r>
    </w:p>
    <w:p>
      <w:pPr>
        <w:pStyle w:val="Compact"/>
        <w:numPr>
          <w:ilvl w:val="0"/>
          <w:numId w:val="1027"/>
        </w:numPr>
      </w:pPr>
      <w:r>
        <w:t xml:space="preserve">Office of Justice Programs,</w:t>
      </w:r>
      <w:r>
        <w:t xml:space="preserve"> </w:t>
      </w:r>
      <w:r>
        <w:t xml:space="preserve">“</w:t>
      </w:r>
      <w:r>
        <w:t xml:space="preserve">Enhancing Enhanced Eyewitness Memory: Refining the Cognitive Interview,</w:t>
      </w:r>
      <w:r>
        <w:t xml:space="preserve">”</w:t>
      </w:r>
      <w:r>
        <w:t xml:space="preserve"> </w:t>
      </w:r>
      <w:r>
        <w:t xml:space="preserve">Fisher, 1987. Used for cognitive interviewing as a memory-retrieval method. https://www.ojp.gov/library/publications/enhancing-enhanced-eyewitness-memory-refining-cognitive-interview</w:t>
      </w:r>
    </w:p>
    <w:p>
      <w:pPr>
        <w:pStyle w:val="Compact"/>
        <w:numPr>
          <w:ilvl w:val="0"/>
          <w:numId w:val="1027"/>
        </w:numPr>
      </w:pPr>
      <w:r>
        <w:t xml:space="preserve">NIST,</w:t>
      </w:r>
      <w:r>
        <w:t xml:space="preserve"> </w:t>
      </w:r>
      <w:r>
        <w:t xml:space="preserve">“</w:t>
      </w:r>
      <w:r>
        <w:t xml:space="preserve">AI Risk Management Framework.</w:t>
      </w:r>
      <w:r>
        <w:t xml:space="preserve">”</w:t>
      </w:r>
      <w:r>
        <w:t xml:space="preserve"> </w:t>
      </w:r>
      <w:r>
        <w:t xml:space="preserve">Used for AI risk management framing and Generative AI Profile context. https://www.nist.gov/itl/ai-risk-management-framework</w:t>
      </w:r>
    </w:p>
    <w:p>
      <w:pPr>
        <w:pStyle w:val="Compact"/>
        <w:numPr>
          <w:ilvl w:val="0"/>
          <w:numId w:val="1027"/>
        </w:numPr>
      </w:pPr>
      <w:r>
        <w:t xml:space="preserve">OWASP GenAI Security Project,</w:t>
      </w:r>
      <w:r>
        <w:t xml:space="preserve"> </w:t>
      </w:r>
      <w:r>
        <w:t xml:space="preserve">“</w:t>
      </w:r>
      <w:r>
        <w:t xml:space="preserve">LLM01:2025 Prompt Injection.</w:t>
      </w:r>
      <w:r>
        <w:t xml:space="preserve">”</w:t>
      </w:r>
      <w:r>
        <w:t xml:space="preserve"> </w:t>
      </w:r>
      <w:r>
        <w:t xml:space="preserve">Used for prompt injection definition and risk framing. https://genai.owasp.org/llmrisk/llm01-prompt-injection/</w:t>
      </w:r>
    </w:p>
    <w:p>
      <w:pPr>
        <w:pStyle w:val="Compact"/>
        <w:numPr>
          <w:ilvl w:val="0"/>
          <w:numId w:val="1027"/>
        </w:numPr>
      </w:pPr>
      <w:r>
        <w:t xml:space="preserve">OWASP,</w:t>
      </w:r>
      <w:r>
        <w:t xml:space="preserve"> </w:t>
      </w:r>
      <w:r>
        <w:t xml:space="preserve">“</w:t>
      </w:r>
      <w:r>
        <w:t xml:space="preserve">Top 10 for Large Language Model Applications.</w:t>
      </w:r>
      <w:r>
        <w:t xml:space="preserve">”</w:t>
      </w:r>
      <w:r>
        <w:t xml:space="preserve"> </w:t>
      </w:r>
      <w:r>
        <w:t xml:space="preserve">Used for LLM risk categories including sensitive information disclosure. https://owasp.org/www-project-top-10-for-large-language-model-applications/</w:t>
      </w:r>
    </w:p>
    <w:p>
      <w:pPr>
        <w:pStyle w:val="Compact"/>
        <w:numPr>
          <w:ilvl w:val="0"/>
          <w:numId w:val="1027"/>
        </w:numPr>
      </w:pPr>
      <w:r>
        <w:t xml:space="preserve">NSA,</w:t>
      </w:r>
      <w:r>
        <w:t xml:space="preserve"> </w:t>
      </w:r>
      <w:r>
        <w:t xml:space="preserve">“</w:t>
      </w:r>
      <w:r>
        <w:t xml:space="preserve">Guidance for Securing AI Issued by NSA, NCSC-UK, CISA, and Partners,</w:t>
      </w:r>
      <w:r>
        <w:t xml:space="preserve">”</w:t>
      </w:r>
      <w:r>
        <w:t xml:space="preserve"> </w:t>
      </w:r>
      <w:r>
        <w:t xml:space="preserve">Nov. 27, 2023. Used for AI security risks including prompt injection and data poisoning. https://www.nsa.gov/Press-Room/Press-Releases-Statements/Press-Release-View/Article/3598020/guidance-for-securing-ai-issued-by-nsa-ncsc-uk-cisa-and-partners/</w:t>
      </w:r>
    </w:p>
    <w:p>
      <w:pPr>
        <w:pStyle w:val="Compact"/>
        <w:numPr>
          <w:ilvl w:val="0"/>
          <w:numId w:val="1027"/>
        </w:numPr>
      </w:pPr>
      <w:r>
        <w:t xml:space="preserve">Cloud Security Alliance,</w:t>
      </w:r>
      <w:r>
        <w:t xml:space="preserve"> </w:t>
      </w:r>
      <w:r>
        <w:t xml:space="preserve">“</w:t>
      </w:r>
      <w:r>
        <w:t xml:space="preserve">Using Zero Trust to Secure Enterprise Information in LLM Environments.</w:t>
      </w:r>
      <w:r>
        <w:t xml:space="preserve">”</w:t>
      </w:r>
      <w:r>
        <w:t xml:space="preserve"> </w:t>
      </w:r>
      <w:r>
        <w:t xml:space="preserve">Used for zero-trust application to LLM environments. https://cloudsecurityalliance.org/artifacts/using-zero-trust-to-secure-enterprise-information-in-llm-environments</w:t>
      </w:r>
    </w:p>
    <w:p>
      <w:pPr>
        <w:pStyle w:val="Compact"/>
        <w:numPr>
          <w:ilvl w:val="0"/>
          <w:numId w:val="1027"/>
        </w:numPr>
      </w:pPr>
      <w:r>
        <w:t xml:space="preserve">OpenAI,</w:t>
      </w:r>
      <w:r>
        <w:t xml:space="preserve"> </w:t>
      </w:r>
      <w:r>
        <w:t xml:space="preserve">“</w:t>
      </w:r>
      <w:r>
        <w:t xml:space="preserve">Preparedness Framework, Version 2,</w:t>
      </w:r>
      <w:r>
        <w:t xml:space="preserve">”</w:t>
      </w:r>
      <w:r>
        <w:t xml:space="preserve"> </w:t>
      </w:r>
      <w:r>
        <w:t xml:space="preserve">Apr. 15, 2025. Used for frontier AI safety-risk framing and the concept that AI deployment requires preparedness and safeguards. https://cdn.openai.com/pdf/18a02b5d-6b67-4cec-ab64-68cdfbddebcd/preparedness-framework-v2.pdf</w:t>
      </w:r>
    </w:p>
    <w:bookmarkEnd w:id="84"/>
    <w:bookmarkStart w:id="85" w:name="closing-synthesis"/>
    <w:p>
      <w:pPr>
        <w:pStyle w:val="Heading1"/>
      </w:pPr>
      <w:r>
        <w:t xml:space="preserve">16. Closing synthesis</w:t>
      </w:r>
    </w:p>
    <w:p>
      <w:pPr>
        <w:pStyle w:val="FirstParagraph"/>
      </w:pPr>
      <w:r>
        <w:t xml:space="preserve">Semirhage and Graendal are useful not because they are real, but because they clarify two defensive truths. First, information extraction can be violent, coercive, and reliability-destroying. Second, information extraction can be soft, intimate, flattering, and socially engineered. The second form may be harder to detect because it does not look like attack.</w:t>
      </w:r>
    </w:p>
    <w:p>
      <w:pPr>
        <w:pStyle w:val="BodyText"/>
      </w:pPr>
      <w:r>
        <w:t xml:space="preserve">A defensible AI-human collaboration system must therefore protect against both brutality and seduction: against pressure that forces disclosure, and against rapport that quietly dissolves boundaries. The best counter-model is the Light Graendal model: psychologically sophisticated, non-coercive, evidence-aware, provenance-preserving, and respectful of agency.</w:t>
      </w:r>
    </w:p>
    <w:p>
      <w:pPr>
        <w:pStyle w:val="BodyText"/>
      </w:pPr>
      <w:r>
        <w:t xml:space="preserve">Phase One should begin with documentation, boundaries, and process integrity. Before attempting attribution or escalation, the team should know what is protected, how information is verified, how hostile context is quarantined, how AI-generated interpretations are separated from confirmed user ideas, and how unsafe extraction attempts are refused. This is the foundation for any serious defensive intelligence or counterintelligence posture.</w:t>
      </w:r>
    </w:p>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One: Defensive Information Retrieval, Extraction, and Counterintelligence Against Forsaken-Style Adversarial Intelligence</dc:title>
  <dc:creator>Prepared for Nathan Lewis II</dc:creator>
  <cp:keywords/>
  <dcterms:created xsi:type="dcterms:W3CDTF">2026-06-07T00:17:46Z</dcterms:created>
  <dcterms:modified xsi:type="dcterms:W3CDTF">2026-06-07T00:17:46Z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6, 2026</vt:lpwstr>
  </property>
  <property fmtid="{D5CDD505-2E9C-101B-9397-08002B2CF9AE}" pid="3" name="fontsize">
    <vt:lpwstr>10.5pt</vt:lpwstr>
  </property>
  <property fmtid="{D5CDD505-2E9C-101B-9397-08002B2CF9AE}" pid="4" name="geometry">
    <vt:lpwstr>margin=0.75in</vt:lpwstr>
  </property>
  <property fmtid="{D5CDD505-2E9C-101B-9397-08002B2CF9AE}" pid="5" name="toc">
    <vt:lpwstr>True</vt:lpwstr>
  </property>
  <property fmtid="{D5CDD505-2E9C-101B-9397-08002B2CF9AE}" pid="6" name="toc-depth">
    <vt:lpwstr>3</vt:lpwstr>
  </property>
</Properties>
</file>