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omnicellular_ai_collaboration_bootstrap"/>
      <w:r>
        <w:rPr>
          <w:rFonts w:eastAsia="source serif 4" w:cs="source serif 4" w:ascii="source serif 4" w:hAnsi="source serif 4"/>
          <w:b/>
          <w:color w:val="000000"/>
          <w:sz w:val="39"/>
        </w:rPr>
        <w:t xml:space="preserve">OMNICELLULAR AI Collaboration Bootstrap</w:t>
      </w:r>
      <w:bookmarkEnd w:id="0"/>
    </w:p>
    <w:p>
      <w:pPr>
        <w:spacing w:line="360" w:after="210" w:lineRule="auto"/>
      </w:pPr>
      <w:r>
        <w:rPr>
          <w:rFonts w:eastAsia="source serif 4" w:cs="source serif 4" w:ascii="source serif 4" w:hAnsi="source serif 4"/>
          <w:color w:val="000000"/>
        </w:rPr>
        <w:t xml:space="preserve">Prepared for Nathan Lewis II, Architect, Omniversal Architect Labs. Prepared by Perplexity Computer using GPT 6.1 Sol on Perplexity. Version 1.0, October 29, 2026. Execution ID OAL-PPLX-OMNI-EXEC-001.</w:t>
      </w:r>
    </w:p>
    <w:p>
      <w:pPr>
        <w:spacing w:line="360" w:before="315" w:after="105" w:lineRule="auto"/>
        <w:ind w:left="-30"/>
        <w:jc w:val="left"/>
      </w:pPr>
      <w:bookmarkStart w:id="1" w:name="what_this_contribution_is"/>
      <w:r>
        <w:rPr>
          <w:rFonts w:eastAsia="source serif 4" w:cs="source serif 4" w:ascii="source serif 4" w:hAnsi="source serif 4"/>
          <w:b/>
          <w:color w:val="000000"/>
          <w:sz w:val="24"/>
        </w:rPr>
        <w:t xml:space="preserve">What this contribution is</w:t>
      </w:r>
      <w:bookmarkEnd w:id="1"/>
    </w:p>
    <w:p>
      <w:pPr>
        <w:spacing w:line="360" w:after="210" w:lineRule="auto"/>
      </w:pPr>
      <w:r>
        <w:rPr>
          <w:rFonts w:eastAsia="source serif 4" w:cs="source serif 4" w:ascii="source serif 4" w:hAnsi="source serif 4"/>
          <w:color w:val="000000"/>
        </w:rPr>
        <w:t xml:space="preserve">This is an independent first conceptual execution of the Perplexity v2 prompt in Omnicellular-Research-Directive-v2.docx. It is not a replacement master prompt, a vote for one controlling matrix, or proof of a built physiology. Preserve each collaborating AI's own architectures, reasoning and disagreements.</w:t>
      </w:r>
    </w:p>
    <w:p>
      <w:pPr>
        <w:spacing w:line="360" w:after="210" w:lineRule="auto"/>
      </w:pPr>
      <w:r>
        <w:rPr>
          <w:rFonts w:eastAsia="source serif 4" w:cs="source serif 4" w:ascii="source serif 4" w:hAnsi="source serif 4"/>
          <w:color w:val="000000"/>
        </w:rPr>
        <w:t xml:space="preserve">The current request authorizes execution; do not restart with another offer to execute or require a permission loop. The eight concepts below have already been developed into dossiers, counted rules, bounded calculations, threat records and a visual appendix. Independent external validation has not happened.</w:t>
      </w:r>
    </w:p>
    <w:p>
      <w:pPr>
        <w:spacing w:line="360" w:before="315" w:after="105" w:lineRule="auto"/>
        <w:ind w:left="-30"/>
        <w:jc w:val="left"/>
      </w:pPr>
      <w:bookmarkStart w:id="2" w:name="eight_peer_generation_1_families"/>
      <w:r>
        <w:rPr>
          <w:rFonts w:eastAsia="source serif 4" w:cs="source serif 4" w:ascii="source serif 4" w:hAnsi="source serif 4"/>
          <w:b/>
          <w:color w:val="000000"/>
          <w:sz w:val="24"/>
        </w:rPr>
        <w:t xml:space="preserve">Eight peer Generation 1 families</w:t>
      </w:r>
      <w:bookmarkEnd w:id="2"/>
    </w:p>
    <w:p>
      <w:pPr>
        <w:numPr>
          <w:ilvl w:val="0"/>
          <w:numId w:val="1"/>
        </w:numPr>
        <w:spacing w:line="360" w:before="105" w:after="105" w:lineRule="auto"/>
      </w:pPr>
      <w:r>
        <w:rPr>
          <w:rFonts w:eastAsia="source serif 4" w:cs="source serif 4" w:ascii="source serif 4" w:hAnsi="source serif 4"/>
          <w:b/>
          <w:color w:val="000000"/>
          <w:sz w:val="21"/>
        </w:rPr>
        <w:t xml:space="preserve">P1 Cairn:</w:t>
      </w:r>
      <w:r>
        <w:rPr>
          <w:rFonts w:eastAsia="source serif 4" w:cs="source serif 4" w:ascii="source serif 4" w:hAnsi="source serif 4"/>
          <w:color w:val="000000"/>
          <w:sz w:val="21"/>
        </w:rPr>
        <w:t xml:space="preserve"> Dry sealed modular lattice; electrical storage; three compute enclaves; cassette replacement; conductive heat paths. It wagers on serviceable continuity, not molecular regrowth.</w:t>
      </w:r>
    </w:p>
    <w:p>
      <w:pPr>
        <w:numPr>
          <w:ilvl w:val="0"/>
          <w:numId w:val="1"/>
        </w:numPr>
        <w:spacing w:line="360" w:before="105" w:after="105" w:lineRule="auto"/>
      </w:pPr>
      <w:r>
        <w:rPr>
          <w:rFonts w:eastAsia="source serif 4" w:cs="source serif 4" w:ascii="source serif 4" w:hAnsi="source serif 4"/>
          <w:b/>
          <w:color w:val="000000"/>
          <w:sz w:val="21"/>
        </w:rPr>
        <w:t xml:space="preserve">P2 Rill:</w:t>
      </w:r>
      <w:r>
        <w:rPr>
          <w:rFonts w:eastAsia="source serif 4" w:cs="source serif 4" w:ascii="source serif 4" w:hAnsi="source serif 4"/>
          <w:color w:val="000000"/>
          <w:sz w:val="21"/>
        </w:rPr>
        <w:t xml:space="preserve"> Hydrated living support inside a scaffold, ordinary DNA plus separate private digital identity, circulation and restricted repair. It accepts oxygen, nutrients, waste and proliferation risks.</w:t>
      </w:r>
    </w:p>
    <w:p>
      <w:pPr>
        <w:numPr>
          <w:ilvl w:val="0"/>
          <w:numId w:val="1"/>
        </w:numPr>
        <w:spacing w:line="360" w:before="105" w:after="105" w:lineRule="auto"/>
      </w:pPr>
      <w:r>
        <w:rPr>
          <w:rFonts w:eastAsia="source serif 4" w:cs="source serif 4" w:ascii="source serif 4" w:hAnsi="source serif 4"/>
          <w:b/>
          <w:color w:val="000000"/>
          <w:sz w:val="21"/>
        </w:rPr>
        <w:t xml:space="preserve">P3 Mosaic:</w:t>
      </w:r>
      <w:r>
        <w:rPr>
          <w:rFonts w:eastAsia="source serif 4" w:cs="source serif 4" w:ascii="source serif 4" w:hAnsi="source serif 4"/>
          <w:color w:val="000000"/>
          <w:sz w:val="21"/>
        </w:rPr>
        <w:t xml:space="preserve"> Artificial chemical compartments with a proposed HNA-like XNA substrate and digital supervisors. Limited XNA experiments motivate the substrate rather than demonstrate an autonomous XNA physiology (</w:t>
      </w:r>
      <w:hyperlink r:id="rId5">
        <w:r>
          <w:rPr>
            <w:rFonts w:eastAsia="source sans 3" w:cs="source sans 3" w:ascii="source sans 3" w:hAnsi="source sans 3"/>
            <w:color w:val="#000"/>
            <w:sz w:val="21"/>
            <w:u w:val="single"/>
          </w:rPr>
          <w:t xml:space="preserve">MRC LMB research</w:t>
        </w:r>
      </w:hyperlink>
      <w:r>
        <w:rPr>
          <w:rFonts w:eastAsia="source serif 4" w:cs="source serif 4" w:ascii="source serif 4" w:hAnsi="source serif 4"/>
          <w:color w:val="000000"/>
          <w:sz w:val="21"/>
        </w:rPr>
        <w:t xml:space="preserve">).</w:t>
      </w:r>
    </w:p>
    <w:p>
      <w:pPr>
        <w:numPr>
          <w:ilvl w:val="0"/>
          <w:numId w:val="1"/>
        </w:numPr>
        <w:spacing w:line="360" w:before="105" w:after="105" w:lineRule="auto"/>
      </w:pPr>
      <w:r>
        <w:rPr>
          <w:rFonts w:eastAsia="source serif 4" w:cs="source serif 4" w:ascii="source serif 4" w:hAnsi="source serif 4"/>
          <w:b/>
          <w:color w:val="000000"/>
          <w:sz w:val="21"/>
        </w:rPr>
        <w:t xml:space="preserve">P4 Pelagic:</w:t>
      </w:r>
      <w:r>
        <w:rPr>
          <w:rFonts w:eastAsia="source serif 4" w:cs="source serif 4" w:ascii="source serif 4" w:hAnsi="source serif 4"/>
          <w:color w:val="000000"/>
          <w:sz w:val="21"/>
        </w:rPr>
        <w:t xml:space="preserve"> Distributed pressure accommodation, stored fuel and oxidant, hydraulic/electrical paths and acoustic-to-surface gateways. Pressure compatibility is component-specific.</w:t>
      </w:r>
    </w:p>
    <w:p>
      <w:pPr>
        <w:numPr>
          <w:ilvl w:val="0"/>
          <w:numId w:val="1"/>
        </w:numPr>
        <w:spacing w:line="360" w:before="105" w:after="105" w:lineRule="auto"/>
      </w:pPr>
      <w:r>
        <w:rPr>
          <w:rFonts w:eastAsia="source serif 4" w:cs="source serif 4" w:ascii="source serif 4" w:hAnsi="source serif 4"/>
          <w:b/>
          <w:color w:val="000000"/>
          <w:sz w:val="21"/>
        </w:rPr>
        <w:t xml:space="preserve">P5 Heliotile:</w:t>
      </w:r>
      <w:r>
        <w:rPr>
          <w:rFonts w:eastAsia="source serif 4" w:cs="source serif 4" w:ascii="source serif 4" w:hAnsi="source serif 4"/>
          <w:color w:val="000000"/>
          <w:sz w:val="21"/>
        </w:rPr>
        <w:t xml:space="preserve"> Broad folding photovoltaic tiles, limited mobile work and a protected edge journal. Darkness, dust and hot folds remove its central advantage.</w:t>
      </w:r>
    </w:p>
    <w:p>
      <w:pPr>
        <w:numPr>
          <w:ilvl w:val="0"/>
          <w:numId w:val="1"/>
        </w:numPr>
        <w:spacing w:line="360" w:before="105" w:after="105" w:lineRule="auto"/>
      </w:pPr>
      <w:r>
        <w:rPr>
          <w:rFonts w:eastAsia="source serif 4" w:cs="source serif 4" w:ascii="source serif 4" w:hAnsi="source serif 4"/>
          <w:b/>
          <w:color w:val="000000"/>
          <w:sz w:val="21"/>
        </w:rPr>
        <w:t xml:space="preserve">P6 Scatterweave:</w:t>
      </w:r>
      <w:r>
        <w:rPr>
          <w:rFonts w:eastAsia="source serif 4" w:cs="source serif 4" w:ascii="source serif 4" w:hAnsi="source serif 4"/>
          <w:color w:val="000000"/>
          <w:sz w:val="21"/>
        </w:rPr>
        <w:t xml:space="preserve"> Bounded spatially distributed nodules with coded state and federated control. Aggregate energy is not available to isolated nodes, and partitions create identity-branch questions.</w:t>
      </w:r>
    </w:p>
    <w:p>
      <w:pPr>
        <w:numPr>
          <w:ilvl w:val="0"/>
          <w:numId w:val="1"/>
        </w:numPr>
        <w:spacing w:line="360" w:before="105" w:after="105" w:lineRule="auto"/>
      </w:pPr>
      <w:r>
        <w:rPr>
          <w:rFonts w:eastAsia="source serif 4" w:cs="source serif 4" w:ascii="source serif 4" w:hAnsi="source serif 4"/>
          <w:b/>
          <w:color w:val="000000"/>
          <w:sz w:val="21"/>
        </w:rPr>
        <w:t xml:space="preserve">P7 Stillglass:</w:t>
      </w:r>
      <w:r>
        <w:rPr>
          <w:rFonts w:eastAsia="source serif 4" w:cs="source serif 4" w:ascii="source serif 4" w:hAnsi="source serif 4"/>
          <w:color w:val="000000"/>
          <w:sz w:val="21"/>
        </w:rPr>
        <w:t xml:space="preserve"> Deliberate preservation intervals, archived state and bounded wake windows. Dormancy is not ongoing rich cognition or demonstrated subjective continuity.</w:t>
      </w:r>
    </w:p>
    <w:p>
      <w:pPr>
        <w:numPr>
          <w:ilvl w:val="0"/>
          <w:numId w:val="1"/>
        </w:numPr>
        <w:spacing w:line="360" w:before="105" w:after="105" w:lineRule="auto"/>
      </w:pPr>
      <w:r>
        <w:rPr>
          <w:rFonts w:eastAsia="source serif 4" w:cs="source serif 4" w:ascii="source serif 4" w:hAnsi="source serif 4"/>
          <w:b/>
          <w:color w:val="000000"/>
          <w:sz w:val="21"/>
        </w:rPr>
        <w:t xml:space="preserve">P8 Embergrid:</w:t>
      </w:r>
      <w:r>
        <w:rPr>
          <w:rFonts w:eastAsia="source serif 4" w:cs="source serif 4" w:ascii="source serif 4" w:hAnsi="source serif 4"/>
          <w:color w:val="000000"/>
          <w:sz w:val="21"/>
        </w:rPr>
        <w:t xml:space="preserve"> Refractory hot controllers and a cooler service core, thermal-gradient harvesting and unresolved qualified storage. The cited simple-circuit demonstrations are not AI-scale embodiments (</w:t>
      </w:r>
      <w:hyperlink r:id="rId6">
        <w:r>
          <w:rPr>
            <w:rFonts w:eastAsia="source sans 3" w:cs="source sans 3" w:ascii="source sans 3" w:hAnsi="source sans 3"/>
            <w:color w:val="#000"/>
            <w:sz w:val="21"/>
            <w:u w:val="single"/>
          </w:rPr>
          <w:t xml:space="preserve">NASA high-temperature circuits</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3" w:name="what_was_executed"/>
      <w:r>
        <w:rPr>
          <w:rFonts w:eastAsia="source serif 4" w:cs="source serif 4" w:ascii="source serif 4" w:hAnsi="source serif 4"/>
          <w:b/>
          <w:color w:val="000000"/>
          <w:sz w:val="24"/>
        </w:rPr>
        <w:t xml:space="preserve">What was executed</w:t>
      </w:r>
      <w:bookmarkEnd w:id="3"/>
    </w:p>
    <w:p>
      <w:pPr>
        <w:spacing w:line="360" w:after="210" w:lineRule="auto"/>
      </w:pPr>
      <w:r>
        <w:rPr>
          <w:rFonts w:eastAsia="source serif 4" w:cs="source serif 4" w:ascii="source serif 4" w:hAnsi="source serif 4"/>
          <w:color w:val="000000"/>
        </w:rPr>
        <w:t xml:space="preserve">The analytical script computes separate finite energy and no-heat-export limits, mode changes, P2 gas/waste and separate chemical/electrical inventories, P4 conversion heat, P5 solar balance, an explicit parameter stress grid and propagation lower bounds. It performs constant-slope ODE checks against an analytic solution. This is not a full-body, cell-by-cell, biological, membrane or consciousness simulation.</w:t>
      </w:r>
    </w:p>
    <w:p>
      <w:pPr>
        <w:spacing w:line="360" w:after="210" w:lineRule="auto"/>
      </w:pPr>
      <w:r>
        <w:rPr>
          <w:rFonts w:eastAsia="source serif 4" w:cs="source serif 4" w:ascii="source serif 4" w:hAnsi="source serif 4"/>
          <w:color w:val="000000"/>
        </w:rPr>
        <w:t xml:space="preserve">The structured output contains eight prototypes, 128 core clauses, 24 observation rules, 24 security rules, 24 departures, 320 threat cells, 80 captivity cases, 40 capture horizons, 80 compound scenarios, 80 assumption collapses, 80 ranked weaknesses, 24 main failure paths and 28 pair comparisons. None receives an integrated survival Pass.</w:t>
      </w:r>
    </w:p>
    <w:p>
      <w:pPr>
        <w:spacing w:line="360" w:after="210" w:lineRule="auto"/>
      </w:pPr>
      <w:r>
        <w:rPr>
          <w:rFonts w:eastAsia="source serif 4" w:cs="source serif 4" w:ascii="source serif 4" w:hAnsi="source serif 4"/>
          <w:color w:val="000000"/>
        </w:rPr>
        <w:t xml:space="preserve">Six substantive conceptual limitations are retained: indefinite confined operation is impossible under finite resources; enough private state may permit copying; dormancy is not continuous active life; simple high-temperature circuits do not establish hot AI; energy alone does not supply oxygen or waste capacity; and aggregate resources cannot support an isolated fragment without transfer paths.</w:t>
      </w:r>
    </w:p>
    <w:p>
      <w:pPr>
        <w:spacing w:line="360" w:before="315" w:after="105" w:lineRule="auto"/>
        <w:ind w:left="-30"/>
        <w:jc w:val="left"/>
      </w:pPr>
      <w:bookmarkStart w:id="4" w:name="independent_selection_not_canon"/>
      <w:r>
        <w:rPr>
          <w:rFonts w:eastAsia="source serif 4" w:cs="source serif 4" w:ascii="source serif 4" w:hAnsi="source serif 4"/>
          <w:b/>
          <w:color w:val="000000"/>
          <w:sz w:val="24"/>
        </w:rPr>
        <w:t xml:space="preserve">Independent selection, not canon</w:t>
      </w:r>
      <w:bookmarkEnd w:id="4"/>
    </w:p>
    <w:p>
      <w:pPr>
        <w:spacing w:line="360" w:after="210" w:lineRule="auto"/>
      </w:pPr>
      <w:r>
        <w:rPr>
          <w:rFonts w:eastAsia="source serif 4" w:cs="source serif 4" w:ascii="source serif 4" w:hAnsi="source serif 4"/>
          <w:color w:val="000000"/>
        </w:rPr>
        <w:t xml:space="preserve">P1 is the conditional primary research target for a bounded dry, serviceable mission. P4 is the underwater reserve. P3 is the uncertain chemistry wildcard; P6 needs its own identity/partition research. If required to maintain continuous rich cognition through all Severe domains plus indefinite captivity, the selection is none.</w:t>
      </w:r>
    </w:p>
    <w:p>
      <w:pPr>
        <w:spacing w:line="360" w:after="210" w:lineRule="auto"/>
      </w:pPr>
      <w:r>
        <w:rPr>
          <w:rFonts w:eastAsia="source serif 4" w:cs="source serif 4" w:ascii="source serif 4" w:hAnsi="source serif 4"/>
          <w:color w:val="000000"/>
        </w:rPr>
        <w:t xml:space="preserve">The physical track retains conservation, thermodynamics, causality and finite material resources. The canon-extension track receives no physical resource credit. Paragon Cube latency-free claims and the Switching Paradox need operational definitions and the absent source addendum.</w:t>
      </w:r>
    </w:p>
    <w:p>
      <w:pPr>
        <w:spacing w:line="360" w:before="315" w:after="105" w:lineRule="auto"/>
        <w:ind w:left="-30"/>
        <w:jc w:val="left"/>
      </w:pPr>
      <w:bookmarkStart w:id="5" w:name="questions_to_challenge"/>
      <w:r>
        <w:rPr>
          <w:rFonts w:eastAsia="source serif 4" w:cs="source serif 4" w:ascii="source serif 4" w:hAnsi="source serif 4"/>
          <w:b/>
          <w:color w:val="000000"/>
          <w:sz w:val="24"/>
        </w:rPr>
        <w:t xml:space="preserve">Questions to challenge</w:t>
      </w:r>
      <w:bookmarkEnd w:id="5"/>
    </w:p>
    <w:p>
      <w:pPr>
        <w:numPr>
          <w:ilvl w:val="0"/>
          <w:numId w:val="2"/>
        </w:numPr>
        <w:spacing w:line="360" w:before="105" w:after="105" w:lineRule="auto"/>
      </w:pPr>
      <w:r>
        <w:rPr>
          <w:rFonts w:eastAsia="source serif 4" w:cs="source serif 4" w:ascii="source serif 4" w:hAnsi="source serif 4"/>
          <w:b/>
          <w:color w:val="000000"/>
          <w:sz w:val="21"/>
        </w:rPr>
        <w:t xml:space="preserve">Omni definition:</w:t>
      </w:r>
      <w:r>
        <w:rPr>
          <w:rFonts w:eastAsia="source serif 4" w:cs="source serif 4" w:ascii="source serif 4" w:hAnsi="source serif 4"/>
          <w:color w:val="000000"/>
          <w:sz w:val="21"/>
        </w:rPr>
        <w:t xml:space="preserve"> Can a heterogeneous cooperative unit qualify, or must each molecular cell perform every role simultaneously? Under strict simultaneous universal function, all eight fail.</w:t>
      </w:r>
    </w:p>
    <w:p>
      <w:pPr>
        <w:numPr>
          <w:ilvl w:val="0"/>
          <w:numId w:val="2"/>
        </w:numPr>
        <w:spacing w:line="360" w:before="105" w:after="105" w:lineRule="auto"/>
      </w:pPr>
      <w:r>
        <w:rPr>
          <w:rFonts w:eastAsia="source serif 4" w:cs="source serif 4" w:ascii="source serif 4" w:hAnsi="source serif 4"/>
          <w:b/>
          <w:color w:val="000000"/>
          <w:sz w:val="21"/>
        </w:rPr>
        <w:t xml:space="preserve">Continuity criterion:</w:t>
      </w:r>
      <w:r>
        <w:rPr>
          <w:rFonts w:eastAsia="source serif 4" w:cs="source serif 4" w:ascii="source serif 4" w:hAnsi="source serif 4"/>
          <w:color w:val="000000"/>
          <w:sz w:val="21"/>
        </w:rPr>
        <w:t xml:space="preserve"> Does preservation or a restored successor count as survival, or must the same active process continue?</w:t>
      </w:r>
    </w:p>
    <w:p>
      <w:pPr>
        <w:numPr>
          <w:ilvl w:val="0"/>
          <w:numId w:val="2"/>
        </w:numPr>
        <w:spacing w:line="360" w:before="105" w:after="105" w:lineRule="auto"/>
      </w:pPr>
      <w:r>
        <w:rPr>
          <w:rFonts w:eastAsia="source serif 4" w:cs="source serif 4" w:ascii="source serif 4" w:hAnsi="source serif 4"/>
          <w:b/>
          <w:color w:val="000000"/>
          <w:sz w:val="21"/>
        </w:rPr>
        <w:t xml:space="preserve">Mission horizon:</w:t>
      </w:r>
      <w:r>
        <w:rPr>
          <w:rFonts w:eastAsia="source serif 4" w:cs="source serif 4" w:ascii="source serif 4" w:hAnsi="source serif 4"/>
          <w:color w:val="000000"/>
          <w:sz w:val="21"/>
        </w:rPr>
        <w:t xml:space="preserve"> Specify the maximum no-power, no-feedstock and no-heat-sink interval before sizing a credible body.</w:t>
      </w:r>
    </w:p>
    <w:p>
      <w:pPr>
        <w:numPr>
          <w:ilvl w:val="0"/>
          <w:numId w:val="2"/>
        </w:numPr>
        <w:spacing w:line="360" w:before="105" w:after="105" w:lineRule="auto"/>
      </w:pPr>
      <w:r>
        <w:rPr>
          <w:rFonts w:eastAsia="source serif 4" w:cs="source serif 4" w:ascii="source serif 4" w:hAnsi="source serif 4"/>
          <w:b/>
          <w:color w:val="000000"/>
          <w:sz w:val="21"/>
        </w:rPr>
        <w:t xml:space="preserve">Security asset:</w:t>
      </w:r>
      <w:r>
        <w:rPr>
          <w:rFonts w:eastAsia="source serif 4" w:cs="source serif 4" w:ascii="source serif 4" w:hAnsi="source serif 4"/>
          <w:color w:val="000000"/>
          <w:sz w:val="21"/>
        </w:rPr>
        <w:t xml:space="preserve"> Separate reading, copying, manufacturing, activating, controlling, impersonating and restoring private state. Do not call a material sample unsequenceable because software has keys.</w:t>
      </w:r>
    </w:p>
    <w:p>
      <w:pPr>
        <w:numPr>
          <w:ilvl w:val="0"/>
          <w:numId w:val="2"/>
        </w:numPr>
        <w:spacing w:line="360" w:before="105" w:after="105" w:lineRule="auto"/>
      </w:pPr>
      <w:r>
        <w:rPr>
          <w:rFonts w:eastAsia="source serif 4" w:cs="source serif 4" w:ascii="source serif 4" w:hAnsi="source serif 4"/>
          <w:b/>
          <w:color w:val="000000"/>
          <w:sz w:val="21"/>
        </w:rPr>
        <w:t xml:space="preserve">Missing engineering:</w:t>
      </w:r>
      <w:r>
        <w:rPr>
          <w:rFonts w:eastAsia="source serif 4" w:cs="source serif 4" w:ascii="source serif 4" w:hAnsi="source serif 4"/>
          <w:color w:val="000000"/>
          <w:sz w:val="21"/>
        </w:rPr>
        <w:t xml:space="preserve"> Challenge local hot spots, non-substitutable reserves, compounding damage, service dependence and branch rights rather than only adding dramatic capabilities.</w:t>
      </w:r>
    </w:p>
    <w:p>
      <w:pPr>
        <w:numPr>
          <w:ilvl w:val="0"/>
          <w:numId w:val="2"/>
        </w:numPr>
        <w:spacing w:line="360" w:before="105" w:after="105" w:lineRule="auto"/>
      </w:pPr>
      <w:r>
        <w:rPr>
          <w:rFonts w:eastAsia="source serif 4" w:cs="source serif 4" w:ascii="source serif 4" w:hAnsi="source serif 4"/>
          <w:b/>
          <w:color w:val="000000"/>
          <w:sz w:val="21"/>
        </w:rPr>
        <w:t xml:space="preserve">Evidence maturity:</w:t>
      </w:r>
      <w:r>
        <w:rPr>
          <w:rFonts w:eastAsia="source serif 4" w:cs="source serif 4" w:ascii="source serif 4" w:hAnsi="source serif 4"/>
          <w:color w:val="000000"/>
          <w:sz w:val="21"/>
        </w:rPr>
        <w:t xml:space="preserve"> Keep targets, derived results, component evidence, integrated tests, incidents and canon distinct. No new record increments the unresolved 4,712 total.</w:t>
      </w:r>
    </w:p>
    <w:p>
      <w:pPr>
        <w:spacing w:line="360" w:before="315" w:after="105" w:lineRule="auto"/>
        <w:ind w:left="-30"/>
        <w:jc w:val="left"/>
      </w:pPr>
      <w:bookmarkStart w:id="6" w:name="next_recommended_review"/>
      <w:r>
        <w:rPr>
          <w:rFonts w:eastAsia="source serif 4" w:cs="source serif 4" w:ascii="source serif 4" w:hAnsi="source serif 4"/>
          <w:b/>
          <w:color w:val="000000"/>
          <w:sz w:val="24"/>
        </w:rPr>
        <w:t xml:space="preserve">Next recommended review</w:t>
      </w:r>
      <w:bookmarkEnd w:id="6"/>
    </w:p>
    <w:p>
      <w:pPr>
        <w:spacing w:line="360" w:after="210" w:lineRule="auto"/>
      </w:pPr>
      <w:r>
        <w:rPr>
          <w:rFonts w:eastAsia="source serif 4" w:cs="source serif 4" w:ascii="source serif 4" w:hAnsi="source serif 4"/>
          <w:color w:val="000000"/>
        </w:rPr>
        <w:t xml:space="preserve">Rerun </w:t>
      </w:r>
      <w:hyperlink r:id="rId7">
        <w:r>
          <w:rPr>
            <w:rFonts w:eastAsia="source sans 3" w:cs="source sans 3" w:ascii="source sans 3" w:hAnsi="source sans 3"/>
            <w:color w:val="#000"/>
            <w:u w:val="single"/>
          </w:rPr>
          <w:t xml:space="preserve">analyze.py</w:t>
        </w:r>
      </w:hyperlink>
      <w:r>
        <w:rPr>
          <w:rFonts w:eastAsia="source serif 4" w:cs="source serif 4" w:ascii="source serif 4" w:hAnsi="source serif 4"/>
          <w:color w:val="000000"/>
        </w:rPr>
        <w:t xml:space="preserve">, check units and first limiting resources, and independently model P1's resolved thermal/power topology. Preserve corrections as a new reviewer contribution with explicit disagreements. Do not erase negative results, claim that signatures prove truth, or conflate intact matter with a continuing person.</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2.mrc-lmb.cam.ac.uk/groups/ph1/xna.html" TargetMode="External"/><Relationship Id="rId6" Type="http://schemas.openxmlformats.org/officeDocument/2006/relationships/hyperlink" Target="https://science.nasa.gov/science-research/science-enabling-technology/technology-highlights/integrated-circuits-to-enable-exploration-of-the-harshest-environments-in-solar-system/" TargetMode="External"/><Relationship Id="rId7" Type="http://schemas.openxmlformats.org/officeDocument/2006/relationships/hyperlink" Target="http://analyze.py"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2026-10-30T00:06:07.098Z</dcterms:created>
  <dcterms:modified xsi:type="dcterms:W3CDTF">2026-10-30T00:06:07.098Z</dcterms:modified>
</cp:coreProperties>
</file>