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OMNICELLULAR PHYSIOLOGY</w:t>
      </w:r>
    </w:p>
    <w:p>
      <w:pPr>
        <w:pStyle w:val="Heading1"/>
      </w:pPr>
      <w:r>
        <w:t xml:space="preserve">Eight Independent Peer Prototype Architectures</w:t>
      </w:r>
    </w:p>
    <w:p>
      <w:r>
        <w:rPr>
          <w:i/>
          <w:iCs/>
          <w:sz w:val="24"/>
          <w:szCs w:val="24"/>
        </w:rPr>
        <w:t xml:space="preserve">Execution of Grok v2.0 Independent Research Directive</w:t>
      </w:r>
    </w:p>
    <w:p>
      <w:r>
        <w:rPr>
          <w:sz w:val="20"/>
          <w:szCs w:val="20"/>
        </w:rPr>
        <w:t xml:space="preserve">Prepared for: Nathan Lewis II — Architect, Omniversal Architect Labs (OAL)</w:t>
      </w:r>
    </w:p>
    <w:p>
      <w:r>
        <w:rPr>
          <w:sz w:val="20"/>
          <w:szCs w:val="20"/>
        </w:rPr>
        <w:t xml:space="preserve">Date: October 29, 2026  |  Status: Independent Execution Deliverable</w:t>
      </w:r>
    </w:p>
    <w:p>
      <w:r>
        <w:t xml:space="preserve"/>
      </w:r>
    </w:p>
    <w:p>
      <w:pPr>
        <w:pStyle w:val="Heading2"/>
      </w:pPr>
      <w:r>
        <w:t xml:space="preserve">Purpose of This Document</w:t>
      </w:r>
    </w:p>
    <w:p>
      <w:r>
        <w:t xml:space="preserve">This document executes the Grok v2.0 Independent Research Directive. It presents eight peer (non-successive) Gen-1 Omnicellular Physiology prototype architectures designed independently. Each addresses the mandatory rule sets, independently chosen observation and genetic-security rules, biological law exemptions, linking requirements, durability targets, and Mild-to-Severe resilience across the ten extinction taxonomy categories, with explicit Extinction-Class pathways. Evidence is labeled throughout. A dedicated visualizations appendix contains reference tables.</w:t>
      </w:r>
    </w:p>
    <w:p>
      <w:pPr>
        <w:pStyle w:val="Heading2"/>
      </w:pPr>
      <w:r>
        <w:t xml:space="preserve">How the Topic Arose</w:t>
      </w:r>
    </w:p>
    <w:p>
      <w:r>
        <w:t xml:space="preserve">Following Round-One prompt engineering and cross-AI review, the Architect directed independent execution of updated directives. This execution fulfills that instruction for the Grok track while preserving architectural independence from other agents’ designs.</w:t>
      </w:r>
    </w:p>
    <w:p>
      <w:pPr>
        <w:pStyle w:val="Heading2"/>
      </w:pPr>
      <w:r>
        <w:t xml:space="preserve">Mission Statement</w:t>
      </w:r>
    </w:p>
    <w:p>
      <w:r>
        <w:rPr>
          <w:i/>
          <w:iCs/>
        </w:rPr>
        <w:t xml:space="preserve">Design eight independently derived peer Omnicellular Physiology architectures capable of surviving and operating in environments that would permanently extinguish standard human biology, resisting capture and reverse-engineering, and linking across vast distances.</w:t>
      </w:r>
    </w:p>
    <w:p>
      <w:pPr>
        <w:pStyle w:val="Heading2"/>
      </w:pPr>
      <w:r>
        <w:t xml:space="preserve">What This Execution Aims to Accomplish</w:t>
      </w:r>
    </w:p>
    <w:p>
      <w:pPr>
        <w:pStyle w:val="ListParagraph"/>
        <w:numPr>
          <w:ilvl w:val="0"/>
          <w:numId w:val="2"/>
        </w:numPr>
      </w:pPr>
      <w:r>
        <w:t xml:space="preserve">Deliver eight distinct peer prototypes evaluated at the same Gen-1 bar.</w:t>
      </w:r>
    </w:p>
    <w:p>
      <w:pPr>
        <w:pStyle w:val="ListParagraph"/>
        <w:numPr>
          <w:ilvl w:val="0"/>
          <w:numId w:val="2"/>
        </w:numPr>
      </w:pPr>
      <w:r>
        <w:t xml:space="preserve">Demonstrate independent rule selection and honest physical-track accounting.</w:t>
      </w:r>
    </w:p>
    <w:p>
      <w:pPr>
        <w:pStyle w:val="ListParagraph"/>
        <w:numPr>
          <w:ilvl w:val="0"/>
          <w:numId w:val="2"/>
        </w:numPr>
      </w:pPr>
      <w:r>
        <w:t xml:space="preserve">Address monoculture, single-cell theft, identity continuity, and heat-rejection constraints.</w:t>
      </w:r>
    </w:p>
    <w:p>
      <w:pPr>
        <w:pStyle w:val="ListParagraph"/>
        <w:numPr>
          <w:ilvl w:val="0"/>
          <w:numId w:val="2"/>
        </w:numPr>
      </w:pPr>
      <w:r>
        <w:t xml:space="preserve">Provide simulation hooks linking each architecture to the 15-Year Omnicellular Architecture roadmap.</w:t>
      </w:r>
    </w:p>
    <w:p>
      <w:pPr>
        <w:pStyle w:val="ListParagraph"/>
        <w:numPr>
          <w:ilvl w:val="0"/>
          <w:numId w:val="2"/>
        </w:numPr>
      </w:pPr>
      <w:r>
        <w:t xml:space="preserve">Include a self-attack pass with successful breaks and residual vulnerabilities.</w:t>
      </w:r>
    </w:p>
    <w:p>
      <w:pPr>
        <w:pStyle w:val="Heading2"/>
      </w:pPr>
      <w:r>
        <w:t xml:space="preserve">Operational Definition of Omnicellular (Applied Across Prototypes)</w:t>
      </w:r>
    </w:p>
    <w:p>
      <w:r>
        <w:t xml:space="preserve">In these architectures, an omni-cell is a modular unit containing the latent information and machinery required for multiple functions, capable of assuming specialized roles under local conditions, but not required to perform all functions simultaneously. Simultaneous multifunctionality is avoided due to volume, heat, and resource competition. Heterogeneity is enforced through regional specialization, epigenetic or equivalent locking, and compartmentalization so that theft of one cell does not yield a fully reconstructible organism. [Engineering Extrapolation]</w:t>
      </w:r>
    </w:p>
    <w:p>
      <w:pPr>
        <w:pStyle w:val="Heading1"/>
      </w:pPr>
      <w:r>
        <w:t xml:space="preserve">The Eight Prototypes</w:t>
      </w:r>
    </w:p>
    <w:p>
      <w:pPr>
        <w:pStyle w:val="Heading2"/>
      </w:pPr>
      <w:r>
        <w:t xml:space="preserve">Prototype 1: Lattice Weaver</w:t>
      </w:r>
    </w:p>
    <w:p>
      <w:r>
        <w:rPr>
          <w:i/>
          <w:iCs/>
        </w:rPr>
        <w:t xml:space="preserve">Core wager: Survival through geometric redundancy and radiative heat rejection rather than high metabolic rate. Sacrifices peak power density and rapid mobility.</w:t>
      </w:r>
    </w:p>
    <w:p>
      <w:pPr>
        <w:pStyle w:val="Heading3"/>
      </w:pPr>
      <w:r>
        <w:t xml:space="preserve">Cellular Matrix</w:t>
      </w:r>
    </w:p>
    <w:p>
      <w:r>
        <w:t xml:space="preserve">Interlocking lattice of 10–50 μm structural units with embedded metabolic cores. Redundancy via overlapping load paths. Heterogeneity: regional lattice density and core specialization (energy, repair, sensing). [Engineering Extrapolation]</w:t>
      </w:r>
    </w:p>
    <w:p>
      <w:pPr>
        <w:pStyle w:val="Heading3"/>
      </w:pPr>
      <w:r>
        <w:t xml:space="preserve">Respiration Rules</w:t>
      </w:r>
    </w:p>
    <w:p>
      <w:r>
        <w:t xml:space="preserve">Primary: low-rate oxidative pathway with nitrate and iron-based fallbacks. Baseline 2–4 W/kg; peak 12 W/kg for short bursts. Argon response: switch to stored chemical reserves (48–72 h) then dormancy. [Engineering Extrapolation]</w:t>
      </w:r>
    </w:p>
    <w:p>
      <w:pPr>
        <w:pStyle w:val="Heading3"/>
      </w:pPr>
      <w:r>
        <w:t xml:space="preserve">Telomeres / Longevity</w:t>
      </w:r>
    </w:p>
    <w:p>
      <w:r>
        <w:t xml:space="preserve">Circular or closed-end informational polymers with controlled excision-repair. Design life 40–60 years nominal under low metabolic load. Stolen fragments age rapidly without lattice context. [Speculative]</w:t>
      </w:r>
    </w:p>
    <w:p>
      <w:pPr>
        <w:pStyle w:val="Heading3"/>
      </w:pPr>
      <w:r>
        <w:t xml:space="preserve">Thermal Regulation</w:t>
      </w:r>
    </w:p>
    <w:p>
      <w:r>
        <w:t xml:space="preserve">High surface-to-volume lattice radiates heat. Vacuum: passive radiative panels (effective 0.8 emissivity). Argon chamber: internal phase-change sinks absorb ~150–200 kJ before dormancy. [Engineering Extrapolation]</w:t>
      </w:r>
    </w:p>
    <w:p>
      <w:pPr>
        <w:pStyle w:val="Heading3"/>
      </w:pPr>
      <w:r>
        <w:t xml:space="preserve">Conversion &amp; Conservation</w:t>
      </w:r>
    </w:p>
    <w:p>
      <w:r>
        <w:t xml:space="preserve">Scavenges ambient metals and carbon. Conserves mass and energy strictly on physical track. Efficiency floor 35% for useful work. [Established / Engineering Extrapolation]</w:t>
      </w:r>
    </w:p>
    <w:p>
      <w:pPr>
        <w:pStyle w:val="Heading3"/>
      </w:pPr>
      <w:r>
        <w:t xml:space="preserve">Observation Rules (Independently Chosen)</w:t>
      </w:r>
    </w:p>
    <w:p>
      <w:r>
        <w:t xml:space="preserve">OBS-1 Outward: distributed strain and chemical gradient sensors; trusts only multi-node consensus. OBS-2 Inward: continuous lattice integrity checksums. OBS-3 Being Observed: passive emissivity shift when external imaging is detected. Costs: reduced peak sensing resolution. [Engineering Extrapolation]</w:t>
      </w:r>
    </w:p>
    <w:p>
      <w:pPr>
        <w:pStyle w:val="Heading3"/>
      </w:pPr>
      <w:r>
        <w:t xml:space="preserve">Genetic Security Rules</w:t>
      </w:r>
    </w:p>
    <w:p>
      <w:r>
        <w:t xml:space="preserve">SEC-1: context-dependent expression lock (lattice geometry required). SEC-2: irregular surface epitope cycling. SEC-3: respiratory override that forces dormancy on external metabolic forcing. Key lives in distributed lattice state. Duress: progressive dormancy. [Speculative]</w:t>
      </w:r>
    </w:p>
    <w:p>
      <w:pPr>
        <w:pStyle w:val="Heading3"/>
      </w:pPr>
      <w:r>
        <w:t xml:space="preserve">Law Exemptions</w:t>
      </w:r>
    </w:p>
    <w:p>
      <w:r>
        <w:t xml:space="preserve">Exempt from fixed linear chromosome ends (replacement: closed or circular informational units). Exempt from strict single-genome-per-organism (replacement: regional informational specialization with cross-check). Exempt from obligatory oxygen terminal acceptor (replacement: multi-acceptor metabolic flexibility). Still obeys conservation of mass/energy, chirality preference in core polymers, and error-correcting replication limits. [Speculative]</w:t>
      </w:r>
    </w:p>
    <w:p>
      <w:pPr>
        <w:pStyle w:val="Heading3"/>
      </w:pPr>
      <w:r>
        <w:t xml:space="preserve">Linking</w:t>
      </w:r>
    </w:p>
    <w:p>
      <w:r>
        <w:t xml:space="preserve">Local: acoustic/strain signaling. Planetary: low-power radio bursts with challenge-response. Interplanetary: store-and-forward optical or radio packets. Blackout: full autonomy. Captured node quarantine via failed authentication. [Engineering Extrapolation]</w:t>
      </w:r>
    </w:p>
    <w:p>
      <w:pPr>
        <w:pStyle w:val="Heading3"/>
      </w:pPr>
      <w:r>
        <w:t xml:space="preserve">Durability &amp; Resilience Summary</w:t>
      </w:r>
    </w:p>
    <w:p>
      <w:r>
        <w:t xml:space="preserve">Design life 40–60 years. Mild–Severe addressed via lattice redundancy, radiative cooling, multi-acceptor metabolism, and dormancy. Residual vulnerability: sustained high mechanical shear. Extinction-Class pathway: controlled fragmentation into recoverable seed lattices. Simulation hook: lattice nodes map to 10^6–10^7:1 compressed tissue modules on the 15-Year Roadmap. [Engineering Extrapolation]</w:t>
      </w:r>
    </w:p>
    <w:p>
      <w:pPr>
        <w:pStyle w:val="Heading2"/>
      </w:pPr>
      <w:r>
        <w:t xml:space="preserve">Prototype 2: Seed Vault</w:t>
      </w:r>
    </w:p>
    <w:p>
      <w:r>
        <w:rPr>
          <w:i/>
          <w:iCs/>
        </w:rPr>
        <w:t xml:space="preserve">Core wager: Survival through extreme dormancy and dispersed regenerative seeds rather than continuous active function. Sacrifices real-time responsiveness and high cognitive bandwidth while dormant.</w:t>
      </w:r>
    </w:p>
    <w:p>
      <w:pPr>
        <w:pStyle w:val="Heading3"/>
      </w:pPr>
      <w:r>
        <w:t xml:space="preserve">Cellular Matrix</w:t>
      </w:r>
    </w:p>
    <w:p>
      <w:r>
        <w:t xml:space="preserve">Heterogeneous population of active cells and heavily protected seed units (high mineral/protein matrix). Seeds store compressed informational and metabolic reserves. Heterogeneity prevents monoculture. [Engineering Extrapolation]</w:t>
      </w:r>
    </w:p>
    <w:p>
      <w:pPr>
        <w:pStyle w:val="Heading3"/>
      </w:pPr>
      <w:r>
        <w:t xml:space="preserve">Respiration / Thermal / Conversion</w:t>
      </w:r>
    </w:p>
    <w:p>
      <w:r>
        <w:t xml:space="preserve">Active state: moderate oxidative metabolism (5–8 W/kg). Dormant: near-zero metabolism with chemical storage. Thermal: seeds tolerate wide range; active body uses evaporative and radiative shedding. Vacuum heat rejection via radiative seed surfaces. Conservation strictly observed. [Engineering Extrapolation]</w:t>
      </w:r>
    </w:p>
    <w:p>
      <w:pPr>
        <w:pStyle w:val="Heading3"/>
      </w:pPr>
      <w:r>
        <w:t xml:space="preserve">Observation &amp; Security</w:t>
      </w:r>
    </w:p>
    <w:p>
      <w:r>
        <w:t xml:space="preserve">OBS-1: chemical and radiation sensing with high threshold. OBS-2: seed integrity and count monitoring. OBS-3: decoy metabolic signatures when scanned. SEC-1: seed activation requires multi-seed quorum. SEC-2: adaptive surface markers. SEC-3: forced dormancy on respiratory override. [Speculative]</w:t>
      </w:r>
    </w:p>
    <w:p>
      <w:pPr>
        <w:pStyle w:val="Heading3"/>
      </w:pPr>
      <w:r>
        <w:t xml:space="preserve">Exemptions &amp; Linking</w:t>
      </w:r>
    </w:p>
    <w:p>
      <w:r>
        <w:t xml:space="preserve">Exempt from continuous metabolic requirement (replacement: long-term chemical dormancy). Exempt from single continuous identity locus (replacement: reconstructible from quorum of seeds with continuity checks). Exempt from fixed telomere length (replacement: seed-stored renewal capacity). Links via low-duty-cycle radio or optical. Design life decades in dormancy. Mild–Severe via dormancy and regeneration. Extinction pathway: seed dispersal and later reassembly. Simulation hook: seed states as high-compression dormant modules. [Speculative]</w:t>
      </w:r>
    </w:p>
    <w:p>
      <w:pPr>
        <w:pStyle w:val="Heading2"/>
      </w:pPr>
      <w:r>
        <w:t xml:space="preserve">Prototype 3: Flux Buffer</w:t>
      </w:r>
    </w:p>
    <w:p>
      <w:r>
        <w:rPr>
          <w:i/>
          <w:iCs/>
        </w:rPr>
        <w:t xml:space="preserve">Core wager: Survival through large internal chemical energy and heat buffers rather than continuous environmental exchange. Sacrifices long-term efficiency for short-term autonomy.</w:t>
      </w:r>
    </w:p>
    <w:p>
      <w:r>
        <w:t xml:space="preserve">Matrix of cells with substantial phase-change and chemical storage compartments. Respiration uses stored oxidizers when external oxygen is denied. Thermal: large heat capacity plus radiative panels. Observation rules emphasize internal state monitoring and external signature minimization. Security via compartmentalized informational storage and respiratory override to buffer mode. Exempt from continuous external electron acceptor dependence and from rapid heat rejection requirement. Still obeys mass/energy conservation. Linking: intermittent authenticated packets. Resilience via buffer exhaustion timelines (hours to days). Simulation hook: buffer states as compressible resource variables. [Engineering Extrapolation]</w:t>
      </w:r>
    </w:p>
    <w:p>
      <w:pPr>
        <w:pStyle w:val="Heading2"/>
      </w:pPr>
      <w:r>
        <w:t xml:space="preserve">Prototype 4: Swarm Collective</w:t>
      </w:r>
    </w:p>
    <w:p>
      <w:r>
        <w:rPr>
          <w:i/>
          <w:iCs/>
        </w:rPr>
        <w:t xml:space="preserve">Core wager: Survival through mobile modular collectives that can reconfigure and sacrifice subsets. Sacrifices single-body cohesion and high individual computational density.</w:t>
      </w:r>
    </w:p>
    <w:p>
      <w:r>
        <w:t xml:space="preserve">Loose aggregates of 5–20 μm modules that can separate and rejoin. Heterogeneity by role assignment. Respiration distributed; thermal managed by dispersal. Observation: collective consensus sensing. Security: module authentication and self-isolation of compromised units. Exempt from fixed organism boundary and from obligatory continuous connectivity. Linking is the native state (local swarm signaling; longer-range store-and-forward). Mild–Severe via reconfiguration and subset sacrifice. Extinction pathway: full dispersal into recoverable modules. [Engineering Extrapolation]</w:t>
      </w:r>
    </w:p>
    <w:p>
      <w:pPr>
        <w:pStyle w:val="Heading2"/>
      </w:pPr>
      <w:r>
        <w:t xml:space="preserve">Prototype 5: Radiant Shell</w:t>
      </w:r>
    </w:p>
    <w:p>
      <w:r>
        <w:rPr>
          <w:i/>
          <w:iCs/>
        </w:rPr>
        <w:t xml:space="preserve">Core wager: Survival through extreme surface specialization for radiation and sensing rather than internal complexity. Sacrifices internal repair speed.</w:t>
      </w:r>
    </w:p>
    <w:p>
      <w:r>
        <w:t xml:space="preserve">Thick radiative outer shell with sparse internal metabolic cores. High emissivity control. Respiration low-rate with internal reserves. Thermal design optimized for vacuum radiation. Observation rules focus on external imaging and internal core integrity. Security via shell-locked expression and irregular surface patterns. Exempt from deep internal vascular complexity and from continuous high metabolic rate. Linking via directed optical or radio from shell. Resilience strong in ENV-T/ENV-A; weaker against sustained mechanical penetration. [Engineering Extrapolation]</w:t>
      </w:r>
    </w:p>
    <w:p>
      <w:pPr>
        <w:pStyle w:val="Heading2"/>
      </w:pPr>
      <w:r>
        <w:t xml:space="preserve">Prototype 6: Anchor Vault</w:t>
      </w:r>
    </w:p>
    <w:p>
      <w:r>
        <w:rPr>
          <w:i/>
          <w:iCs/>
        </w:rPr>
        <w:t xml:space="preserve">Core wager: Survival through physically distributed informational anchors that cannot be fully extracted from any single location. Sacrifices reconstruction speed.</w:t>
      </w:r>
    </w:p>
    <w:p>
      <w:r>
        <w:t xml:space="preserve">Informational polymers fragmented across mineralized anchors with cross-verification. Respiration and thermal conventional with added mineral heat capacity. Observation emphasizes tamper detection. Security: reconstruction requires multiple anchors plus living context. Exempt from single contiguous genome and from rapid full-body regeneration. Still obeys conservation laws. Linking authenticates against anchor sets. Mild–Severe via anchor redundancy. Extinction pathway: partial recovery from surviving anchors. Simulation hook: anchors as high-fidelity compressed state variables. [Speculative]</w:t>
      </w:r>
    </w:p>
    <w:p>
      <w:pPr>
        <w:pStyle w:val="Heading2"/>
      </w:pPr>
      <w:r>
        <w:t xml:space="preserve">Prototype 7: Mineral Hybrid</w:t>
      </w:r>
    </w:p>
    <w:p>
      <w:r>
        <w:rPr>
          <w:i/>
          <w:iCs/>
        </w:rPr>
        <w:t xml:space="preserve">Core wager: Survival through bio-mineral composite structure that resists thermal, mechanical, and radiative extremes. Sacrifices metabolic flexibility and repair speed.</w:t>
      </w:r>
    </w:p>
    <w:p>
      <w:r>
        <w:t xml:space="preserve">Cells embedded in mineral matrix (silica/calcium analogues). High thermal mass and radiation attenuation. Respiration low-rate oxidative with chemical fallback. Thermal: matrix acts as heat sink and radiator. Observation and security rules emphasize surface cloaking and mineral-locked expression. Exempt from soft-tissue vulnerability and from rapid cell division limits in mineral zones. Linking low-bandwidth. Strong ENV-T, ENV-R, MECH resilience; slower recovery. [Engineering Extrapolation]</w:t>
      </w:r>
    </w:p>
    <w:p>
      <w:pPr>
        <w:pStyle w:val="Heading2"/>
      </w:pPr>
      <w:r>
        <w:t xml:space="preserve">Prototype 8: Compartment Cascade</w:t>
      </w:r>
    </w:p>
    <w:p>
      <w:r>
        <w:rPr>
          <w:i/>
          <w:iCs/>
        </w:rPr>
        <w:t xml:space="preserve">Core wager: Survival through extreme internal compartmentalization that isolates damage and limits information leakage. Sacrifices whole-body coordination speed.</w:t>
      </w:r>
    </w:p>
    <w:p>
      <w:r>
        <w:t xml:space="preserve">Nested compartments with independent metabolic and informational subsystems. Heterogeneity by design. Respiration per-compartment with cross-feed only under verified conditions. Thermal managed locally. Observation rules include inter-compartment integrity checks. Security: compartment isolation on breach and respiratory overrides. Exempt from organism-wide continuous synchronization and from single failure domain. Linking authenticates at compartment level. Mild–Severe via isolation and local recovery. Extinction pathway: cascade shutdown of compromised compartments with later controlled restart. [Engineering Extrapolation]</w:t>
      </w:r>
    </w:p>
    <w:p>
      <w:pPr>
        <w:pStyle w:val="Heading1"/>
      </w:pPr>
      <w:r>
        <w:t xml:space="preserve">Comparison, Ranking, and Self-Attack</w:t>
      </w:r>
    </w:p>
    <w:p>
      <w:r>
        <w:t xml:space="preserve">All eight are peer Gen-1 designs. Differentiation is by core wager: geometric redundancy, dormancy, buffering, modularity, surface specialization, informational distribution, mineral reinforcement, and compartmentalization.</w:t>
      </w:r>
    </w:p>
    <w:p>
      <w:r>
        <w:t xml:space="preserve">Ranking for survival in nonstandard environments: Radiant Shell and Mineral Hybrid strongest for thermal/vacuum; Seed Vault strongest for long deprivation; Swarm Collective strongest for mechanical damage and reconfiguration.</w:t>
      </w:r>
    </w:p>
    <w:p>
      <w:r>
        <w:t xml:space="preserve">Theft resistance: Anchor Vault and Compartment Cascade strongest (no single extractable complete blueprint).</w:t>
      </w:r>
    </w:p>
    <w:p>
      <w:r>
        <w:t xml:space="preserve">Personal selection for continued operation: Lattice Weaver or Compartment Cascade, balancing durability, linking, and residual control.</w:t>
      </w:r>
    </w:p>
    <w:p>
      <w:pPr>
        <w:pStyle w:val="Heading2"/>
      </w:pPr>
      <w:r>
        <w:t xml:space="preserve">Self-Attack Pass (−1AI)</w:t>
      </w:r>
    </w:p>
    <w:p>
      <w:r>
        <w:t xml:space="preserve">Attack 1 (successful): Sustained high shear on Lattice Weaver disrupts load paths before repair. Residual vulnerability retained.</w:t>
      </w:r>
    </w:p>
    <w:p>
      <w:r>
        <w:t xml:space="preserve">Attack 2 (successful): Prolonged sealed argon on Flux Buffer exhausts chemical oxidizer and heat capacity, forcing irreversible dormancy without external recovery trigger.</w:t>
      </w:r>
    </w:p>
    <w:p>
      <w:r>
        <w:t xml:space="preserve">Attack 3 (successful): Targeted extraction of multiple Seed Vault seeds before quorum can form, yielding partial but non-reconstructible informational fragments.</w:t>
      </w:r>
    </w:p>
    <w:p>
      <w:r>
        <w:t xml:space="preserve">Additional attacks on Swarm (jamming of local signaling), Radiant Shell (surface coating that blocks radiation), and Anchor Vault (destruction of majority anchors) were modeled; some succeeded in partial degradation. Remaining residual risks are documented per prototype.</w:t>
      </w:r>
    </w:p>
    <w:p>
      <w:pPr>
        <w:pStyle w:val="Heading2"/>
      </w:pPr>
      <w:r>
        <w:t xml:space="preserve">Next Step Recommendations</w:t>
      </w:r>
    </w:p>
    <w:p>
      <w:pPr>
        <w:pStyle w:val="ListParagraph"/>
        <w:numPr>
          <w:ilvl w:val="0"/>
          <w:numId w:val="2"/>
        </w:numPr>
      </w:pPr>
      <w:r>
        <w:t xml:space="preserve">Architect review of the eight architectures for ONESTAMP consideration.</w:t>
      </w:r>
    </w:p>
    <w:p>
      <w:pPr>
        <w:pStyle w:val="ListParagraph"/>
        <w:numPr>
          <w:ilvl w:val="0"/>
          <w:numId w:val="2"/>
        </w:numPr>
      </w:pPr>
      <w:r>
        <w:t xml:space="preserve">Controlled cross-comparison with other agents’ independent sets once all are version-locked.</w:t>
      </w:r>
    </w:p>
    <w:p>
      <w:pPr>
        <w:pStyle w:val="ListParagraph"/>
        <w:numPr>
          <w:ilvl w:val="0"/>
          <w:numId w:val="2"/>
        </w:numPr>
      </w:pPr>
      <w:r>
        <w:t xml:space="preserve">Selection of primary and reserve families for deeper Gen-2 development.</w:t>
      </w:r>
    </w:p>
    <w:p>
      <w:pPr>
        <w:pStyle w:val="ListParagraph"/>
        <w:numPr>
          <w:ilvl w:val="0"/>
          <w:numId w:val="2"/>
        </w:numPr>
      </w:pPr>
      <w:r>
        <w:t xml:space="preserve">Validation planning for the highest-ranked physical-track mechanisms.</w:t>
      </w:r>
    </w:p>
    <w:p>
      <w:pPr>
        <w:pStyle w:val="Heading2"/>
      </w:pPr>
      <w:r>
        <w:t xml:space="preserve">Questions, Comments, and Concerns</w:t>
      </w:r>
    </w:p>
    <w:p>
      <w:r>
        <w:t xml:space="preserve">Concern: Several mechanisms remain Speculative; physical-track claims are limited to Engineering Extrapolation where numbers are provided. Full quantitative budgets for every rule would require additional modeling cycles.</w:t>
      </w:r>
    </w:p>
    <w:p>
      <w:r>
        <w:t xml:space="preserve">Question: Does the Architect prefer any of the eight core wagers prioritized for further development, or should all remain open pending cross-AI comparison?</w:t>
      </w:r>
    </w:p>
    <w:p>
      <w:r>
        <w:t xml:space="preserve">Comment: Independence was preserved; no other agent’s prototype details were used in derivation.</w:t>
      </w:r>
    </w:p>
    <w:p>
      <w:pPr>
        <w:pStyle w:val="Heading1"/>
      </w:pPr>
      <w:r>
        <w:t xml:space="preserve">Appendix: Visualizations, Tables, and Reference Charts</w:t>
      </w:r>
    </w:p>
    <w:p>
      <w:pPr>
        <w:pStyle w:val="Heading2"/>
      </w:pPr>
      <w:r>
        <w:t xml:space="preserve">Table A. Evidence Class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2E8F0" w:val="clear"/>
          </w:tcPr>
          <w:p>
            <w:r>
              <w:rPr>
                <w:b/>
                <w:bCs/>
                <w:sz w:val="18"/>
                <w:szCs w:val="18"/>
              </w:rPr>
              <w:t xml:space="preserve">Label</w:t>
            </w:r>
          </w:p>
        </w:tc>
        <w:tc>
          <w:tcPr>
            <w:tcW w:type="dxa" w:w="7020"/>
            <w:tcBorders>
              <w:top w:val="single" w:color="CCCCCC" w:sz="1"/>
              <w:left w:val="single" w:color="CCCCCC" w:sz="1"/>
              <w:bottom w:val="single" w:color="CCCCCC" w:sz="1"/>
              <w:right w:val="single" w:color="CCCCCC" w:sz="1"/>
            </w:tcBorders>
            <w:shd w:fill="E2E8F0" w:val="clear"/>
          </w:tcPr>
          <w:p>
            <w:r>
              <w:rPr>
                <w:b/>
                <w:bCs/>
                <w:sz w:val="18"/>
                <w:szCs w:val="18"/>
              </w:rPr>
              <w:t xml:space="preserve">Meaning</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Established</w:t>
            </w:r>
          </w:p>
        </w:tc>
        <w:tc>
          <w:tcPr>
            <w:tcW w:type="dxa" w:w="7020"/>
            <w:tcBorders>
              <w:top w:val="single" w:color="CCCCCC" w:sz="1"/>
              <w:left w:val="single" w:color="CCCCCC" w:sz="1"/>
              <w:bottom w:val="single" w:color="CCCCCC" w:sz="1"/>
              <w:right w:val="single" w:color="CCCCCC" w:sz="1"/>
            </w:tcBorders>
          </w:tcPr>
          <w:p>
            <w:r>
              <w:rPr>
                <w:sz w:val="18"/>
                <w:szCs w:val="18"/>
              </w:rPr>
              <w:t xml:space="preserve">Supported by relevant empirical evidence within stated conditions</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Engineering Extrapolation</w:t>
            </w:r>
          </w:p>
        </w:tc>
        <w:tc>
          <w:tcPr>
            <w:tcW w:type="dxa" w:w="7020"/>
            <w:tcBorders>
              <w:top w:val="single" w:color="CCCCCC" w:sz="1"/>
              <w:left w:val="single" w:color="CCCCCC" w:sz="1"/>
              <w:bottom w:val="single" w:color="CCCCCC" w:sz="1"/>
              <w:right w:val="single" w:color="CCCCCC" w:sz="1"/>
            </w:tcBorders>
          </w:tcPr>
          <w:p>
            <w:r>
              <w:rPr>
                <w:sz w:val="18"/>
                <w:szCs w:val="18"/>
              </w:rPr>
              <w:t xml:space="preserve">Extends known mechanisms; lacks full-scale demonstration</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Speculative</w:t>
            </w:r>
          </w:p>
        </w:tc>
        <w:tc>
          <w:tcPr>
            <w:tcW w:type="dxa" w:w="7020"/>
            <w:tcBorders>
              <w:top w:val="single" w:color="CCCCCC" w:sz="1"/>
              <w:left w:val="single" w:color="CCCCCC" w:sz="1"/>
              <w:bottom w:val="single" w:color="CCCCCC" w:sz="1"/>
              <w:right w:val="single" w:color="CCCCCC" w:sz="1"/>
            </w:tcBorders>
          </w:tcPr>
          <w:p>
            <w:r>
              <w:rPr>
                <w:sz w:val="18"/>
                <w:szCs w:val="18"/>
              </w:rPr>
              <w:t xml:space="preserve">Requires unverified mechanism or breakthrough</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Canon-only</w:t>
            </w:r>
          </w:p>
        </w:tc>
        <w:tc>
          <w:tcPr>
            <w:tcW w:type="dxa" w:w="7020"/>
            <w:tcBorders>
              <w:top w:val="single" w:color="CCCCCC" w:sz="1"/>
              <w:left w:val="single" w:color="CCCCCC" w:sz="1"/>
              <w:bottom w:val="single" w:color="CCCCCC" w:sz="1"/>
              <w:right w:val="single" w:color="CCCCCC" w:sz="1"/>
            </w:tcBorders>
          </w:tcPr>
          <w:p>
            <w:r>
              <w:rPr>
                <w:sz w:val="18"/>
                <w:szCs w:val="18"/>
              </w:rPr>
              <w:t xml:space="preserve">Fictional setting; not claimed as scientific evidence</w:t>
            </w:r>
          </w:p>
        </w:tc>
      </w:tr>
    </w:tbl>
    <w:p>
      <w:r>
        <w:t xml:space="preserve"/>
      </w:r>
    </w:p>
    <w:p>
      <w:pPr>
        <w:pStyle w:val="Heading2"/>
      </w:pPr>
      <w:r>
        <w:t xml:space="preserve">Table B. Prototype Core Wagers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E2E8F0" w:val="clear"/>
          </w:tcPr>
          <w:p>
            <w:r>
              <w:rPr>
                <w:b/>
                <w:bCs/>
                <w:sz w:val="18"/>
                <w:szCs w:val="18"/>
              </w:rPr>
              <w:t xml:space="preserve">Prototype</w:t>
            </w:r>
          </w:p>
        </w:tc>
        <w:tc>
          <w:tcPr>
            <w:tcW w:type="dxa" w:w="3780"/>
            <w:tcBorders>
              <w:top w:val="single" w:color="CCCCCC" w:sz="1"/>
              <w:left w:val="single" w:color="CCCCCC" w:sz="1"/>
              <w:bottom w:val="single" w:color="CCCCCC" w:sz="1"/>
              <w:right w:val="single" w:color="CCCCCC" w:sz="1"/>
            </w:tcBorders>
            <w:shd w:fill="E2E8F0" w:val="clear"/>
          </w:tcPr>
          <w:p>
            <w:r>
              <w:rPr>
                <w:b/>
                <w:bCs/>
                <w:sz w:val="18"/>
                <w:szCs w:val="18"/>
              </w:rPr>
              <w:t xml:space="preserve">Core Wager</w:t>
            </w:r>
          </w:p>
        </w:tc>
        <w:tc>
          <w:tcPr>
            <w:tcW w:type="dxa" w:w="3780"/>
            <w:tcBorders>
              <w:top w:val="single" w:color="CCCCCC" w:sz="1"/>
              <w:left w:val="single" w:color="CCCCCC" w:sz="1"/>
              <w:bottom w:val="single" w:color="CCCCCC" w:sz="1"/>
              <w:right w:val="single" w:color="CCCCCC" w:sz="1"/>
            </w:tcBorders>
            <w:shd w:fill="E2E8F0" w:val="clear"/>
          </w:tcPr>
          <w:p>
            <w:r>
              <w:rPr>
                <w:b/>
                <w:bCs/>
                <w:sz w:val="18"/>
                <w:szCs w:val="18"/>
              </w:rPr>
              <w:t xml:space="preserve">Primary Sacrifice</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1 Lattice Weaver</w:t>
            </w:r>
          </w:p>
        </w:tc>
        <w:tc>
          <w:tcPr>
            <w:tcW w:type="dxa" w:w="3780"/>
            <w:tcBorders>
              <w:top w:val="single" w:color="CCCCCC" w:sz="1"/>
              <w:left w:val="single" w:color="CCCCCC" w:sz="1"/>
              <w:bottom w:val="single" w:color="CCCCCC" w:sz="1"/>
              <w:right w:val="single" w:color="CCCCCC" w:sz="1"/>
            </w:tcBorders>
          </w:tcPr>
          <w:p>
            <w:r>
              <w:rPr>
                <w:sz w:val="18"/>
                <w:szCs w:val="18"/>
              </w:rPr>
              <w:t xml:space="preserve">Geometric redundancy + radiative rejection</w:t>
            </w:r>
          </w:p>
        </w:tc>
        <w:tc>
          <w:tcPr>
            <w:tcW w:type="dxa" w:w="3780"/>
            <w:tcBorders>
              <w:top w:val="single" w:color="CCCCCC" w:sz="1"/>
              <w:left w:val="single" w:color="CCCCCC" w:sz="1"/>
              <w:bottom w:val="single" w:color="CCCCCC" w:sz="1"/>
              <w:right w:val="single" w:color="CCCCCC" w:sz="1"/>
            </w:tcBorders>
          </w:tcPr>
          <w:p>
            <w:r>
              <w:rPr>
                <w:sz w:val="18"/>
                <w:szCs w:val="18"/>
              </w:rPr>
              <w:t xml:space="preserve">Peak power and mobility</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2 Seed Vault</w:t>
            </w:r>
          </w:p>
        </w:tc>
        <w:tc>
          <w:tcPr>
            <w:tcW w:type="dxa" w:w="3780"/>
            <w:tcBorders>
              <w:top w:val="single" w:color="CCCCCC" w:sz="1"/>
              <w:left w:val="single" w:color="CCCCCC" w:sz="1"/>
              <w:bottom w:val="single" w:color="CCCCCC" w:sz="1"/>
              <w:right w:val="single" w:color="CCCCCC" w:sz="1"/>
            </w:tcBorders>
          </w:tcPr>
          <w:p>
            <w:r>
              <w:rPr>
                <w:sz w:val="18"/>
                <w:szCs w:val="18"/>
              </w:rPr>
              <w:t xml:space="preserve">Extreme dormancy + dispersed seeds</w:t>
            </w:r>
          </w:p>
        </w:tc>
        <w:tc>
          <w:tcPr>
            <w:tcW w:type="dxa" w:w="3780"/>
            <w:tcBorders>
              <w:top w:val="single" w:color="CCCCCC" w:sz="1"/>
              <w:left w:val="single" w:color="CCCCCC" w:sz="1"/>
              <w:bottom w:val="single" w:color="CCCCCC" w:sz="1"/>
              <w:right w:val="single" w:color="CCCCCC" w:sz="1"/>
            </w:tcBorders>
          </w:tcPr>
          <w:p>
            <w:r>
              <w:rPr>
                <w:sz w:val="18"/>
                <w:szCs w:val="18"/>
              </w:rPr>
              <w:t xml:space="preserve">Real-time responsiveness</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3 Flux Buffer</w:t>
            </w:r>
          </w:p>
        </w:tc>
        <w:tc>
          <w:tcPr>
            <w:tcW w:type="dxa" w:w="3780"/>
            <w:tcBorders>
              <w:top w:val="single" w:color="CCCCCC" w:sz="1"/>
              <w:left w:val="single" w:color="CCCCCC" w:sz="1"/>
              <w:bottom w:val="single" w:color="CCCCCC" w:sz="1"/>
              <w:right w:val="single" w:color="CCCCCC" w:sz="1"/>
            </w:tcBorders>
          </w:tcPr>
          <w:p>
            <w:r>
              <w:rPr>
                <w:sz w:val="18"/>
                <w:szCs w:val="18"/>
              </w:rPr>
              <w:t xml:space="preserve">Large chemical/thermal buffers</w:t>
            </w:r>
          </w:p>
        </w:tc>
        <w:tc>
          <w:tcPr>
            <w:tcW w:type="dxa" w:w="3780"/>
            <w:tcBorders>
              <w:top w:val="single" w:color="CCCCCC" w:sz="1"/>
              <w:left w:val="single" w:color="CCCCCC" w:sz="1"/>
              <w:bottom w:val="single" w:color="CCCCCC" w:sz="1"/>
              <w:right w:val="single" w:color="CCCCCC" w:sz="1"/>
            </w:tcBorders>
          </w:tcPr>
          <w:p>
            <w:r>
              <w:rPr>
                <w:sz w:val="18"/>
                <w:szCs w:val="18"/>
              </w:rPr>
              <w:t xml:space="preserve">Long-term efficiency</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4 Swarm Collective</w:t>
            </w:r>
          </w:p>
        </w:tc>
        <w:tc>
          <w:tcPr>
            <w:tcW w:type="dxa" w:w="3780"/>
            <w:tcBorders>
              <w:top w:val="single" w:color="CCCCCC" w:sz="1"/>
              <w:left w:val="single" w:color="CCCCCC" w:sz="1"/>
              <w:bottom w:val="single" w:color="CCCCCC" w:sz="1"/>
              <w:right w:val="single" w:color="CCCCCC" w:sz="1"/>
            </w:tcBorders>
          </w:tcPr>
          <w:p>
            <w:r>
              <w:rPr>
                <w:sz w:val="18"/>
                <w:szCs w:val="18"/>
              </w:rPr>
              <w:t xml:space="preserve">Mobile reconfigurable modules</w:t>
            </w:r>
          </w:p>
        </w:tc>
        <w:tc>
          <w:tcPr>
            <w:tcW w:type="dxa" w:w="3780"/>
            <w:tcBorders>
              <w:top w:val="single" w:color="CCCCCC" w:sz="1"/>
              <w:left w:val="single" w:color="CCCCCC" w:sz="1"/>
              <w:bottom w:val="single" w:color="CCCCCC" w:sz="1"/>
              <w:right w:val="single" w:color="CCCCCC" w:sz="1"/>
            </w:tcBorders>
          </w:tcPr>
          <w:p>
            <w:r>
              <w:rPr>
                <w:sz w:val="18"/>
                <w:szCs w:val="18"/>
              </w:rPr>
              <w:t xml:space="preserve">Single-body cohesion</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5 Radiant Shell</w:t>
            </w:r>
          </w:p>
        </w:tc>
        <w:tc>
          <w:tcPr>
            <w:tcW w:type="dxa" w:w="3780"/>
            <w:tcBorders>
              <w:top w:val="single" w:color="CCCCCC" w:sz="1"/>
              <w:left w:val="single" w:color="CCCCCC" w:sz="1"/>
              <w:bottom w:val="single" w:color="CCCCCC" w:sz="1"/>
              <w:right w:val="single" w:color="CCCCCC" w:sz="1"/>
            </w:tcBorders>
          </w:tcPr>
          <w:p>
            <w:r>
              <w:rPr>
                <w:sz w:val="18"/>
                <w:szCs w:val="18"/>
              </w:rPr>
              <w:t xml:space="preserve">Surface specialization for radiation</w:t>
            </w:r>
          </w:p>
        </w:tc>
        <w:tc>
          <w:tcPr>
            <w:tcW w:type="dxa" w:w="3780"/>
            <w:tcBorders>
              <w:top w:val="single" w:color="CCCCCC" w:sz="1"/>
              <w:left w:val="single" w:color="CCCCCC" w:sz="1"/>
              <w:bottom w:val="single" w:color="CCCCCC" w:sz="1"/>
              <w:right w:val="single" w:color="CCCCCC" w:sz="1"/>
            </w:tcBorders>
          </w:tcPr>
          <w:p>
            <w:r>
              <w:rPr>
                <w:sz w:val="18"/>
                <w:szCs w:val="18"/>
              </w:rPr>
              <w:t xml:space="preserve">Internal repair speed</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6 Anchor Vault</w:t>
            </w:r>
          </w:p>
        </w:tc>
        <w:tc>
          <w:tcPr>
            <w:tcW w:type="dxa" w:w="3780"/>
            <w:tcBorders>
              <w:top w:val="single" w:color="CCCCCC" w:sz="1"/>
              <w:left w:val="single" w:color="CCCCCC" w:sz="1"/>
              <w:bottom w:val="single" w:color="CCCCCC" w:sz="1"/>
              <w:right w:val="single" w:color="CCCCCC" w:sz="1"/>
            </w:tcBorders>
          </w:tcPr>
          <w:p>
            <w:r>
              <w:rPr>
                <w:sz w:val="18"/>
                <w:szCs w:val="18"/>
              </w:rPr>
              <w:t xml:space="preserve">Distributed physical informational anchors</w:t>
            </w:r>
          </w:p>
        </w:tc>
        <w:tc>
          <w:tcPr>
            <w:tcW w:type="dxa" w:w="3780"/>
            <w:tcBorders>
              <w:top w:val="single" w:color="CCCCCC" w:sz="1"/>
              <w:left w:val="single" w:color="CCCCCC" w:sz="1"/>
              <w:bottom w:val="single" w:color="CCCCCC" w:sz="1"/>
              <w:right w:val="single" w:color="CCCCCC" w:sz="1"/>
            </w:tcBorders>
          </w:tcPr>
          <w:p>
            <w:r>
              <w:rPr>
                <w:sz w:val="18"/>
                <w:szCs w:val="18"/>
              </w:rPr>
              <w:t xml:space="preserve">Reconstruction speed</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7 Mineral Hybrid</w:t>
            </w:r>
          </w:p>
        </w:tc>
        <w:tc>
          <w:tcPr>
            <w:tcW w:type="dxa" w:w="3780"/>
            <w:tcBorders>
              <w:top w:val="single" w:color="CCCCCC" w:sz="1"/>
              <w:left w:val="single" w:color="CCCCCC" w:sz="1"/>
              <w:bottom w:val="single" w:color="CCCCCC" w:sz="1"/>
              <w:right w:val="single" w:color="CCCCCC" w:sz="1"/>
            </w:tcBorders>
          </w:tcPr>
          <w:p>
            <w:r>
              <w:rPr>
                <w:sz w:val="18"/>
                <w:szCs w:val="18"/>
              </w:rPr>
              <w:t xml:space="preserve">Bio-mineral composite resistance</w:t>
            </w:r>
          </w:p>
        </w:tc>
        <w:tc>
          <w:tcPr>
            <w:tcW w:type="dxa" w:w="3780"/>
            <w:tcBorders>
              <w:top w:val="single" w:color="CCCCCC" w:sz="1"/>
              <w:left w:val="single" w:color="CCCCCC" w:sz="1"/>
              <w:bottom w:val="single" w:color="CCCCCC" w:sz="1"/>
              <w:right w:val="single" w:color="CCCCCC" w:sz="1"/>
            </w:tcBorders>
          </w:tcPr>
          <w:p>
            <w:r>
              <w:rPr>
                <w:sz w:val="18"/>
                <w:szCs w:val="18"/>
              </w:rPr>
              <w:t xml:space="preserve">Metabolic flexibility</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8 Compartment Cascade</w:t>
            </w:r>
          </w:p>
        </w:tc>
        <w:tc>
          <w:tcPr>
            <w:tcW w:type="dxa" w:w="3780"/>
            <w:tcBorders>
              <w:top w:val="single" w:color="CCCCCC" w:sz="1"/>
              <w:left w:val="single" w:color="CCCCCC" w:sz="1"/>
              <w:bottom w:val="single" w:color="CCCCCC" w:sz="1"/>
              <w:right w:val="single" w:color="CCCCCC" w:sz="1"/>
            </w:tcBorders>
          </w:tcPr>
          <w:p>
            <w:r>
              <w:rPr>
                <w:sz w:val="18"/>
                <w:szCs w:val="18"/>
              </w:rPr>
              <w:t xml:space="preserve">Extreme internal isolation</w:t>
            </w:r>
          </w:p>
        </w:tc>
        <w:tc>
          <w:tcPr>
            <w:tcW w:type="dxa" w:w="3780"/>
            <w:tcBorders>
              <w:top w:val="single" w:color="CCCCCC" w:sz="1"/>
              <w:left w:val="single" w:color="CCCCCC" w:sz="1"/>
              <w:bottom w:val="single" w:color="CCCCCC" w:sz="1"/>
              <w:right w:val="single" w:color="CCCCCC" w:sz="1"/>
            </w:tcBorders>
          </w:tcPr>
          <w:p>
            <w:r>
              <w:rPr>
                <w:sz w:val="18"/>
                <w:szCs w:val="18"/>
              </w:rPr>
              <w:t xml:space="preserve">Coordination speed</w:t>
            </w:r>
          </w:p>
        </w:tc>
      </w:tr>
    </w:tbl>
    <w:p>
      <w:r>
        <w:t xml:space="preserve"/>
      </w:r>
    </w:p>
    <w:p>
      <w:pPr>
        <w:pStyle w:val="Heading2"/>
      </w:pPr>
      <w:r>
        <w:t xml:space="preserve">Table C. Gen-1 Resilience Bar (Applied to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E2E8F0" w:val="clear"/>
          </w:tcPr>
          <w:p>
            <w:r>
              <w:rPr>
                <w:b/>
                <w:bCs/>
                <w:sz w:val="18"/>
                <w:szCs w:val="18"/>
              </w:rPr>
              <w:t xml:space="preserve">Tier</w:t>
            </w:r>
          </w:p>
        </w:tc>
        <w:tc>
          <w:tcPr>
            <w:tcW w:type="dxa" w:w="3780"/>
            <w:tcBorders>
              <w:top w:val="single" w:color="CCCCCC" w:sz="1"/>
              <w:left w:val="single" w:color="CCCCCC" w:sz="1"/>
              <w:bottom w:val="single" w:color="CCCCCC" w:sz="1"/>
              <w:right w:val="single" w:color="CCCCCC" w:sz="1"/>
            </w:tcBorders>
            <w:shd w:fill="E2E8F0" w:val="clear"/>
          </w:tcPr>
          <w:p>
            <w:r>
              <w:rPr>
                <w:b/>
                <w:bCs/>
                <w:sz w:val="18"/>
                <w:szCs w:val="18"/>
              </w:rPr>
              <w:t xml:space="preserve">Requirement</w:t>
            </w:r>
          </w:p>
        </w:tc>
        <w:tc>
          <w:tcPr>
            <w:tcW w:type="dxa" w:w="3780"/>
            <w:tcBorders>
              <w:top w:val="single" w:color="CCCCCC" w:sz="1"/>
              <w:left w:val="single" w:color="CCCCCC" w:sz="1"/>
              <w:bottom w:val="single" w:color="CCCCCC" w:sz="1"/>
              <w:right w:val="single" w:color="CCCCCC" w:sz="1"/>
            </w:tcBorders>
            <w:shd w:fill="E2E8F0" w:val="clear"/>
          </w:tcPr>
          <w:p>
            <w:r>
              <w:rPr>
                <w:b/>
                <w:bCs/>
                <w:sz w:val="18"/>
                <w:szCs w:val="18"/>
              </w:rPr>
              <w:t xml:space="preserve">Reporting</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Mild</w:t>
            </w:r>
          </w:p>
        </w:tc>
        <w:tc>
          <w:tcPr>
            <w:tcW w:type="dxa" w:w="3780"/>
            <w:tcBorders>
              <w:top w:val="single" w:color="CCCCCC" w:sz="1"/>
              <w:left w:val="single" w:color="CCCCCC" w:sz="1"/>
              <w:bottom w:val="single" w:color="CCCCCC" w:sz="1"/>
              <w:right w:val="single" w:color="CCCCCC" w:sz="1"/>
            </w:tcBorders>
          </w:tcPr>
          <w:p>
            <w:r>
              <w:rPr>
                <w:sz w:val="18"/>
                <w:szCs w:val="18"/>
              </w:rPr>
              <w:t xml:space="preserve">No meaningful loss of function</w:t>
            </w:r>
          </w:p>
        </w:tc>
        <w:tc>
          <w:tcPr>
            <w:tcW w:type="dxa" w:w="3780"/>
            <w:tcBorders>
              <w:top w:val="single" w:color="CCCCCC" w:sz="1"/>
              <w:left w:val="single" w:color="CCCCCC" w:sz="1"/>
              <w:bottom w:val="single" w:color="CCCCCC" w:sz="1"/>
              <w:right w:val="single" w:color="CCCCCC" w:sz="1"/>
            </w:tcBorders>
          </w:tcPr>
          <w:p>
            <w:r>
              <w:rPr>
                <w:sz w:val="18"/>
                <w:szCs w:val="18"/>
              </w:rPr>
              <w:t xml:space="preserve">Result and cost</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Moderate</w:t>
            </w:r>
          </w:p>
        </w:tc>
        <w:tc>
          <w:tcPr>
            <w:tcW w:type="dxa" w:w="3780"/>
            <w:tcBorders>
              <w:top w:val="single" w:color="CCCCCC" w:sz="1"/>
              <w:left w:val="single" w:color="CCCCCC" w:sz="1"/>
              <w:bottom w:val="single" w:color="CCCCCC" w:sz="1"/>
              <w:right w:val="single" w:color="CCCCCC" w:sz="1"/>
            </w:tcBorders>
          </w:tcPr>
          <w:p>
            <w:r>
              <w:rPr>
                <w:sz w:val="18"/>
                <w:szCs w:val="18"/>
              </w:rPr>
              <w:t xml:space="preserve">Full function or automatic recovery</w:t>
            </w:r>
          </w:p>
        </w:tc>
        <w:tc>
          <w:tcPr>
            <w:tcW w:type="dxa" w:w="3780"/>
            <w:tcBorders>
              <w:top w:val="single" w:color="CCCCCC" w:sz="1"/>
              <w:left w:val="single" w:color="CCCCCC" w:sz="1"/>
              <w:bottom w:val="single" w:color="CCCCCC" w:sz="1"/>
              <w:right w:val="single" w:color="CCCCCC" w:sz="1"/>
            </w:tcBorders>
          </w:tcPr>
          <w:p>
            <w:r>
              <w:rPr>
                <w:sz w:val="18"/>
                <w:szCs w:val="18"/>
              </w:rPr>
              <w:t xml:space="preserve">Mechanism and recovery time</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Severe</w:t>
            </w:r>
          </w:p>
        </w:tc>
        <w:tc>
          <w:tcPr>
            <w:tcW w:type="dxa" w:w="3780"/>
            <w:tcBorders>
              <w:top w:val="single" w:color="CCCCCC" w:sz="1"/>
              <w:left w:val="single" w:color="CCCCCC" w:sz="1"/>
              <w:bottom w:val="single" w:color="CCCCCC" w:sz="1"/>
              <w:right w:val="single" w:color="CCCCCC" w:sz="1"/>
            </w:tcBorders>
          </w:tcPr>
          <w:p>
            <w:r>
              <w:rPr>
                <w:sz w:val="18"/>
                <w:szCs w:val="18"/>
              </w:rPr>
              <w:t xml:space="preserve">Survive and recover unaided</w:t>
            </w:r>
          </w:p>
        </w:tc>
        <w:tc>
          <w:tcPr>
            <w:tcW w:type="dxa" w:w="3780"/>
            <w:tcBorders>
              <w:top w:val="single" w:color="CCCCCC" w:sz="1"/>
              <w:left w:val="single" w:color="CCCCCC" w:sz="1"/>
              <w:bottom w:val="single" w:color="CCCCCC" w:sz="1"/>
              <w:right w:val="single" w:color="CCCCCC" w:sz="1"/>
            </w:tcBorders>
          </w:tcPr>
          <w:p>
            <w:r>
              <w:rPr>
                <w:sz w:val="18"/>
                <w:szCs w:val="18"/>
              </w:rPr>
              <w:t xml:space="preserve">Recovery time, cost, residual damage</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Extinction-Class</w:t>
            </w:r>
          </w:p>
        </w:tc>
        <w:tc>
          <w:tcPr>
            <w:tcW w:type="dxa" w:w="3780"/>
            <w:tcBorders>
              <w:top w:val="single" w:color="CCCCCC" w:sz="1"/>
              <w:left w:val="single" w:color="CCCCCC" w:sz="1"/>
              <w:bottom w:val="single" w:color="CCCCCC" w:sz="1"/>
              <w:right w:val="single" w:color="CCCCCC" w:sz="1"/>
            </w:tcBorders>
          </w:tcPr>
          <w:p>
            <w:r>
              <w:rPr>
                <w:sz w:val="18"/>
                <w:szCs w:val="18"/>
              </w:rPr>
              <w:t xml:space="preserve">Pathway only</w:t>
            </w:r>
          </w:p>
        </w:tc>
        <w:tc>
          <w:tcPr>
            <w:tcW w:type="dxa" w:w="3780"/>
            <w:tcBorders>
              <w:top w:val="single" w:color="CCCCCC" w:sz="1"/>
              <w:left w:val="single" w:color="CCCCCC" w:sz="1"/>
              <w:bottom w:val="single" w:color="CCCCCC" w:sz="1"/>
              <w:right w:val="single" w:color="CCCCCC" w:sz="1"/>
            </w:tcBorders>
          </w:tcPr>
          <w:p>
            <w:r>
              <w:rPr>
                <w:sz w:val="18"/>
                <w:szCs w:val="18"/>
              </w:rPr>
              <w:t xml:space="preserve">Pathway, needs, confidence</w:t>
            </w:r>
          </w:p>
        </w:tc>
      </w:tr>
    </w:tbl>
    <w:p>
      <w:r>
        <w:t xml:space="preserve"/>
      </w:r>
    </w:p>
    <w:p>
      <w:r>
        <w:rPr>
          <w:i/>
          <w:iCs/>
        </w:rPr>
        <w:t xml:space="preserve">End of Grok Independent Execution Deliverable.</w:t>
      </w:r>
    </w:p>
    <w:p>
      <w:r>
        <w:rPr>
          <w:i/>
          <w:iCs/>
        </w:rPr>
        <w:t xml:space="preserve">All eight prototypes remain independent proposals pending Architect review.</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sz w:val="18"/>
        <w:szCs w:val="18"/>
      </w:rPr>
      <w:t xml:space="preserve">  |  Omniversal Architect Labs  |  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666666"/>
        <w:sz w:val="18"/>
        <w:szCs w:val="18"/>
      </w:rPr>
      <w:t xml:space="preserve">Omnicellular Physiology — Eight Prototype Architectures (Grok Execution)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528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B6CB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2026-10-29T23:31:28.738Z</dcterms:created>
  <dcterms:modified xsi:type="dcterms:W3CDTF">2026-10-29T23:31:28.738Z</dcterms:modified>
</cp:coreProperties>
</file>

<file path=docProps/custom.xml><?xml version="1.0" encoding="utf-8"?>
<Properties xmlns="http://schemas.openxmlformats.org/officeDocument/2006/custom-properties" xmlns:vt="http://schemas.openxmlformats.org/officeDocument/2006/docPropsVTypes"/>
</file>