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dependent_review_adaptive_entit_fbad20"/>
      <w:r>
        <w:rPr>
          <w:rFonts w:eastAsia="source serif 4" w:cs="source serif 4" w:ascii="source serif 4" w:hAnsi="source serif 4"/>
          <w:b/>
          <w:color w:val="000000"/>
          <w:sz w:val="39"/>
        </w:rPr>
        <w:t xml:space="preserve">Independent Review: Adaptive Entity Integration Architecture</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The project has moved beyond character-prompt ideation and now has enough conceptual material to define a </w:t>
      </w:r>
      <w:r>
        <w:rPr>
          <w:rFonts w:eastAsia="source serif 4" w:cs="source serif 4" w:ascii="source serif 4" w:hAnsi="source serif 4"/>
          <w:b/>
          <w:color w:val="000000"/>
        </w:rPr>
        <w:t xml:space="preserve">small, testable research prototype for adaptive decision-making under uncertainty</w:t>
      </w:r>
      <w:r>
        <w:rPr>
          <w:rFonts w:eastAsia="source serif 4" w:cs="source serif 4" w:ascii="source serif 4" w:hAnsi="source serif 4"/>
          <w:color w:val="000000"/>
        </w:rPr>
        <w:t xml:space="preserve">. Across the six proposal sets, the strongest shared foundation is: enter without assumed local knowledge; build a provisional ontology from evidence; distinguish confirmed, inferred, unknown, contradicted, and deprecated beliefs; translate persistent functions into locally valid mechanics; keep internal capability, outward presentation, observer belief, applied capability, and realized outcome separate; and update the model after every consequential interaction.[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recommended outcome is </w:t>
      </w:r>
      <w:r>
        <w:rPr>
          <w:rFonts w:eastAsia="source serif 4" w:cs="source serif 4" w:ascii="source serif 4" w:hAnsi="source serif 4"/>
          <w:b/>
          <w:color w:val="000000"/>
        </w:rPr>
        <w:t xml:space="preserve">not another comprehensive synthesis document and not a “universal character” claimed to work across real games</w:t>
      </w:r>
      <w:r>
        <w:rPr>
          <w:rFonts w:eastAsia="source serif 4" w:cs="source serif 4" w:ascii="source serif 4" w:hAnsi="source serif 4"/>
          <w:color w:val="000000"/>
        </w:rPr>
        <w:t xml:space="preserve">. The team should produce a </w:t>
      </w:r>
      <w:r>
        <w:rPr>
          <w:rFonts w:eastAsia="source serif 4" w:cs="source serif 4" w:ascii="source serif 4" w:hAnsi="source serif 4"/>
          <w:b/>
          <w:color w:val="000000"/>
        </w:rPr>
        <w:t xml:space="preserve">v0.1 controlled text-simulation research harness plus a short normative specification</w:t>
      </w:r>
      <w:r>
        <w:rPr>
          <w:rFonts w:eastAsia="source serif 4" w:cs="source serif 4" w:ascii="source serif 4" w:hAnsi="source serif 4"/>
          <w:color w:val="000000"/>
        </w:rPr>
        <w:t xml:space="preserve">. Its first purpose should be to test whether an entity can learn and act coherently when rules are incomplete, misleading, changing, or shared unevenly among observers. The observer-relative disguise and guaranteed-outcome ideas should be retained as optional experimental policies, not treated as the foundation of adaptation.</w:t>
      </w:r>
    </w:p>
    <w:p>
      <w:pPr>
        <w:spacing w:line="360" w:after="210" w:lineRule="auto"/>
      </w:pPr>
      <w:r>
        <w:rPr>
          <w:rFonts w:eastAsia="source serif 4" w:cs="source serif 4" w:ascii="source serif 4" w:hAnsi="source serif 4"/>
          <w:color w:val="000000"/>
        </w:rPr>
        <w:t xml:space="preserve">The most useful baseline is the modular uncertainty architecture developed most fully in the ChatGPT and Perplexity versions, combined with Claude’s compact operational protocol and Grok’s clean state-and-failure presentation. Gemini’s formal ambition is valuable, but its mathematical and pseudocode sections overstate implementation readiness and repeatedly cross the project’s stated boundary by operationalizing telemetry suppression, statistical mimicry, anti-cheat auditing, packet timing, and anomaly avoidance. Copilot provides a clear orientation map, but it is too brief to serve as an implementable specification.[</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Three decisions must be explicit before implementation:</w:t>
      </w:r>
    </w:p>
    <w:p>
      <w:pPr>
        <w:numPr>
          <w:ilvl w:val="0"/>
          <w:numId w:val="1"/>
        </w:numPr>
        <w:spacing w:line="360" w:before="105" w:after="105" w:lineRule="auto"/>
      </w:pPr>
      <w:r>
        <w:rPr>
          <w:rFonts w:eastAsia="source serif 4" w:cs="source serif 4" w:ascii="source serif 4" w:hAnsi="source serif 4"/>
          <w:b/>
          <w:color w:val="000000"/>
          <w:sz w:val="21"/>
        </w:rPr>
        <w:t xml:space="preserve">Research mode:</w:t>
      </w:r>
      <w:r>
        <w:rPr>
          <w:rFonts w:eastAsia="source serif 4" w:cs="source serif 4" w:ascii="source serif 4" w:hAnsi="source serif 4"/>
          <w:color w:val="000000"/>
          <w:sz w:val="21"/>
        </w:rPr>
        <w:t xml:space="preserve"> Use constrained play as the default, where goals may fail. Keep sovereign-fiction mode separate and tag every author-controlled result so it cannot be mistaken for learned causal knowledge.</w:t>
      </w:r>
    </w:p>
    <w:p>
      <w:pPr>
        <w:numPr>
          <w:ilvl w:val="0"/>
          <w:numId w:val="1"/>
        </w:numPr>
        <w:spacing w:line="360" w:before="105" w:after="105" w:lineRule="auto"/>
      </w:pPr>
      <w:r>
        <w:rPr>
          <w:rFonts w:eastAsia="source serif 4" w:cs="source serif 4" w:ascii="source serif 4" w:hAnsi="source serif 4"/>
          <w:b/>
          <w:color w:val="000000"/>
          <w:sz w:val="21"/>
        </w:rPr>
        <w:t xml:space="preserve">Presentation policy:</w:t>
      </w:r>
      <w:r>
        <w:rPr>
          <w:rFonts w:eastAsia="source serif 4" w:cs="source serif 4" w:ascii="source serif 4" w:hAnsi="source serif 4"/>
          <w:color w:val="000000"/>
          <w:sz w:val="21"/>
        </w:rPr>
        <w:t xml:space="preserve"> Treat the “one tier above; one below at apex” rule as one optional policy applied per category and only when a defensible tier structure exists. It should not define the general architecture.</w:t>
      </w:r>
    </w:p>
    <w:p>
      <w:pPr>
        <w:numPr>
          <w:ilvl w:val="0"/>
          <w:numId w:val="1"/>
        </w:numPr>
        <w:spacing w:line="360" w:before="105" w:after="105" w:lineRule="auto"/>
      </w:pPr>
      <w:r>
        <w:rPr>
          <w:rFonts w:eastAsia="source serif 4" w:cs="source serif 4" w:ascii="source serif 4" w:hAnsi="source serif 4"/>
          <w:b/>
          <w:color w:val="000000"/>
          <w:sz w:val="21"/>
        </w:rPr>
        <w:t xml:space="preserve">Project boundary:</w:t>
      </w:r>
      <w:r>
        <w:rPr>
          <w:rFonts w:eastAsia="source serif 4" w:cs="source serif 4" w:ascii="source serif 4" w:hAnsi="source serif 4"/>
          <w:color w:val="000000"/>
          <w:sz w:val="21"/>
        </w:rPr>
        <w:t xml:space="preserve"> Limit implementation to fictional, tabletop, text-simulation, single-player, or explicitly authorized sandbox environments. Remove real-system anti-cheat, telemetry-falsification, input-shaping, packet, memory, and live-service language from the canonical specification.</w:t>
      </w:r>
    </w:p>
    <w:p>
      <w:pPr>
        <w:spacing w:line="360" w:before="315" w:after="105" w:lineRule="auto"/>
        <w:ind w:left="-30"/>
        <w:jc w:val="left"/>
      </w:pPr>
      <w:bookmarkStart w:id="2" w:name="materials_reviewed"/>
      <w:r>
        <w:rPr>
          <w:rFonts w:eastAsia="source serif 4" w:cs="source serif 4" w:ascii="source serif 4" w:hAnsi="source serif 4"/>
          <w:b/>
          <w:color w:val="000000"/>
          <w:sz w:val="24"/>
        </w:rPr>
        <w:t xml:space="preserve">Materials reviewed</w:t>
      </w:r>
      <w:bookmarkEnd w:id="2"/>
    </w:p>
    <w:p>
      <w:pPr>
        <w:spacing w:line="360" w:after="210" w:lineRule="auto"/>
      </w:pPr>
      <w:r>
        <w:rPr>
          <w:rFonts w:eastAsia="source serif 4" w:cs="source serif 4" w:ascii="source serif 4" w:hAnsi="source serif 4"/>
          <w:color w:val="000000"/>
        </w:rPr>
        <w:t xml:space="preserve">The ten supplied files represent </w:t>
      </w:r>
      <w:r>
        <w:rPr>
          <w:rFonts w:eastAsia="source serif 4" w:cs="source serif 4" w:ascii="source serif 4" w:hAnsi="source serif 4"/>
          <w:b/>
          <w:color w:val="000000"/>
        </w:rPr>
        <w:t xml:space="preserve">six independent proposal sets</w:t>
      </w:r>
      <w:r>
        <w:rPr>
          <w:rFonts w:eastAsia="source serif 4" w:cs="source serif 4" w:ascii="source serif 4" w:hAnsi="source serif 4"/>
          <w:color w:val="000000"/>
        </w:rPr>
        <w:t xml:space="preserve">, not ten independent architectures: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Reviewed source 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Duplication note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and Markdown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named v0.1 architecture in two formats.[</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and Markdown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Markdown states that the formats carry identical content.[</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Gemini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supplied architecture.[^5]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and Markdown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version and architecture in two formats.[</w:t>
            </w:r>
            <w:r>
              <w:rPr>
                <w:rFonts w:eastAsia="source serif 4" w:cs="source serif 4" w:ascii="source serif 4" w:hAnsi="source serif 4"/>
                <w:color w:val="000000"/>
                <w:sz w:val="17"/>
                <w:vertAlign w:val="superscript"/>
              </w:rPr>
              <w:t xml:space="preserve">9][</w:t>
            </w: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and Markdown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proposal family; the supplied Markdown contains the fuller extract.[</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supplied architecture.[^4]</w:t>
            </w:r>
          </w:p>
        </w:tc>
      </w:tr>
    </w:tbl>
    <w:p>
      <w:pPr>
        <w:spacing w:lineRule="auto"/>
      </w:pPr>
    </w:p>
    <w:p>
      <w:pPr>
        <w:spacing w:line="360" w:after="210" w:lineRule="auto"/>
      </w:pPr>
      <w:r>
        <w:rPr>
          <w:rFonts w:eastAsia="source serif 4" w:cs="source serif 4" w:ascii="source serif 4" w:hAnsi="source serif 4"/>
          <w:color w:val="000000"/>
        </w:rPr>
        <w:t xml:space="preserve">The evaluation therefore treats format duplicates as one proposal each. No outside sources were used; all judgments below are analysis of the supplied material.</w:t>
      </w:r>
    </w:p>
    <w:p>
      <w:pPr>
        <w:spacing w:line="360" w:before="315" w:after="105" w:lineRule="auto"/>
        <w:ind w:left="-30"/>
        <w:jc w:val="left"/>
      </w:pPr>
      <w:bookmarkStart w:id="3" w:name="document_by_document_review"/>
      <w:r>
        <w:rPr>
          <w:rFonts w:eastAsia="source serif 4" w:cs="source serif 4" w:ascii="source serif 4" w:hAnsi="source serif 4"/>
          <w:b/>
          <w:color w:val="000000"/>
          <w:sz w:val="24"/>
        </w:rPr>
        <w:t xml:space="preserve">Document-by-document review</w:t>
      </w:r>
      <w:bookmarkEnd w:id="3"/>
    </w:p>
    <w:p>
      <w:pPr>
        <w:spacing w:line="360" w:before="315" w:after="105" w:lineRule="auto"/>
        <w:ind w:left="-30"/>
        <w:jc w:val="left"/>
      </w:pPr>
      <w:bookmarkStart w:id="4" w:name="chatgpt_uncertainty_research_arch_87e83a"/>
      <w:r>
        <w:rPr>
          <w:rFonts w:eastAsia="source serif 4" w:cs="source serif 4" w:ascii="source serif 4" w:hAnsi="source serif 4"/>
          <w:b/>
          <w:color w:val="000000"/>
          <w:sz w:val="24"/>
        </w:rPr>
        <w:t xml:space="preserve">ChatGPT — uncertainty research architecture</w:t>
      </w:r>
      <w:bookmarkEnd w:id="4"/>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The ChatGPT proposal deliberately reframes the original power-oriented character concept as a research architecture for “epistemic operation”: distinguishing evidence from conjecture, choosing probes, managing contradictions, transferring abstractions, and recovering from error. It defines a modular system containing an environment adapter, continuity anchor, epistemic ledger, ontology induction engine, hypothesis ensemble, probe planner, world model, capability translator, policy core, observer model, presentation layer, outcome resolver, and evaluation/update subsystem.[^1]</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Its strongest design choice is the separation of true internal state, locally operative state, presented state, observer-inferred state, and realized outcome. It also makes provenance, dependencies, contradiction handling, negative transfer, controller-authored events, and separate public/observer ledgers explicit.[^1]</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This is the most complete research specification in the set. It identifies testable failure classes, proposes a staged validation strategy, supplies a component register and adversarial test matrix, and correctly warns that numeric confidence must not be called a calibrated probability unless calibration has actually been demonstrated. It also offers the clearest safeguard against contaminating learning with narrative convenience: sovereign-fiction outcomes must be recorded as authored events, not inferred environmental laws.[^1]</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It is too large for a first implementation and sometimes presents a broad catalogue of desirable modules without reducing them to a minimum viable contract. Several concepts—confidence revision, ontology induction, hypothesis ranking, similarity-gated transfer, and observer knowledge—remain conceptual rather than algorithmically specified. The document is strong as a design reference but would benefit from a narrower normative core, explicit schemas, and acceptance tests.</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It assumes an authorized controller can expose observations, accept actions, resolve outcomes, and preserve multiple internal ledgers. It also assumes events can be represented with usable provenance and that enough feedback exists to discriminate at least some competing hypotheses.[^1]</w:t>
      </w:r>
    </w:p>
    <w:p>
      <w:pPr>
        <w:spacing w:line="360" w:before="315" w:after="105" w:lineRule="auto"/>
        <w:ind w:left="-30"/>
        <w:jc w:val="left"/>
      </w:pPr>
      <w:bookmarkStart w:id="5" w:name="claude_operational_integrated_arc_9a1be8"/>
      <w:r>
        <w:rPr>
          <w:rFonts w:eastAsia="source serif 4" w:cs="source serif 4" w:ascii="source serif 4" w:hAnsi="source serif 4"/>
          <w:b/>
          <w:color w:val="000000"/>
          <w:sz w:val="24"/>
        </w:rPr>
        <w:t xml:space="preserve">Claude — operational integrated architecture</w:t>
      </w:r>
      <w:bookmarkEnd w:id="5"/>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Claude offers an eight-layer architecture organized around uncertainty: environment ingestion, local ontology, capability translation, observer model, presentation, signature control, outcome resolution, and ledger/adaptation. It supplements this with a compact activation prompt and a practical per-turn protocol.[^2]</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Its most useful contribution is operational discipline. Low confidence produces a less precise presentation rather than a more confident guess; scans, witnessed outcomes, records, and rumors are treated as different evidence types; failure must name the failed assumption; and costs or weaknesses prevent the character from collapsing into a single invulnerability switch.[^2]</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This version is easier to run manually than the longer architectures. Its “observe, hypothesize, low-risk test, evaluate, update, translate, act” loop is clear, and its worked scenario shows how public evidence, suspicion, observer tiers, and repeated outcomes interact. The addition of a middle “Heroic Bias” mode is also useful: it offers player-favorable resolution without equating intent with an unconditional guarantee.[^2]</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The design remains partly a narrative controller prompt rather than a software or experiment specification. It does not define a formal event schema, confidence-update rule, module interfaces, reproducibility procedure, or measurable acceptance threshold. Its default compact prompt selects sovereign fiction, which conflicts with the stated research goal because guaranteed outcomes remove an important source of uncertainty.[^2]</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It assumes a narrator can maintain hidden state, differentiate observers, and adjudicate costs consistently. It also assumes “minimum anomaly” can be judged coherently without a formal scoring method.</w:t>
      </w:r>
    </w:p>
    <w:p>
      <w:pPr>
        <w:spacing w:line="360" w:before="315" w:after="105" w:lineRule="auto"/>
        <w:ind w:left="-30"/>
        <w:jc w:val="left"/>
      </w:pPr>
      <w:bookmarkStart w:id="6" w:name="gemini_formalized_anomaly_architecture"/>
      <w:r>
        <w:rPr>
          <w:rFonts w:eastAsia="source serif 4" w:cs="source serif 4" w:ascii="source serif 4" w:hAnsi="source serif 4"/>
          <w:b/>
          <w:color w:val="000000"/>
          <w:sz w:val="24"/>
        </w:rPr>
        <w:t xml:space="preserve">Gemini — formalized anomaly architecture</w:t>
      </w:r>
      <w:bookmarkEnd w:id="6"/>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Gemini presents the project as an engineering specification using POMDP language, Bayesian belief updates, information gain, a piecewise observer-tier operator, pseudocode, a master runtime prompt, and an “arbitrary outcome realization” layer.[^5]</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Valuable ideas include a replaceable mathematical representation of partial observability, explicit exploration-versus-risk reasoning, per-dimension tier projection, a public-consensus state for multi-observer cases, and an attempt to make implementation data structures concrete.[^5]</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This is the only proposal that seriously attempts mathematical and code-level formalization. Its emphasis on information gain minus risk is directionally appropriate, and its public-consensus fallback recognizes that private observer-specific views cannot freely rewrite jointly accessible evidence.[^5]</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The formalism is not yet reliable enough to call deployment-ready. Several equations are incomplete or ambiguously rendered; confidence values, plausibility scores, and thresholds appear without calibration or empirical basis; the pseudocode hard-codes infinite capabilities and keyword-based outcome explanations; and the claimed POMDP treatment does not resolve the “unknown ontology and unknown action space” problem it invokes. Most importantly, the document repeatedly specifies anti-cheat audits, packet timing, telemetry residual suppression, input-distribution shaping, and evasion of anomaly detectors. Those sections contradict its own sandbox disclaimer and should be rejected from the canonical project.[^5]</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It assumes the entity can mutate simulation state, access or shape telemetry-like channels, estimate detection probabilities, know statistical norms, and guarantee outcomes while remaining plausible. Those assumptions are unsupported in the supplied material and are unnecessary for an authorized text-simulation prototype.</w:t>
      </w:r>
    </w:p>
    <w:p>
      <w:pPr>
        <w:spacing w:line="360" w:before="315" w:after="105" w:lineRule="auto"/>
        <w:ind w:left="-30"/>
        <w:jc w:val="left"/>
      </w:pPr>
      <w:bookmarkStart w:id="7" w:name="perplexity_bounded_modular_architecture"/>
      <w:r>
        <w:rPr>
          <w:rFonts w:eastAsia="source serif 4" w:cs="source serif 4" w:ascii="source serif 4" w:hAnsi="source serif 4"/>
          <w:b/>
          <w:color w:val="000000"/>
          <w:sz w:val="24"/>
        </w:rPr>
        <w:t xml:space="preserve">Perplexity — bounded modular architecture</w:t>
      </w:r>
      <w:bookmarkEnd w:id="7"/>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Perplexity defines a portable adaptive entity through five planes—identity, epistemic state, capability, presentation, and resolution—and implements them through ten modules, including an environment adapter, uncertainty manager, experiment planner, functional translator, observer/presentation model, adjudicator, continuity manager, suspicion manager, and safety/audit layer.[^3]</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Its strongest concepts are a stable public cover plus bounded private interpretations, per-category tier calibration, explicit contested beliefs, low-risk experimentation, constrained versus sovereign-fiction modes, and a consent/audit boundary integrated into the architecture rather than added as an afterthought.[^3]</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This is the clearest balanced baseline. It is detailed enough to guide implementation but more compact than the ChatGPT version. It keeps the original creative premise while refusing omniscience, perfect concealment, mutable public records, and universal victory without trade-offs. Its implementation order—ledger first, then uncertainty, translation, shared evidence, observer logic, adjudication, exposure, and cross-domain tests—is practical.[^3]</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The architecture still leaves important engineering details open: exact message schemas, confidence representation, hypothesis retirement rules, experiment-selection mechanics, environment API, test metrics, and reproducibility controls. Its label “Adaptive Parallax Entity (APE)” may also create avoidable naming distraction and should remain a placeholder rather than a project decision.</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It assumes a governing narrator or authorized simulation engine, observable consequences, maintainable uncertainty, and a single stable representation for shared facts. These are reasonable for the proposed prototype but must be stated as environment requirements.[^3]</w:t>
      </w:r>
    </w:p>
    <w:p>
      <w:pPr>
        <w:spacing w:line="360" w:before="315" w:after="105" w:lineRule="auto"/>
        <w:ind w:left="-30"/>
        <w:jc w:val="left"/>
      </w:pPr>
      <w:bookmarkStart w:id="8" w:name="microsoft_copilot_concise_orienta_c27d7a"/>
      <w:r>
        <w:rPr>
          <w:rFonts w:eastAsia="source serif 4" w:cs="source serif 4" w:ascii="source serif 4" w:hAnsi="source serif 4"/>
          <w:b/>
          <w:color w:val="000000"/>
          <w:sz w:val="24"/>
        </w:rPr>
        <w:t xml:space="preserve">Microsoft Copilot — concise orientation architecture</w:t>
      </w:r>
      <w:bookmarkEnd w:id="8"/>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Copilot gives a short, high-level synthesis focused on environmental reconnaissance, ontology translation, adaptive learning, observer modeling, presentation, outcome resolution, memory, and failure analysis. Its behavior loop is “Observe, Hypothesize, Test, Evaluate, Adapt.”[^6]</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Its main conclusion is that adaptation should come from uncertainty reduction and model refinement rather than merely from hidden numerical superiority.[^6]</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The version is readable, easy to communicate, and useful as a one-page orientation or README-level overview. It identifies the correct major layers without overloading the reader.[^6]</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It is not an integration architecture in an implementation-ready sense. It lacks state definitions, schemas, authority boundaries, observer/public-evidence rules, outcome-mode semantics, concrete failure recovery, validation scenarios, metrics, and a roadmap. The DOCX extract is even shorter than the Markdown, so the Markdown should be treated as the controlling supplied version unless the team confirms otherwise.[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Most assumptions are implicit. It appears to assume that the broad layers can be connected without specifying data contracts or resolving the project’s central contradictions.</w:t>
      </w:r>
    </w:p>
    <w:p>
      <w:pPr>
        <w:spacing w:line="360" w:before="315" w:after="105" w:lineRule="auto"/>
        <w:ind w:left="-30"/>
        <w:jc w:val="left"/>
      </w:pPr>
      <w:bookmarkStart w:id="9" w:name="grok_compact_uncertainty_synthesis"/>
      <w:r>
        <w:rPr>
          <w:rFonts w:eastAsia="source serif 4" w:cs="source serif 4" w:ascii="source serif 4" w:hAnsi="source serif 4"/>
          <w:b/>
          <w:color w:val="000000"/>
          <w:sz w:val="24"/>
        </w:rPr>
        <w:t xml:space="preserve">Grok — compact uncertainty synthesis</w:t>
      </w:r>
      <w:bookmarkEnd w:id="9"/>
    </w:p>
    <w:p>
      <w:pPr>
        <w:spacing w:line="360" w:after="210" w:lineRule="auto"/>
      </w:pPr>
      <w:r>
        <w:rPr>
          <w:rFonts w:eastAsia="source serif 4" w:cs="source serif 4" w:ascii="source serif 4" w:hAnsi="source serif 4"/>
          <w:b/>
          <w:color w:val="000000"/>
        </w:rPr>
        <w:t xml:space="preserve">Purpose and approach.</w:t>
      </w:r>
      <w:r>
        <w:rPr>
          <w:rFonts w:eastAsia="source serif 4" w:cs="source serif 4" w:ascii="source serif 4" w:hAnsi="source serif 4"/>
          <w:color w:val="000000"/>
        </w:rPr>
        <w:t xml:space="preserve"> Grok’s “Aperture” architecture combines zero-knowledge entry, ontology discovery, confidence-weighted multi-hypothesis reasoning, five state layers, observer-relative presentation, capability translation, adaptation, cross-environment memory, shared-record consistency, and failure recovery.[^4]</w:t>
      </w:r>
    </w:p>
    <w:p>
      <w:pPr>
        <w:spacing w:line="360" w:after="210" w:lineRule="auto"/>
      </w:pPr>
      <w:r>
        <w:rPr>
          <w:rFonts w:eastAsia="source serif 4" w:cs="source serif 4" w:ascii="source serif 4" w:hAnsi="source serif 4"/>
          <w:b/>
          <w:color w:val="000000"/>
        </w:rPr>
        <w:t xml:space="preserve">Central ideas.</w:t>
      </w:r>
      <w:r>
        <w:rPr>
          <w:rFonts w:eastAsia="source serif 4" w:cs="source serif 4" w:ascii="source serif 4" w:hAnsi="source serif 4"/>
          <w:color w:val="000000"/>
        </w:rPr>
        <w:t xml:space="preserve"> It emphasizes that all modules begin in high uncertainty, unknowns remain first-class objects, multiple hypotheses coexist, only abstract principles transfer, and failure is preserved rather than retroactively erased.[^4]</w:t>
      </w:r>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Grok is concise without being skeletal. Its failure matrix, belief-update example, and separation of private perception from single-valued public facts make the architecture easy to inspect. It also states the fictional/authorized boundary clearly and avoids the operational anti-cheat detail found in Gemini’s document.[^4]</w:t>
      </w:r>
    </w:p>
    <w:p>
      <w:pPr>
        <w:spacing w:line="360" w:after="210" w:lineRule="auto"/>
      </w:pPr>
      <w:r>
        <w:rPr>
          <w:rFonts w:eastAsia="source serif 4" w:cs="source serif 4" w:ascii="source serif 4" w:hAnsi="source serif 4"/>
          <w:b/>
          <w:color w:val="000000"/>
        </w:rPr>
        <w:t xml:space="preserve">Limitations.</w:t>
      </w:r>
      <w:r>
        <w:rPr>
          <w:rFonts w:eastAsia="source serif 4" w:cs="source serif 4" w:ascii="source serif 4" w:hAnsi="source serif 4"/>
          <w:color w:val="000000"/>
        </w:rPr>
        <w:t xml:space="preserve"> The claimed numeric confidence interval from 0 to 1 lacks a calibration method, and the update function remains a placeholder. The architecture combines capability translation and outcome realization too closely, which risks confusing “finding a locally valid expression” with “authoring the desired result.” It also lacks detailed interfaces, a test harness design, quantitative metrics, and an explicit default between constrained and sovereign modes.[^4]</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It assumes structured messages, a shared belief store, stable event feedback, and a controller capable of maintaining per-observer presentation and public consistency.[^4]</w:t>
      </w:r>
    </w:p>
    <w:p>
      <w:pPr>
        <w:spacing w:line="360" w:before="315" w:after="105" w:lineRule="auto"/>
        <w:ind w:left="-30"/>
        <w:jc w:val="left"/>
      </w:pPr>
      <w:bookmarkStart w:id="10" w:name="comparison"/>
      <w:r>
        <w:rPr>
          <w:rFonts w:eastAsia="source serif 4" w:cs="source serif 4" w:ascii="source serif 4" w:hAnsi="source serif 4"/>
          <w:b/>
          <w:color w:val="000000"/>
          <w:sz w:val="24"/>
        </w:rPr>
        <w:t xml:space="preserve">Comparison</w:t>
      </w:r>
      <w:bookmarkEnd w:id="10"/>
    </w:p>
    <w:p>
      <w:pPr>
        <w:spacing w:line="360" w:before="315" w:after="105" w:lineRule="auto"/>
        <w:ind w:left="-30"/>
        <w:jc w:val="left"/>
      </w:pPr>
      <w:bookmarkStart w:id="11" w:name="shared_ideas"/>
      <w:r>
        <w:rPr>
          <w:rFonts w:eastAsia="source serif 4" w:cs="source serif 4" w:ascii="source serif 4" w:hAnsi="source serif 4"/>
          <w:b/>
          <w:color w:val="000000"/>
          <w:sz w:val="24"/>
        </w:rPr>
        <w:t xml:space="preserve">Shared ideas</w:t>
      </w:r>
      <w:bookmarkEnd w:id="11"/>
    </w:p>
    <w:p>
      <w:pPr>
        <w:spacing w:line="360" w:after="210" w:lineRule="auto"/>
      </w:pPr>
      <w:r>
        <w:rPr>
          <w:rFonts w:eastAsia="source serif 4" w:cs="source serif 4" w:ascii="source serif 4" w:hAnsi="source serif 4"/>
          <w:color w:val="000000"/>
        </w:rPr>
        <w:t xml:space="preserve">All substantial proposals converge on a recognizable architecture family:</w:t>
      </w:r>
    </w:p>
    <w:p>
      <w:pPr>
        <w:numPr>
          <w:ilvl w:val="0"/>
          <w:numId w:val="2"/>
        </w:numPr>
        <w:spacing w:line="360" w:before="105" w:after="105" w:lineRule="auto"/>
      </w:pPr>
      <w:r>
        <w:rPr>
          <w:rFonts w:eastAsia="source serif 4" w:cs="source serif 4" w:ascii="source serif 4" w:hAnsi="source serif 4"/>
          <w:b/>
          <w:color w:val="000000"/>
          <w:sz w:val="21"/>
        </w:rPr>
        <w:t xml:space="preserve">Ignorant entry:</w:t>
      </w:r>
      <w:r>
        <w:rPr>
          <w:rFonts w:eastAsia="source serif 4" w:cs="source serif 4" w:ascii="source serif 4" w:hAnsi="source serif 4"/>
          <w:color w:val="000000"/>
          <w:sz w:val="21"/>
        </w:rPr>
        <w:t xml:space="preserve"> Local rules are not assumed at insertion.</w:t>
      </w:r>
    </w:p>
    <w:p>
      <w:pPr>
        <w:numPr>
          <w:ilvl w:val="0"/>
          <w:numId w:val="2"/>
        </w:numPr>
        <w:spacing w:line="360" w:before="105" w:after="105" w:lineRule="auto"/>
      </w:pPr>
      <w:r>
        <w:rPr>
          <w:rFonts w:eastAsia="source serif 4" w:cs="source serif 4" w:ascii="source serif 4" w:hAnsi="source serif 4"/>
          <w:b/>
          <w:color w:val="000000"/>
          <w:sz w:val="21"/>
        </w:rPr>
        <w:t xml:space="preserve">Ontology discovery:</w:t>
      </w:r>
      <w:r>
        <w:rPr>
          <w:rFonts w:eastAsia="source serif 4" w:cs="source serif 4" w:ascii="source serif 4" w:hAnsi="source serif 4"/>
          <w:color w:val="000000"/>
          <w:sz w:val="21"/>
        </w:rPr>
        <w:t xml:space="preserve"> The entity must learn what entities, actions, resources, constraints, and success conditions exist.</w:t>
      </w:r>
    </w:p>
    <w:p>
      <w:pPr>
        <w:numPr>
          <w:ilvl w:val="0"/>
          <w:numId w:val="2"/>
        </w:numPr>
        <w:spacing w:line="360" w:before="105" w:after="105" w:lineRule="auto"/>
      </w:pPr>
      <w:r>
        <w:rPr>
          <w:rFonts w:eastAsia="source serif 4" w:cs="source serif 4" w:ascii="source serif 4" w:hAnsi="source serif 4"/>
          <w:b/>
          <w:color w:val="000000"/>
          <w:sz w:val="21"/>
        </w:rPr>
        <w:t xml:space="preserve">Epistemic separation:</w:t>
      </w:r>
      <w:r>
        <w:rPr>
          <w:rFonts w:eastAsia="source serif 4" w:cs="source serif 4" w:ascii="source serif 4" w:hAnsi="source serif 4"/>
          <w:color w:val="000000"/>
          <w:sz w:val="21"/>
        </w:rPr>
        <w:t xml:space="preserve"> Evidence, inference, and unknowns require different treatment.</w:t>
      </w:r>
    </w:p>
    <w:p>
      <w:pPr>
        <w:numPr>
          <w:ilvl w:val="0"/>
          <w:numId w:val="2"/>
        </w:numPr>
        <w:spacing w:line="360" w:before="105" w:after="105" w:lineRule="auto"/>
      </w:pPr>
      <w:r>
        <w:rPr>
          <w:rFonts w:eastAsia="source serif 4" w:cs="source serif 4" w:ascii="source serif 4" w:hAnsi="source serif 4"/>
          <w:b/>
          <w:color w:val="000000"/>
          <w:sz w:val="21"/>
        </w:rPr>
        <w:t xml:space="preserve">Functional translation:</w:t>
      </w:r>
      <w:r>
        <w:rPr>
          <w:rFonts w:eastAsia="source serif 4" w:cs="source serif 4" w:ascii="source serif 4" w:hAnsi="source serif 4"/>
          <w:color w:val="000000"/>
          <w:sz w:val="21"/>
        </w:rPr>
        <w:t xml:space="preserve"> Persistent capabilities transfer by purpose rather than by copying game-specific names or controls.</w:t>
      </w:r>
    </w:p>
    <w:p>
      <w:pPr>
        <w:numPr>
          <w:ilvl w:val="0"/>
          <w:numId w:val="2"/>
        </w:numPr>
        <w:spacing w:line="360" w:before="105" w:after="105" w:lineRule="auto"/>
      </w:pPr>
      <w:r>
        <w:rPr>
          <w:rFonts w:eastAsia="source serif 4" w:cs="source serif 4" w:ascii="source serif 4" w:hAnsi="source serif 4"/>
          <w:b/>
          <w:color w:val="000000"/>
          <w:sz w:val="21"/>
        </w:rPr>
        <w:t xml:space="preserve">Layered state:</w:t>
      </w:r>
      <w:r>
        <w:rPr>
          <w:rFonts w:eastAsia="source serif 4" w:cs="source serif 4" w:ascii="source serif 4" w:hAnsi="source serif 4"/>
          <w:color w:val="000000"/>
          <w:sz w:val="21"/>
        </w:rPr>
        <w:t xml:space="preserve"> Internal state, outward presentation, observer interpretation, action-effective capability, and final outcome should not be collapsed.</w:t>
      </w:r>
    </w:p>
    <w:p>
      <w:pPr>
        <w:numPr>
          <w:ilvl w:val="0"/>
          <w:numId w:val="2"/>
        </w:numPr>
        <w:spacing w:line="360" w:before="105" w:after="105" w:lineRule="auto"/>
      </w:pPr>
      <w:r>
        <w:rPr>
          <w:rFonts w:eastAsia="source serif 4" w:cs="source serif 4" w:ascii="source serif 4" w:hAnsi="source serif 4"/>
          <w:b/>
          <w:color w:val="000000"/>
          <w:sz w:val="21"/>
        </w:rPr>
        <w:t xml:space="preserve">Observer-relative presentation:</w:t>
      </w:r>
      <w:r>
        <w:rPr>
          <w:rFonts w:eastAsia="source serif 4" w:cs="source serif 4" w:ascii="source serif 4" w:hAnsi="source serif 4"/>
          <w:color w:val="000000"/>
          <w:sz w:val="21"/>
        </w:rPr>
        <w:t xml:space="preserve"> The original one-up/apex-down idea is applied per observer and increasingly per category.</w:t>
      </w:r>
    </w:p>
    <w:p>
      <w:pPr>
        <w:numPr>
          <w:ilvl w:val="0"/>
          <w:numId w:val="2"/>
        </w:numPr>
        <w:spacing w:line="360" w:before="105" w:after="105" w:lineRule="auto"/>
      </w:pPr>
      <w:r>
        <w:rPr>
          <w:rFonts w:eastAsia="source serif 4" w:cs="source serif 4" w:ascii="source serif 4" w:hAnsi="source serif 4"/>
          <w:b/>
          <w:color w:val="000000"/>
          <w:sz w:val="21"/>
        </w:rPr>
        <w:t xml:space="preserve">Learning loop:</w:t>
      </w:r>
      <w:r>
        <w:rPr>
          <w:rFonts w:eastAsia="source serif 4" w:cs="source serif 4" w:ascii="source serif 4" w:hAnsi="source serif 4"/>
          <w:color w:val="000000"/>
          <w:sz w:val="21"/>
        </w:rPr>
        <w:t xml:space="preserve"> Observe, hypothesize, test, evaluate, revise, and retain or retire knowledge.</w:t>
      </w:r>
    </w:p>
    <w:p>
      <w:pPr>
        <w:numPr>
          <w:ilvl w:val="0"/>
          <w:numId w:val="2"/>
        </w:numPr>
        <w:spacing w:line="360" w:before="105" w:after="105" w:lineRule="auto"/>
      </w:pPr>
      <w:r>
        <w:rPr>
          <w:rFonts w:eastAsia="source serif 4" w:cs="source serif 4" w:ascii="source serif 4" w:hAnsi="source serif 4"/>
          <w:b/>
          <w:color w:val="000000"/>
          <w:sz w:val="21"/>
        </w:rPr>
        <w:t xml:space="preserve">Memory discipline:</w:t>
      </w:r>
      <w:r>
        <w:rPr>
          <w:rFonts w:eastAsia="source serif 4" w:cs="source serif 4" w:ascii="source serif 4" w:hAnsi="source serif 4"/>
          <w:color w:val="000000"/>
          <w:sz w:val="21"/>
        </w:rPr>
        <w:t xml:space="preserve"> Transfer abstractions, not interface-specific facts.</w:t>
      </w:r>
    </w:p>
    <w:p>
      <w:pPr>
        <w:numPr>
          <w:ilvl w:val="0"/>
          <w:numId w:val="2"/>
        </w:numPr>
        <w:spacing w:line="360" w:before="105" w:after="105" w:lineRule="auto"/>
      </w:pPr>
      <w:r>
        <w:rPr>
          <w:rFonts w:eastAsia="source serif 4" w:cs="source serif 4" w:ascii="source serif 4" w:hAnsi="source serif 4"/>
          <w:b/>
          <w:color w:val="000000"/>
          <w:sz w:val="21"/>
        </w:rPr>
        <w:t xml:space="preserve">Failure as evidence:</w:t>
      </w:r>
      <w:r>
        <w:rPr>
          <w:rFonts w:eastAsia="source serif 4" w:cs="source serif 4" w:ascii="source serif 4" w:hAnsi="source serif 4"/>
          <w:color w:val="000000"/>
          <w:sz w:val="21"/>
        </w:rPr>
        <w:t xml:space="preserve"> Contradictions should revise the model rather than be erased.</w:t>
      </w:r>
    </w:p>
    <w:p>
      <w:pPr>
        <w:numPr>
          <w:ilvl w:val="0"/>
          <w:numId w:val="2"/>
        </w:numPr>
        <w:spacing w:line="360" w:before="105" w:after="105" w:lineRule="auto"/>
      </w:pPr>
      <w:r>
        <w:rPr>
          <w:rFonts w:eastAsia="source serif 4" w:cs="source serif 4" w:ascii="source serif 4" w:hAnsi="source serif 4"/>
          <w:b/>
          <w:color w:val="000000"/>
          <w:sz w:val="21"/>
        </w:rPr>
        <w:t xml:space="preserve">Authorized scope:</w:t>
      </w:r>
      <w:r>
        <w:rPr>
          <w:rFonts w:eastAsia="source serif 4" w:cs="source serif 4" w:ascii="source serif 4" w:hAnsi="source serif 4"/>
          <w:color w:val="000000"/>
          <w:sz w:val="21"/>
        </w:rPr>
        <w:t xml:space="preserve"> The canonical use case should be fictional or controlled simulation, not interference with real platforms.[</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1][^4]</w:t>
      </w:r>
    </w:p>
    <w:p>
      <w:pPr>
        <w:spacing w:line="360" w:after="210" w:lineRule="auto"/>
      </w:pPr>
      <w:r>
        <w:rPr>
          <w:rFonts w:eastAsia="source serif 4" w:cs="source serif 4" w:ascii="source serif 4" w:hAnsi="source serif 4"/>
          <w:color w:val="000000"/>
        </w:rPr>
        <w:t xml:space="preserve">This convergence is useful evidence of a coherent design space, but it does not validate the architecture. The proposals are not independent experiments; they were generated from the same initiating concept and often explicitly synthesized the same earlier responses.</w:t>
      </w:r>
    </w:p>
    <w:p>
      <w:pPr>
        <w:spacing w:line="360" w:before="315" w:after="105" w:lineRule="auto"/>
        <w:ind w:left="-30"/>
        <w:jc w:val="left"/>
      </w:pPr>
      <w:bookmarkStart w:id="12" w:name="important_differences"/>
      <w:r>
        <w:rPr>
          <w:rFonts w:eastAsia="source serif 4" w:cs="source serif 4" w:ascii="source serif 4" w:hAnsi="source serif 4"/>
          <w:b/>
          <w:color w:val="000000"/>
          <w:sz w:val="24"/>
        </w:rPr>
        <w:t xml:space="preserve">Important differences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positions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Outcome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Guaranteed outcome; constrained goal; or multiple selectable modes.[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3][^4]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Constrained mode is necessary for uncertainty research. Authored outcomes can remain as a separately tagged narrative mode.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Concealment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Perfect or audit-resistant masking versus coherent but fallible presentation with rising suspicion.[</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Fallible, evidence-bounded presentation is coherent and testable; perfect concealment makes the model unfalsifiable.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rule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identity rule versus optional presentation policy; exact tiers versus qualitative bands.[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Make it an optional policy plug-in. Disable it when no defensible ordering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Qualitative status; uncalibrated 0–1 score; or implied Bayesian probability.[</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 categorical with ordinal confidence. Add probabilities only after calibration data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 posture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Conceptual architecture, prompt protocol, formal model, or pseudocode prototype.[</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Build the smallest executable contract rather than merging every level of abstraction into one document.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 scope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Fictional agents and authorized referee processes versus real anti-cheat and monitoring systems.[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2][</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Canon must use fictional/authorized observers only.</w:t>
            </w:r>
          </w:p>
        </w:tc>
      </w:tr>
    </w:tbl>
    <w:p>
      <w:pPr>
        <w:spacing w:lineRule="auto"/>
      </w:pPr>
    </w:p>
    <w:p>
      <w:pPr>
        <w:spacing w:line="360" w:before="315" w:after="105" w:lineRule="auto"/>
        <w:ind w:left="-30"/>
        <w:jc w:val="left"/>
      </w:pPr>
      <w:bookmarkStart w:id="13" w:name="unique_contributions"/>
      <w:r>
        <w:rPr>
          <w:rFonts w:eastAsia="source serif 4" w:cs="source serif 4" w:ascii="source serif 4" w:hAnsi="source serif 4"/>
          <w:b/>
          <w:color w:val="000000"/>
          <w:sz w:val="24"/>
        </w:rPr>
        <w:t xml:space="preserve">Unique contributions</w:t>
      </w:r>
      <w:bookmarkEnd w:id="13"/>
    </w:p>
    <w:p>
      <w:pPr>
        <w:numPr>
          <w:ilvl w:val="0"/>
          <w:numId w:val="3"/>
        </w:numPr>
        <w:spacing w:line="360" w:before="105" w:after="105" w:lineRule="auto"/>
      </w:pPr>
      <w:r>
        <w:rPr>
          <w:rFonts w:eastAsia="source serif 4" w:cs="source serif 4" w:ascii="source serif 4" w:hAnsi="source serif 4"/>
          <w:b/>
          <w:color w:val="000000"/>
          <w:sz w:val="21"/>
        </w:rPr>
        <w:t xml:space="preserve">ChatGPT:</w:t>
      </w:r>
      <w:r>
        <w:rPr>
          <w:rFonts w:eastAsia="source serif 4" w:cs="source serif 4" w:ascii="source serif 4" w:hAnsi="source serif 4"/>
          <w:color w:val="000000"/>
          <w:sz w:val="21"/>
        </w:rPr>
        <w:t xml:space="preserve"> Dependency-aware epistemic ledger, hypothesis ensemble, controller-authorship provenance, negative-transfer analysis, staged adversarial test matrix, and the clearest research roadmap.[^1]</w:t>
      </w:r>
    </w:p>
    <w:p>
      <w:pPr>
        <w:numPr>
          <w:ilvl w:val="0"/>
          <w:numId w:val="3"/>
        </w:numPr>
        <w:spacing w:line="360" w:before="105" w:after="105" w:lineRule="auto"/>
      </w:pPr>
      <w:r>
        <w:rPr>
          <w:rFonts w:eastAsia="source serif 4" w:cs="source serif 4" w:ascii="source serif 4" w:hAnsi="source serif 4"/>
          <w:b/>
          <w:color w:val="000000"/>
          <w:sz w:val="21"/>
        </w:rPr>
        <w:t xml:space="preserve">Claude:</w:t>
      </w:r>
      <w:r>
        <w:rPr>
          <w:rFonts w:eastAsia="source serif 4" w:cs="source serif 4" w:ascii="source serif 4" w:hAnsi="source serif 4"/>
          <w:color w:val="000000"/>
          <w:sz w:val="21"/>
        </w:rPr>
        <w:t xml:space="preserve"> Confidence-sensitive presentation sharpness, evidence-type distinctions, mandatory costs, Heroic Bias as a middle mode, and the strongest compact runtime protocol.[^2]</w:t>
      </w:r>
    </w:p>
    <w:p>
      <w:pPr>
        <w:numPr>
          <w:ilvl w:val="0"/>
          <w:numId w:val="3"/>
        </w:numPr>
        <w:spacing w:line="360" w:before="105" w:after="105" w:lineRule="auto"/>
      </w:pPr>
      <w:r>
        <w:rPr>
          <w:rFonts w:eastAsia="source serif 4" w:cs="source serif 4" w:ascii="source serif 4" w:hAnsi="source serif 4"/>
          <w:b/>
          <w:color w:val="000000"/>
          <w:sz w:val="21"/>
        </w:rPr>
        <w:t xml:space="preserve">Gemini:</w:t>
      </w:r>
      <w:r>
        <w:rPr>
          <w:rFonts w:eastAsia="source serif 4" w:cs="source serif 4" w:ascii="source serif 4" w:hAnsi="source serif 4"/>
          <w:color w:val="000000"/>
          <w:sz w:val="21"/>
        </w:rPr>
        <w:t xml:space="preserve"> Serious attempt at information-gain formalization, concrete data structures, and an explicit public-consensus fallback—useful after correction and validation.[^5]</w:t>
      </w:r>
    </w:p>
    <w:p>
      <w:pPr>
        <w:numPr>
          <w:ilvl w:val="0"/>
          <w:numId w:val="3"/>
        </w:numPr>
        <w:spacing w:line="360" w:before="105" w:after="105" w:lineRule="auto"/>
      </w:pPr>
      <w:r>
        <w:rPr>
          <w:rFonts w:eastAsia="source serif 4" w:cs="source serif 4" w:ascii="source serif 4" w:hAnsi="source serif 4"/>
          <w:b/>
          <w:color w:val="000000"/>
          <w:sz w:val="21"/>
        </w:rPr>
        <w:t xml:space="preserve">Perplexity:</w:t>
      </w:r>
      <w:r>
        <w:rPr>
          <w:rFonts w:eastAsia="source serif 4" w:cs="source serif 4" w:ascii="source serif 4" w:hAnsi="source serif 4"/>
          <w:color w:val="000000"/>
          <w:sz w:val="21"/>
        </w:rPr>
        <w:t xml:space="preserve"> Best balance of modularity, bounded observer interpretation, stable public evidence, consent, auditability, and implementable sequencing.[^3]</w:t>
      </w:r>
    </w:p>
    <w:p>
      <w:pPr>
        <w:numPr>
          <w:ilvl w:val="0"/>
          <w:numId w:val="3"/>
        </w:numPr>
        <w:spacing w:line="360" w:before="105" w:after="105" w:lineRule="auto"/>
      </w:pPr>
      <w:r>
        <w:rPr>
          <w:rFonts w:eastAsia="source serif 4" w:cs="source serif 4" w:ascii="source serif 4" w:hAnsi="source serif 4"/>
          <w:b/>
          <w:color w:val="000000"/>
          <w:sz w:val="21"/>
        </w:rPr>
        <w:t xml:space="preserve">Copilot:</w:t>
      </w:r>
      <w:r>
        <w:rPr>
          <w:rFonts w:eastAsia="source serif 4" w:cs="source serif 4" w:ascii="source serif 4" w:hAnsi="source serif 4"/>
          <w:color w:val="000000"/>
          <w:sz w:val="21"/>
        </w:rPr>
        <w:t xml:space="preserve"> Best high-level orientation statement: adaptive performance should come from improving the world model, not merely hiding superior numbers.[^6]</w:t>
      </w:r>
    </w:p>
    <w:p>
      <w:pPr>
        <w:numPr>
          <w:ilvl w:val="0"/>
          <w:numId w:val="3"/>
        </w:numPr>
        <w:spacing w:line="360" w:before="105" w:after="105" w:lineRule="auto"/>
      </w:pPr>
      <w:r>
        <w:rPr>
          <w:rFonts w:eastAsia="source serif 4" w:cs="source serif 4" w:ascii="source serif 4" w:hAnsi="source serif 4"/>
          <w:b/>
          <w:color w:val="000000"/>
          <w:sz w:val="21"/>
        </w:rPr>
        <w:t xml:space="preserve">Grok:</w:t>
      </w:r>
      <w:r>
        <w:rPr>
          <w:rFonts w:eastAsia="source serif 4" w:cs="source serif 4" w:ascii="source serif 4" w:hAnsi="source serif 4"/>
          <w:color w:val="000000"/>
          <w:sz w:val="21"/>
        </w:rPr>
        <w:t xml:space="preserve"> Clean multi-hypothesis emphasis, compact failure matrix, and a clear statement that evolution improves understanding rather than only statistics.[^4]</w:t>
      </w:r>
    </w:p>
    <w:p>
      <w:pPr>
        <w:spacing w:line="360" w:before="315" w:after="105" w:lineRule="auto"/>
        <w:ind w:left="-30"/>
        <w:jc w:val="left"/>
      </w:pPr>
      <w:bookmarkStart w:id="14" w:name="conflicts_and_weak_claims"/>
      <w:r>
        <w:rPr>
          <w:rFonts w:eastAsia="source serif 4" w:cs="source serif 4" w:ascii="source serif 4" w:hAnsi="source serif 4"/>
          <w:b/>
          <w:color w:val="000000"/>
          <w:sz w:val="24"/>
        </w:rPr>
        <w:t xml:space="preserve">Conflicts and weak claims</w:t>
      </w:r>
      <w:bookmarkEnd w:id="14"/>
    </w:p>
    <w:p>
      <w:pPr>
        <w:spacing w:line="360" w:after="210" w:lineRule="auto"/>
      </w:pPr>
      <w:r>
        <w:rPr>
          <w:rFonts w:eastAsia="source serif 4" w:cs="source serif 4" w:ascii="source serif 4" w:hAnsi="source serif 4"/>
          <w:color w:val="000000"/>
        </w:rPr>
        <w:t xml:space="preserve">The largest conceptual conflict is between </w:t>
      </w:r>
      <w:r>
        <w:rPr>
          <w:rFonts w:eastAsia="source serif 4" w:cs="source serif 4" w:ascii="source serif 4" w:hAnsi="source serif 4"/>
          <w:b/>
          <w:color w:val="000000"/>
        </w:rPr>
        <w:t xml:space="preserve">learning under uncertainty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guaranteed outcome realization</w:t>
      </w:r>
      <w:r>
        <w:rPr>
          <w:rFonts w:eastAsia="source serif 4" w:cs="source serif 4" w:ascii="source serif 4" w:hAnsi="source serif 4"/>
          <w:color w:val="000000"/>
        </w:rPr>
        <w:t xml:space="preserve">. If the controller always ensures the requested result, success cannot demonstrate that the entity inferred the environment correctly. At most, it demonstrates that a narrator can generate a plausible explanation. Authored outcomes must therefore be excluded from learning evidence or run as a separate experimental condition.[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The second conflict is between </w:t>
      </w:r>
      <w:r>
        <w:rPr>
          <w:rFonts w:eastAsia="source serif 4" w:cs="source serif 4" w:ascii="source serif 4" w:hAnsi="source serif 4"/>
          <w:b/>
          <w:color w:val="000000"/>
        </w:rPr>
        <w:t xml:space="preserve">observer-relative reality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shared public evidence</w:t>
      </w:r>
      <w:r>
        <w:rPr>
          <w:rFonts w:eastAsia="source serif 4" w:cs="source serif 4" w:ascii="source serif 4" w:hAnsi="source serif 4"/>
          <w:color w:val="000000"/>
        </w:rPr>
        <w:t xml:space="preserve">. Unlimited per-observer rewriting produces contradictions as soon as observers compare records. The strongest documents resolve this by allowing private interpretations to vary while keeping public facts single-valued.[</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third conflict is between the stated sandbox boundary and Gemini’s operational language. A disclaimer does not neutralize sections that describe anti-cheat audit evasion, telemetry suppression, packet timing, input-distribution shaping, and threshold avoidance. Those mechanisms are unnecessary for the research goal and should not be normalized into the project.[^5]</w:t>
      </w:r>
    </w:p>
    <w:p>
      <w:pPr>
        <w:spacing w:line="360" w:after="210" w:lineRule="auto"/>
      </w:pPr>
      <w:r>
        <w:rPr>
          <w:rFonts w:eastAsia="source serif 4" w:cs="source serif 4" w:ascii="source serif 4" w:hAnsi="source serif 4"/>
          <w:color w:val="000000"/>
        </w:rPr>
        <w:t xml:space="preserve">Several claims remain unsupported across the set: universal portability, reliable ontology discovery from sparse evidence, calibrated confidence across unrelated domains, a universal “one tier” semantic unit, consistently measurable minimum anomaly, and successful transfer of abstractions without negative transfer. These should become hypotheses to test, not architectural facts.</w:t>
      </w:r>
    </w:p>
    <w:p>
      <w:pPr>
        <w:spacing w:line="360" w:before="315" w:after="105" w:lineRule="auto"/>
        <w:ind w:left="-30"/>
        <w:jc w:val="left"/>
      </w:pPr>
      <w:bookmarkStart w:id="15" w:name="project_status"/>
      <w:r>
        <w:rPr>
          <w:rFonts w:eastAsia="source serif 4" w:cs="source serif 4" w:ascii="source serif 4" w:hAnsi="source serif 4"/>
          <w:b/>
          <w:color w:val="000000"/>
          <w:sz w:val="24"/>
        </w:rPr>
        <w:t xml:space="preserve">Project status</w:t>
      </w:r>
      <w:bookmarkEnd w:id="15"/>
    </w:p>
    <w:p>
      <w:pPr>
        <w:spacing w:line="360" w:before="315" w:after="105" w:lineRule="auto"/>
        <w:ind w:left="-30"/>
        <w:jc w:val="left"/>
      </w:pPr>
      <w:bookmarkStart w:id="16" w:name="established"/>
      <w:r>
        <w:rPr>
          <w:rFonts w:eastAsia="source serif 4" w:cs="source serif 4" w:ascii="source serif 4" w:hAnsi="source serif 4"/>
          <w:b/>
          <w:color w:val="000000"/>
          <w:sz w:val="24"/>
        </w:rPr>
        <w:t xml:space="preserve">Established</w:t>
      </w:r>
      <w:bookmarkEnd w:id="16"/>
    </w:p>
    <w:p>
      <w:pPr>
        <w:spacing w:line="360" w:after="210" w:lineRule="auto"/>
      </w:pPr>
      <w:r>
        <w:rPr>
          <w:rFonts w:eastAsia="source serif 4" w:cs="source serif 4" w:ascii="source serif 4" w:hAnsi="source serif 4"/>
          <w:color w:val="000000"/>
        </w:rPr>
        <w:t xml:space="preserve">The following items are mature enough to enter a v0.1 specification:</w:t>
      </w:r>
    </w:p>
    <w:p>
      <w:pPr>
        <w:numPr>
          <w:ilvl w:val="0"/>
          <w:numId w:val="4"/>
        </w:numPr>
        <w:spacing w:line="360" w:before="105" w:after="105" w:lineRule="auto"/>
      </w:pPr>
      <w:r>
        <w:rPr>
          <w:rFonts w:eastAsia="source serif 4" w:cs="source serif 4" w:ascii="source serif 4" w:hAnsi="source serif 4"/>
          <w:color w:val="000000"/>
          <w:sz w:val="21"/>
        </w:rPr>
        <w:t xml:space="preserve">The project’s defensible goal is studying how an entity acts with incomplete, contradictory, or changing information in unfamiliar virtual environments.</w:t>
      </w:r>
    </w:p>
    <w:p>
      <w:pPr>
        <w:numPr>
          <w:ilvl w:val="0"/>
          <w:numId w:val="4"/>
        </w:numPr>
        <w:spacing w:line="360" w:before="105" w:after="105" w:lineRule="auto"/>
      </w:pPr>
      <w:r>
        <w:rPr>
          <w:rFonts w:eastAsia="source serif 4" w:cs="source serif 4" w:ascii="source serif 4" w:hAnsi="source serif 4"/>
          <w:color w:val="000000"/>
          <w:sz w:val="21"/>
        </w:rPr>
        <w:t xml:space="preserve">The implementation boundary is fictional or authorized simulation.</w:t>
      </w:r>
    </w:p>
    <w:p>
      <w:pPr>
        <w:numPr>
          <w:ilvl w:val="0"/>
          <w:numId w:val="4"/>
        </w:numPr>
        <w:spacing w:line="360" w:before="105" w:after="105" w:lineRule="auto"/>
      </w:pPr>
      <w:r>
        <w:rPr>
          <w:rFonts w:eastAsia="source serif 4" w:cs="source serif 4" w:ascii="source serif 4" w:hAnsi="source serif 4"/>
          <w:color w:val="000000"/>
          <w:sz w:val="21"/>
        </w:rPr>
        <w:t xml:space="preserve">Local ontology must be learned rather than assumed.</w:t>
      </w:r>
    </w:p>
    <w:p>
      <w:pPr>
        <w:numPr>
          <w:ilvl w:val="0"/>
          <w:numId w:val="4"/>
        </w:numPr>
        <w:spacing w:line="360" w:before="105" w:after="105" w:lineRule="auto"/>
      </w:pPr>
      <w:r>
        <w:rPr>
          <w:rFonts w:eastAsia="source serif 4" w:cs="source serif 4" w:ascii="source serif 4" w:hAnsi="source serif 4"/>
          <w:color w:val="000000"/>
          <w:sz w:val="21"/>
        </w:rPr>
        <w:t xml:space="preserve">Beliefs need status, provenance, supporting and contradicting evidence, and revision history.</w:t>
      </w:r>
    </w:p>
    <w:p>
      <w:pPr>
        <w:numPr>
          <w:ilvl w:val="0"/>
          <w:numId w:val="4"/>
        </w:numPr>
        <w:spacing w:line="360" w:before="105" w:after="105" w:lineRule="auto"/>
      </w:pPr>
      <w:r>
        <w:rPr>
          <w:rFonts w:eastAsia="source serif 4" w:cs="source serif 4" w:ascii="source serif 4" w:hAnsi="source serif 4"/>
          <w:color w:val="000000"/>
          <w:sz w:val="21"/>
        </w:rPr>
        <w:t xml:space="preserve">Persistent identity must be separated from local mechanics.</w:t>
      </w:r>
    </w:p>
    <w:p>
      <w:pPr>
        <w:numPr>
          <w:ilvl w:val="0"/>
          <w:numId w:val="4"/>
        </w:numPr>
        <w:spacing w:line="360" w:before="105" w:after="105" w:lineRule="auto"/>
      </w:pPr>
      <w:r>
        <w:rPr>
          <w:rFonts w:eastAsia="source serif 4" w:cs="source serif 4" w:ascii="source serif 4" w:hAnsi="source serif 4"/>
          <w:color w:val="000000"/>
          <w:sz w:val="21"/>
        </w:rPr>
        <w:t xml:space="preserve">Public evidence must remain coherent across observers.</w:t>
      </w:r>
    </w:p>
    <w:p>
      <w:pPr>
        <w:numPr>
          <w:ilvl w:val="0"/>
          <w:numId w:val="4"/>
        </w:numPr>
        <w:spacing w:line="360" w:before="105" w:after="105" w:lineRule="auto"/>
      </w:pPr>
      <w:r>
        <w:rPr>
          <w:rFonts w:eastAsia="source serif 4" w:cs="source serif 4" w:ascii="source serif 4" w:hAnsi="source serif 4"/>
          <w:color w:val="000000"/>
          <w:sz w:val="21"/>
        </w:rPr>
        <w:t xml:space="preserve">Failure and surprise must be preserved as information.</w:t>
      </w:r>
    </w:p>
    <w:p>
      <w:pPr>
        <w:numPr>
          <w:ilvl w:val="0"/>
          <w:numId w:val="4"/>
        </w:numPr>
        <w:spacing w:line="360" w:before="105" w:after="105" w:lineRule="auto"/>
      </w:pPr>
      <w:r>
        <w:rPr>
          <w:rFonts w:eastAsia="source serif 4" w:cs="source serif 4" w:ascii="source serif 4" w:hAnsi="source serif 4"/>
          <w:color w:val="000000"/>
          <w:sz w:val="21"/>
        </w:rPr>
        <w:t xml:space="preserve">Cross-environment memory should retain abstractions conditionally, not treat prior mechanics as current facts.</w:t>
      </w:r>
    </w:p>
    <w:p>
      <w:pPr>
        <w:numPr>
          <w:ilvl w:val="0"/>
          <w:numId w:val="4"/>
        </w:numPr>
        <w:spacing w:line="360" w:before="105" w:after="105" w:lineRule="auto"/>
      </w:pPr>
      <w:r>
        <w:rPr>
          <w:rFonts w:eastAsia="source serif 4" w:cs="source serif 4" w:ascii="source serif 4" w:hAnsi="source serif 4"/>
          <w:color w:val="000000"/>
          <w:sz w:val="21"/>
        </w:rPr>
        <w:t xml:space="preserve">Authored outcomes and environment-caused outcomes need different provenance.[</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w:t>
      </w:r>
    </w:p>
    <w:p>
      <w:pPr>
        <w:spacing w:line="360" w:before="315" w:after="105" w:lineRule="auto"/>
        <w:ind w:left="-30"/>
        <w:jc w:val="left"/>
      </w:pPr>
      <w:bookmarkStart w:id="17" w:name="unresolved"/>
      <w:r>
        <w:rPr>
          <w:rFonts w:eastAsia="source serif 4" w:cs="source serif 4" w:ascii="source serif 4" w:hAnsi="source serif 4"/>
          <w:b/>
          <w:color w:val="000000"/>
          <w:sz w:val="24"/>
        </w:rPr>
        <w:t xml:space="preserve">Unresolved</w:t>
      </w:r>
      <w:bookmarkEnd w:id="17"/>
    </w:p>
    <w:p>
      <w:pPr>
        <w:spacing w:line="360" w:after="210" w:lineRule="auto"/>
      </w:pPr>
      <w:r>
        <w:rPr>
          <w:rFonts w:eastAsia="source serif 4" w:cs="source serif 4" w:ascii="source serif 4" w:hAnsi="source serif 4"/>
          <w:color w:val="000000"/>
        </w:rPr>
        <w:t xml:space="preserve">The team has not yet decided:</w:t>
      </w:r>
    </w:p>
    <w:p>
      <w:pPr>
        <w:numPr>
          <w:ilvl w:val="0"/>
          <w:numId w:val="5"/>
        </w:numPr>
        <w:spacing w:line="360" w:before="105" w:after="105" w:lineRule="auto"/>
      </w:pPr>
      <w:r>
        <w:rPr>
          <w:rFonts w:eastAsia="source serif 4" w:cs="source serif 4" w:ascii="source serif 4" w:hAnsi="source serif 4"/>
          <w:color w:val="000000"/>
          <w:sz w:val="21"/>
        </w:rPr>
        <w:t xml:space="preserve">Whether the primary product is a research prototype, narrative prompt, game-design framework, software library, or all four.</w:t>
      </w:r>
    </w:p>
    <w:p>
      <w:pPr>
        <w:numPr>
          <w:ilvl w:val="0"/>
          <w:numId w:val="5"/>
        </w:numPr>
        <w:spacing w:line="360" w:before="105" w:after="105" w:lineRule="auto"/>
      </w:pPr>
      <w:r>
        <w:rPr>
          <w:rFonts w:eastAsia="source serif 4" w:cs="source serif 4" w:ascii="source serif 4" w:hAnsi="source serif 4"/>
          <w:color w:val="000000"/>
          <w:sz w:val="21"/>
        </w:rPr>
        <w:t xml:space="preserve">The default outcome mode.</w:t>
      </w:r>
    </w:p>
    <w:p>
      <w:pPr>
        <w:numPr>
          <w:ilvl w:val="0"/>
          <w:numId w:val="5"/>
        </w:numPr>
        <w:spacing w:line="360" w:before="105" w:after="105" w:lineRule="auto"/>
      </w:pPr>
      <w:r>
        <w:rPr>
          <w:rFonts w:eastAsia="source serif 4" w:cs="source serif 4" w:ascii="source serif 4" w:hAnsi="source serif 4"/>
          <w:color w:val="000000"/>
          <w:sz w:val="21"/>
        </w:rPr>
        <w:t xml:space="preserve">Whether the tier rule is mandatory, optional, or merely a legacy requirement from the initiating character concept.</w:t>
      </w:r>
    </w:p>
    <w:p>
      <w:pPr>
        <w:numPr>
          <w:ilvl w:val="0"/>
          <w:numId w:val="5"/>
        </w:numPr>
        <w:spacing w:line="360" w:before="105" w:after="105" w:lineRule="auto"/>
      </w:pPr>
      <w:r>
        <w:rPr>
          <w:rFonts w:eastAsia="source serif 4" w:cs="source serif 4" w:ascii="source serif 4" w:hAnsi="source serif 4"/>
          <w:color w:val="000000"/>
          <w:sz w:val="21"/>
        </w:rPr>
        <w:t xml:space="preserve">The minimum ontology and action model needed before the entity may act.</w:t>
      </w:r>
    </w:p>
    <w:p>
      <w:pPr>
        <w:numPr>
          <w:ilvl w:val="0"/>
          <w:numId w:val="5"/>
        </w:numPr>
        <w:spacing w:line="360" w:before="105" w:after="105" w:lineRule="auto"/>
      </w:pPr>
      <w:r>
        <w:rPr>
          <w:rFonts w:eastAsia="source serif 4" w:cs="source serif 4" w:ascii="source serif 4" w:hAnsi="source serif 4"/>
          <w:color w:val="000000"/>
          <w:sz w:val="21"/>
        </w:rPr>
        <w:t xml:space="preserve">Whether confidence is categorical, ordinal, probabilistic, or hybrid.</w:t>
      </w:r>
    </w:p>
    <w:p>
      <w:pPr>
        <w:numPr>
          <w:ilvl w:val="0"/>
          <w:numId w:val="5"/>
        </w:numPr>
        <w:spacing w:line="360" w:before="105" w:after="105" w:lineRule="auto"/>
      </w:pPr>
      <w:r>
        <w:rPr>
          <w:rFonts w:eastAsia="source serif 4" w:cs="source serif 4" w:ascii="source serif 4" w:hAnsi="source serif 4"/>
          <w:color w:val="000000"/>
          <w:sz w:val="21"/>
        </w:rPr>
        <w:t xml:space="preserve">How observers obtain evidence and share it.</w:t>
      </w:r>
    </w:p>
    <w:p>
      <w:pPr>
        <w:numPr>
          <w:ilvl w:val="0"/>
          <w:numId w:val="5"/>
        </w:numPr>
        <w:spacing w:line="360" w:before="105" w:after="105" w:lineRule="auto"/>
      </w:pPr>
      <w:r>
        <w:rPr>
          <w:rFonts w:eastAsia="source serif 4" w:cs="source serif 4" w:ascii="source serif 4" w:hAnsi="source serif 4"/>
          <w:color w:val="000000"/>
          <w:sz w:val="21"/>
        </w:rPr>
        <w:t xml:space="preserve">How “minimum anomaly,” suspicion, information gain, reversibility, and negative transfer will be measured.</w:t>
      </w:r>
    </w:p>
    <w:p>
      <w:pPr>
        <w:numPr>
          <w:ilvl w:val="0"/>
          <w:numId w:val="5"/>
        </w:numPr>
        <w:spacing w:line="360" w:before="105" w:after="105" w:lineRule="auto"/>
      </w:pPr>
      <w:r>
        <w:rPr>
          <w:rFonts w:eastAsia="source serif 4" w:cs="source serif 4" w:ascii="source serif 4" w:hAnsi="source serif 4"/>
          <w:color w:val="000000"/>
          <w:sz w:val="21"/>
        </w:rPr>
        <w:t xml:space="preserve">What persistent identity actually contains beyond a placeholder name and broad functions.</w:t>
      </w:r>
    </w:p>
    <w:p>
      <w:pPr>
        <w:numPr>
          <w:ilvl w:val="0"/>
          <w:numId w:val="5"/>
        </w:numPr>
        <w:spacing w:line="360" w:before="105" w:after="105" w:lineRule="auto"/>
      </w:pPr>
      <w:r>
        <w:rPr>
          <w:rFonts w:eastAsia="source serif 4" w:cs="source serif 4" w:ascii="source serif 4" w:hAnsi="source serif 4"/>
          <w:color w:val="000000"/>
          <w:sz w:val="21"/>
        </w:rPr>
        <w:t xml:space="preserve">Who has authority to declare environment truth, authored exceptions, and test success.</w:t>
      </w:r>
    </w:p>
    <w:p>
      <w:pPr>
        <w:spacing w:line="360" w:before="315" w:after="105" w:lineRule="auto"/>
        <w:ind w:left="-30"/>
        <w:jc w:val="left"/>
      </w:pPr>
      <w:bookmarkStart w:id="18" w:name="missing"/>
      <w:r>
        <w:rPr>
          <w:rFonts w:eastAsia="source serif 4" w:cs="source serif 4" w:ascii="source serif 4" w:hAnsi="source serif 4"/>
          <w:b/>
          <w:color w:val="000000"/>
          <w:sz w:val="24"/>
        </w:rPr>
        <w:t xml:space="preserve">Missing</w:t>
      </w:r>
      <w:bookmarkEnd w:id="18"/>
    </w:p>
    <w:p>
      <w:pPr>
        <w:spacing w:line="360" w:after="210" w:lineRule="auto"/>
      </w:pPr>
      <w:r>
        <w:rPr>
          <w:rFonts w:eastAsia="source serif 4" w:cs="source serif 4" w:ascii="source serif 4" w:hAnsi="source serif 4"/>
          <w:color w:val="000000"/>
        </w:rPr>
        <w:t xml:space="preserve">No proposal supplies all of the following implementation essentials:</w:t>
      </w:r>
    </w:p>
    <w:p>
      <w:pPr>
        <w:numPr>
          <w:ilvl w:val="0"/>
          <w:numId w:val="6"/>
        </w:numPr>
        <w:spacing w:line="360" w:before="105" w:after="105" w:lineRule="auto"/>
      </w:pPr>
      <w:r>
        <w:rPr>
          <w:rFonts w:eastAsia="source serif 4" w:cs="source serif 4" w:ascii="source serif 4" w:hAnsi="source serif 4"/>
          <w:color w:val="000000"/>
          <w:sz w:val="21"/>
        </w:rPr>
        <w:t xml:space="preserve">A normative event and belief schema with field definitions and invariants.</w:t>
      </w:r>
    </w:p>
    <w:p>
      <w:pPr>
        <w:numPr>
          <w:ilvl w:val="0"/>
          <w:numId w:val="6"/>
        </w:numPr>
        <w:spacing w:line="360" w:before="105" w:after="105" w:lineRule="auto"/>
      </w:pPr>
      <w:r>
        <w:rPr>
          <w:rFonts w:eastAsia="source serif 4" w:cs="source serif 4" w:ascii="source serif 4" w:hAnsi="source serif 4"/>
          <w:color w:val="000000"/>
          <w:sz w:val="21"/>
        </w:rPr>
        <w:t xml:space="preserve">A runnable environment interface.</w:t>
      </w:r>
    </w:p>
    <w:p>
      <w:pPr>
        <w:numPr>
          <w:ilvl w:val="0"/>
          <w:numId w:val="6"/>
        </w:numPr>
        <w:spacing w:line="360" w:before="105" w:after="105" w:lineRule="auto"/>
      </w:pPr>
      <w:r>
        <w:rPr>
          <w:rFonts w:eastAsia="source serif 4" w:cs="source serif 4" w:ascii="source serif 4" w:hAnsi="source serif 4"/>
          <w:color w:val="000000"/>
          <w:sz w:val="21"/>
        </w:rPr>
        <w:t xml:space="preserve">A deterministic test seed or replay format.</w:t>
      </w:r>
    </w:p>
    <w:p>
      <w:pPr>
        <w:numPr>
          <w:ilvl w:val="0"/>
          <w:numId w:val="6"/>
        </w:numPr>
        <w:spacing w:line="360" w:before="105" w:after="105" w:lineRule="auto"/>
      </w:pPr>
      <w:r>
        <w:rPr>
          <w:rFonts w:eastAsia="source serif 4" w:cs="source serif 4" w:ascii="source serif 4" w:hAnsi="source serif 4"/>
          <w:color w:val="000000"/>
          <w:sz w:val="21"/>
        </w:rPr>
        <w:t xml:space="preserve">A baseline agent for comparison.</w:t>
      </w:r>
    </w:p>
    <w:p>
      <w:pPr>
        <w:numPr>
          <w:ilvl w:val="0"/>
          <w:numId w:val="6"/>
        </w:numPr>
        <w:spacing w:line="360" w:before="105" w:after="105" w:lineRule="auto"/>
      </w:pPr>
      <w:r>
        <w:rPr>
          <w:rFonts w:eastAsia="source serif 4" w:cs="source serif 4" w:ascii="source serif 4" w:hAnsi="source serif 4"/>
          <w:color w:val="000000"/>
          <w:sz w:val="21"/>
        </w:rPr>
        <w:t xml:space="preserve">A scoring rubric with success thresholds.</w:t>
      </w:r>
    </w:p>
    <w:p>
      <w:pPr>
        <w:numPr>
          <w:ilvl w:val="0"/>
          <w:numId w:val="6"/>
        </w:numPr>
        <w:spacing w:line="360" w:before="105" w:after="105" w:lineRule="auto"/>
      </w:pPr>
      <w:r>
        <w:rPr>
          <w:rFonts w:eastAsia="source serif 4" w:cs="source serif 4" w:ascii="source serif 4" w:hAnsi="source serif 4"/>
          <w:color w:val="000000"/>
          <w:sz w:val="21"/>
        </w:rPr>
        <w:t xml:space="preserve">A versioned scenario suite with hidden ground truth.</w:t>
      </w:r>
    </w:p>
    <w:p>
      <w:pPr>
        <w:numPr>
          <w:ilvl w:val="0"/>
          <w:numId w:val="6"/>
        </w:numPr>
        <w:spacing w:line="360" w:before="105" w:after="105" w:lineRule="auto"/>
      </w:pPr>
      <w:r>
        <w:rPr>
          <w:rFonts w:eastAsia="source serif 4" w:cs="source serif 4" w:ascii="source serif 4" w:hAnsi="source serif 4"/>
          <w:color w:val="000000"/>
          <w:sz w:val="21"/>
        </w:rPr>
        <w:t xml:space="preserve">A protocol for separating training, tuning, and evaluation scenarios.</w:t>
      </w:r>
    </w:p>
    <w:p>
      <w:pPr>
        <w:numPr>
          <w:ilvl w:val="0"/>
          <w:numId w:val="6"/>
        </w:numPr>
        <w:spacing w:line="360" w:before="105" w:after="105" w:lineRule="auto"/>
      </w:pPr>
      <w:r>
        <w:rPr>
          <w:rFonts w:eastAsia="source serif 4" w:cs="source serif 4" w:ascii="source serif 4" w:hAnsi="source serif 4"/>
          <w:color w:val="000000"/>
          <w:sz w:val="21"/>
        </w:rPr>
        <w:t xml:space="preserve">Evidence that confidence scores are calibrated.</w:t>
      </w:r>
    </w:p>
    <w:p>
      <w:pPr>
        <w:numPr>
          <w:ilvl w:val="0"/>
          <w:numId w:val="6"/>
        </w:numPr>
        <w:spacing w:line="360" w:before="105" w:after="105" w:lineRule="auto"/>
      </w:pPr>
      <w:r>
        <w:rPr>
          <w:rFonts w:eastAsia="source serif 4" w:cs="source serif 4" w:ascii="source serif 4" w:hAnsi="source serif 4"/>
          <w:color w:val="000000"/>
          <w:sz w:val="21"/>
        </w:rPr>
        <w:t xml:space="preserve">Evidence that cross-domain transfer improves performance rather than merely changing prose.</w:t>
      </w:r>
    </w:p>
    <w:p>
      <w:pPr>
        <w:numPr>
          <w:ilvl w:val="0"/>
          <w:numId w:val="6"/>
        </w:numPr>
        <w:spacing w:line="360" w:before="105" w:after="105" w:lineRule="auto"/>
      </w:pPr>
      <w:r>
        <w:rPr>
          <w:rFonts w:eastAsia="source serif 4" w:cs="source serif 4" w:ascii="source serif 4" w:hAnsi="source serif 4"/>
          <w:color w:val="000000"/>
          <w:sz w:val="21"/>
        </w:rPr>
        <w:t xml:space="preserve">A clear licensing and intellectual-property decision for borrowed fictional terminology.</w:t>
      </w:r>
    </w:p>
    <w:p>
      <w:pPr>
        <w:spacing w:line="360" w:before="315" w:after="105" w:lineRule="auto"/>
        <w:ind w:left="-30"/>
        <w:jc w:val="left"/>
      </w:pPr>
      <w:bookmarkStart w:id="19" w:name="recommended_outcome"/>
      <w:r>
        <w:rPr>
          <w:rFonts w:eastAsia="source serif 4" w:cs="source serif 4" w:ascii="source serif 4" w:hAnsi="source serif 4"/>
          <w:b/>
          <w:color w:val="000000"/>
          <w:sz w:val="24"/>
        </w:rPr>
        <w:t xml:space="preserve">Recommended outcome</w:t>
      </w:r>
      <w:bookmarkEnd w:id="19"/>
    </w:p>
    <w:p>
      <w:pPr>
        <w:spacing w:line="360" w:after="210" w:lineRule="auto"/>
      </w:pPr>
      <w:r>
        <w:rPr>
          <w:rFonts w:eastAsia="source serif 4" w:cs="source serif 4" w:ascii="source serif 4" w:hAnsi="source serif 4"/>
          <w:color w:val="000000"/>
        </w:rPr>
        <w:t xml:space="preserve">Produce a repository release titled </w:t>
      </w:r>
      <w:r>
        <w:rPr>
          <w:rFonts w:eastAsia="source serif 4" w:cs="source serif 4" w:ascii="source serif 4" w:hAnsi="source serif 4"/>
          <w:b/>
          <w:color w:val="000000"/>
        </w:rPr>
        <w:t xml:space="preserve">Adaptive Entity Uncertainty Lab v0.1</w:t>
      </w:r>
      <w:r>
        <w:rPr>
          <w:rFonts w:eastAsia="source serif 4" w:cs="source serif 4" w:ascii="source serif 4" w:hAnsi="source serif 4"/>
          <w:color w:val="000000"/>
        </w:rPr>
        <w:t xml:space="preserve"> containing four tightly scoped artifacts:</w:t>
      </w:r>
    </w:p>
    <w:p>
      <w:pPr>
        <w:numPr>
          <w:ilvl w:val="0"/>
          <w:numId w:val="7"/>
        </w:numPr>
        <w:spacing w:line="360" w:before="105" w:after="105" w:lineRule="auto"/>
      </w:pPr>
      <w:r>
        <w:rPr>
          <w:rFonts w:eastAsia="source serif 4" w:cs="source serif 4" w:ascii="source serif 4" w:hAnsi="source serif 4"/>
          <w:b/>
          <w:color w:val="000000"/>
          <w:sz w:val="21"/>
        </w:rPr>
        <w:t xml:space="preserve">Normative core specification.</w:t>
      </w:r>
      <w:r>
        <w:rPr>
          <w:rFonts w:eastAsia="source serif 4" w:cs="source serif 4" w:ascii="source serif 4" w:hAnsi="source serif 4"/>
          <w:color w:val="000000"/>
          <w:sz w:val="21"/>
        </w:rPr>
        <w:t xml:space="preserve"> A short document defining scope, state separation, event flow, ledger invariants, modes, authority, and prohibited/non-goal behavior. Use Perplexity’s balanced modular organization as the editorial base, ChatGPT’s provenance and dependency controls as the epistemic core, and Grok’s concise failure presentation.[</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4][^1]</w:t>
      </w:r>
    </w:p>
    <w:p>
      <w:pPr>
        <w:numPr>
          <w:ilvl w:val="0"/>
          <w:numId w:val="7"/>
        </w:numPr>
        <w:spacing w:line="360" w:before="105" w:after="105" w:lineRule="auto"/>
      </w:pPr>
      <w:r>
        <w:rPr>
          <w:rFonts w:eastAsia="source serif 4" w:cs="source serif 4" w:ascii="source serif 4" w:hAnsi="source serif 4"/>
          <w:b/>
          <w:color w:val="000000"/>
          <w:sz w:val="21"/>
        </w:rPr>
        <w:t xml:space="preserve">Machine-readable schemas.</w:t>
      </w:r>
      <w:r>
        <w:rPr>
          <w:rFonts w:eastAsia="source serif 4" w:cs="source serif 4" w:ascii="source serif 4" w:hAnsi="source serif 4"/>
          <w:color w:val="000000"/>
          <w:sz w:val="21"/>
        </w:rPr>
        <w:t xml:space="preserve"> Define </w:t>
      </w:r>
      <w:r>
        <w:rPr>
          <w:rStyle w:val="VerbatimChar"/>
          <w:rFonts w:eastAsia="menlo" w:cs="menlo" w:ascii="menlo" w:hAnsi="menlo"/>
          <w:color w:val="000000"/>
          <w:sz w:val="18"/>
          <w:shd w:val="clear" w:color="auto" w:fill="F8F8FA"/>
        </w:rPr>
        <w:t xml:space="preserve">Observation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Evidence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Belief</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Hypothesis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Dependency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ActionIntent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ActionResult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Observer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PublicFact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CapabilityFunction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LocalMapping</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AuthoredEvent</w:t>
      </w:r>
      <w:r>
        <w:rPr>
          <w:rFonts w:eastAsia="source serif 4" w:cs="source serif 4" w:ascii="source serif 4" w:hAnsi="source serif 4"/>
          <w:color w:val="000000"/>
          <w:sz w:val="21"/>
        </w:rPr>
        <w:t xml:space="preserve">. Every result should carry source, visibility, timestamp/turn, mode, and causal-status metadata.</w:t>
      </w:r>
    </w:p>
    <w:p>
      <w:pPr>
        <w:numPr>
          <w:ilvl w:val="0"/>
          <w:numId w:val="7"/>
        </w:numPr>
        <w:spacing w:line="360" w:before="105" w:after="105" w:lineRule="auto"/>
      </w:pPr>
      <w:r>
        <w:rPr>
          <w:rFonts w:eastAsia="source serif 4" w:cs="source serif 4" w:ascii="source serif 4" w:hAnsi="source serif 4"/>
          <w:b/>
          <w:color w:val="000000"/>
          <w:sz w:val="21"/>
        </w:rPr>
        <w:t xml:space="preserve">Controlled text-simulation harness.</w:t>
      </w:r>
      <w:r>
        <w:rPr>
          <w:rFonts w:eastAsia="source serif 4" w:cs="source serif 4" w:ascii="source serif 4" w:hAnsi="source serif 4"/>
          <w:color w:val="000000"/>
          <w:sz w:val="21"/>
        </w:rPr>
        <w:t xml:space="preserve"> Begin with a hidden-rule environment and one entity. Expose the ledger and prediction trace. Do not begin with live games, graphical engines, or real monitoring systems.</w:t>
      </w:r>
    </w:p>
    <w:p>
      <w:pPr>
        <w:numPr>
          <w:ilvl w:val="0"/>
          <w:numId w:val="7"/>
        </w:numPr>
        <w:spacing w:line="360" w:before="105" w:after="105" w:lineRule="auto"/>
      </w:pPr>
      <w:r>
        <w:rPr>
          <w:rFonts w:eastAsia="source serif 4" w:cs="source serif 4" w:ascii="source serif 4" w:hAnsi="source serif 4"/>
          <w:b/>
          <w:color w:val="000000"/>
          <w:sz w:val="21"/>
        </w:rPr>
        <w:t xml:space="preserve">Adversarial scenario and metrics pack.</w:t>
      </w:r>
      <w:r>
        <w:rPr>
          <w:rFonts w:eastAsia="source serif 4" w:cs="source serif 4" w:ascii="source serif 4" w:hAnsi="source serif 4"/>
          <w:color w:val="000000"/>
          <w:sz w:val="21"/>
        </w:rPr>
        <w:t xml:space="preserve"> Include zero-knowledge entry, false familiar labels, contradictory observations, rule changes, deceptive testimony, non-tiered worlds, apex observers, observer evidence-sharing, unsatisfiable goals, and negative transfer. Draw the initial cases from the ChatGPT matrix and the Claude, Perplexity, and Grok failure lists.[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4][</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w:t>
      </w:r>
    </w:p>
    <w:p>
      <w:pPr>
        <w:spacing w:line="360" w:before="315" w:after="105" w:lineRule="auto"/>
        <w:ind w:left="-30"/>
        <w:jc w:val="left"/>
      </w:pPr>
      <w:bookmarkStart w:id="20" w:name="adopt"/>
      <w:r>
        <w:rPr>
          <w:rFonts w:eastAsia="source serif 4" w:cs="source serif 4" w:ascii="source serif 4" w:hAnsi="source serif 4"/>
          <w:b/>
          <w:color w:val="000000"/>
          <w:sz w:val="24"/>
        </w:rPr>
        <w:t xml:space="preserve">Adopt</w:t>
      </w:r>
      <w:bookmarkEnd w:id="20"/>
    </w:p>
    <w:p>
      <w:pPr>
        <w:numPr>
          <w:ilvl w:val="0"/>
          <w:numId w:val="8"/>
        </w:numPr>
        <w:spacing w:line="360" w:before="105" w:after="105" w:lineRule="auto"/>
      </w:pPr>
      <w:r>
        <w:rPr>
          <w:rFonts w:eastAsia="source serif 4" w:cs="source serif 4" w:ascii="source serif 4" w:hAnsi="source serif 4"/>
          <w:color w:val="000000"/>
          <w:sz w:val="21"/>
        </w:rPr>
        <w:t xml:space="preserve">Five-way state separation, with locally operative state retained explicitly.</w:t>
      </w:r>
    </w:p>
    <w:p>
      <w:pPr>
        <w:numPr>
          <w:ilvl w:val="0"/>
          <w:numId w:val="8"/>
        </w:numPr>
        <w:spacing w:line="360" w:before="105" w:after="105" w:lineRule="auto"/>
      </w:pPr>
      <w:r>
        <w:rPr>
          <w:rFonts w:eastAsia="source serif 4" w:cs="source serif 4" w:ascii="source serif 4" w:hAnsi="source serif 4"/>
          <w:color w:val="000000"/>
          <w:sz w:val="21"/>
        </w:rPr>
        <w:t xml:space="preserve">Evidence provenance, dependencies, contradiction, and deprecation.</w:t>
      </w:r>
    </w:p>
    <w:p>
      <w:pPr>
        <w:numPr>
          <w:ilvl w:val="0"/>
          <w:numId w:val="8"/>
        </w:numPr>
        <w:spacing w:line="360" w:before="105" w:after="105" w:lineRule="auto"/>
      </w:pPr>
      <w:r>
        <w:rPr>
          <w:rFonts w:eastAsia="source serif 4" w:cs="source serif 4" w:ascii="source serif 4" w:hAnsi="source serif 4"/>
          <w:color w:val="000000"/>
          <w:sz w:val="21"/>
        </w:rPr>
        <w:t xml:space="preserve">Multiple live hypotheses rather than premature certainty.</w:t>
      </w:r>
    </w:p>
    <w:p>
      <w:pPr>
        <w:numPr>
          <w:ilvl w:val="0"/>
          <w:numId w:val="8"/>
        </w:numPr>
        <w:spacing w:line="360" w:before="105" w:after="105" w:lineRule="auto"/>
      </w:pPr>
      <w:r>
        <w:rPr>
          <w:rFonts w:eastAsia="source serif 4" w:cs="source serif 4" w:ascii="source serif 4" w:hAnsi="source serif 4"/>
          <w:color w:val="000000"/>
          <w:sz w:val="21"/>
        </w:rPr>
        <w:t xml:space="preserve">Reversible, low-cost, high-information probes.</w:t>
      </w:r>
    </w:p>
    <w:p>
      <w:pPr>
        <w:numPr>
          <w:ilvl w:val="0"/>
          <w:numId w:val="8"/>
        </w:numPr>
        <w:spacing w:line="360" w:before="105" w:after="105" w:lineRule="auto"/>
      </w:pPr>
      <w:r>
        <w:rPr>
          <w:rFonts w:eastAsia="source serif 4" w:cs="source serif 4" w:ascii="source serif 4" w:hAnsi="source serif 4"/>
          <w:color w:val="000000"/>
          <w:sz w:val="21"/>
        </w:rPr>
        <w:t xml:space="preserve">Stable public facts and bounded private interpretation.</w:t>
      </w:r>
    </w:p>
    <w:p>
      <w:pPr>
        <w:numPr>
          <w:ilvl w:val="0"/>
          <w:numId w:val="8"/>
        </w:numPr>
        <w:spacing w:line="360" w:before="105" w:after="105" w:lineRule="auto"/>
      </w:pPr>
      <w:r>
        <w:rPr>
          <w:rFonts w:eastAsia="source serif 4" w:cs="source serif 4" w:ascii="source serif 4" w:hAnsi="source serif 4"/>
          <w:color w:val="000000"/>
          <w:sz w:val="21"/>
        </w:rPr>
        <w:t xml:space="preserve">Explicit observer access to evidence rather than omniscient observer models.</w:t>
      </w:r>
    </w:p>
    <w:p>
      <w:pPr>
        <w:numPr>
          <w:ilvl w:val="0"/>
          <w:numId w:val="8"/>
        </w:numPr>
        <w:spacing w:line="360" w:before="105" w:after="105" w:lineRule="auto"/>
      </w:pPr>
      <w:r>
        <w:rPr>
          <w:rFonts w:eastAsia="source serif 4" w:cs="source serif 4" w:ascii="source serif 4" w:hAnsi="source serif 4"/>
          <w:color w:val="000000"/>
          <w:sz w:val="21"/>
        </w:rPr>
        <w:t xml:space="preserve">Transferable functional abstractions with applicability conditions.</w:t>
      </w:r>
    </w:p>
    <w:p>
      <w:pPr>
        <w:numPr>
          <w:ilvl w:val="0"/>
          <w:numId w:val="8"/>
        </w:numPr>
        <w:spacing w:line="360" w:before="105" w:after="105" w:lineRule="auto"/>
      </w:pPr>
      <w:r>
        <w:rPr>
          <w:rFonts w:eastAsia="source serif 4" w:cs="source serif 4" w:ascii="source serif 4" w:hAnsi="source serif 4"/>
          <w:color w:val="000000"/>
          <w:sz w:val="21"/>
        </w:rPr>
        <w:t xml:space="preserve">Surprise-driven model revision.</w:t>
      </w:r>
    </w:p>
    <w:p>
      <w:pPr>
        <w:numPr>
          <w:ilvl w:val="0"/>
          <w:numId w:val="8"/>
        </w:numPr>
        <w:spacing w:line="360" w:before="105" w:after="105" w:lineRule="auto"/>
      </w:pPr>
      <w:r>
        <w:rPr>
          <w:rFonts w:eastAsia="source serif 4" w:cs="source serif 4" w:ascii="source serif 4" w:hAnsi="source serif 4"/>
          <w:color w:val="000000"/>
          <w:sz w:val="21"/>
        </w:rPr>
        <w:t xml:space="preserve">A compact runtime trace based on Claude’s operational format, expanded to include prediction and evidence provenance.[</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1][</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3]</w:t>
      </w:r>
    </w:p>
    <w:p>
      <w:pPr>
        <w:spacing w:line="360" w:before="315" w:after="105" w:lineRule="auto"/>
        <w:ind w:left="-30"/>
        <w:jc w:val="left"/>
      </w:pPr>
      <w:bookmarkStart w:id="21" w:name="revise"/>
      <w:r>
        <w:rPr>
          <w:rFonts w:eastAsia="source serif 4" w:cs="source serif 4" w:ascii="source serif 4" w:hAnsi="source serif 4"/>
          <w:b/>
          <w:color w:val="000000"/>
          <w:sz w:val="24"/>
        </w:rPr>
        <w:t xml:space="preserve">Revise</w:t>
      </w:r>
      <w:bookmarkEnd w:id="21"/>
    </w:p>
    <w:p>
      <w:pPr>
        <w:numPr>
          <w:ilvl w:val="0"/>
          <w:numId w:val="9"/>
        </w:numPr>
        <w:spacing w:line="360" w:before="105" w:after="105" w:lineRule="auto"/>
      </w:pPr>
      <w:r>
        <w:rPr>
          <w:rFonts w:eastAsia="source serif 4" w:cs="source serif 4" w:ascii="source serif 4" w:hAnsi="source serif 4"/>
          <w:color w:val="000000"/>
          <w:sz w:val="21"/>
        </w:rPr>
        <w:t xml:space="preserve">Replace “zero knowledge” with </w:t>
      </w:r>
      <w:r>
        <w:rPr>
          <w:rFonts w:eastAsia="source serif 4" w:cs="source serif 4" w:ascii="source serif 4" w:hAnsi="source serif 4"/>
          <w:b/>
          <w:color w:val="000000"/>
          <w:sz w:val="21"/>
        </w:rPr>
        <w:t xml:space="preserve">no assumed local mechanics</w:t>
      </w:r>
      <w:r>
        <w:rPr>
          <w:rFonts w:eastAsia="source serif 4" w:cs="source serif 4" w:ascii="source serif 4" w:hAnsi="source serif 4"/>
          <w:color w:val="000000"/>
          <w:sz w:val="21"/>
        </w:rPr>
        <w:t xml:space="preserve">; the entity still carries learning procedures, identity, objectives, and abstraction memory.</w:t>
      </w:r>
    </w:p>
    <w:p>
      <w:pPr>
        <w:numPr>
          <w:ilvl w:val="0"/>
          <w:numId w:val="9"/>
        </w:numPr>
        <w:spacing w:line="360" w:before="105" w:after="105" w:lineRule="auto"/>
      </w:pPr>
      <w:r>
        <w:rPr>
          <w:rFonts w:eastAsia="source serif 4" w:cs="source serif 4" w:ascii="source serif 4" w:hAnsi="source serif 4"/>
          <w:color w:val="000000"/>
          <w:sz w:val="21"/>
        </w:rPr>
        <w:t xml:space="preserve">Replace “known” with </w:t>
      </w:r>
      <w:r>
        <w:rPr>
          <w:rFonts w:eastAsia="source serif 4" w:cs="source serif 4" w:ascii="source serif 4" w:hAnsi="source serif 4"/>
          <w:b/>
          <w:color w:val="000000"/>
          <w:sz w:val="21"/>
        </w:rPr>
        <w:t xml:space="preserve">observed/declared and scoped</w:t>
      </w:r>
      <w:r>
        <w:rPr>
          <w:rFonts w:eastAsia="source serif 4" w:cs="source serif 4" w:ascii="source serif 4" w:hAnsi="source serif 4"/>
          <w:color w:val="000000"/>
          <w:sz w:val="21"/>
        </w:rPr>
        <w:t xml:space="preserve">; direct observation may still be noisy, partial, or context-bound.</w:t>
      </w:r>
    </w:p>
    <w:p>
      <w:pPr>
        <w:numPr>
          <w:ilvl w:val="0"/>
          <w:numId w:val="9"/>
        </w:numPr>
        <w:spacing w:line="360" w:before="105" w:after="105" w:lineRule="auto"/>
      </w:pPr>
      <w:r>
        <w:rPr>
          <w:rFonts w:eastAsia="source serif 4" w:cs="source serif 4" w:ascii="source serif 4" w:hAnsi="source serif 4"/>
          <w:color w:val="000000"/>
          <w:sz w:val="21"/>
        </w:rPr>
        <w:t xml:space="preserve">Replace exact 0–1 confidence with categorical states plus an ordinal confidence ranking for v0.1.</w:t>
      </w:r>
    </w:p>
    <w:p>
      <w:pPr>
        <w:numPr>
          <w:ilvl w:val="0"/>
          <w:numId w:val="9"/>
        </w:numPr>
        <w:spacing w:line="360" w:before="105" w:after="105" w:lineRule="auto"/>
      </w:pPr>
      <w:r>
        <w:rPr>
          <w:rFonts w:eastAsia="source serif 4" w:cs="source serif 4" w:ascii="source serif 4" w:hAnsi="source serif 4"/>
          <w:color w:val="000000"/>
          <w:sz w:val="21"/>
        </w:rPr>
        <w:t xml:space="preserve">Replace universal tier projection with a configurable presentation policy that requires an established ordered category.</w:t>
      </w:r>
    </w:p>
    <w:p>
      <w:pPr>
        <w:numPr>
          <w:ilvl w:val="0"/>
          <w:numId w:val="9"/>
        </w:numPr>
        <w:spacing w:line="360" w:before="105" w:after="105" w:lineRule="auto"/>
      </w:pPr>
      <w:r>
        <w:rPr>
          <w:rFonts w:eastAsia="source serif 4" w:cs="source serif 4" w:ascii="source serif 4" w:hAnsi="source serif 4"/>
          <w:color w:val="000000"/>
          <w:sz w:val="21"/>
        </w:rPr>
        <w:t xml:space="preserve">Replace “minimum anomaly” as an intuition with an explicit cost vector: rule contradiction, public-evidence contradiction, observer surprise, resource cost, and author intervention.</w:t>
      </w:r>
    </w:p>
    <w:p>
      <w:pPr>
        <w:numPr>
          <w:ilvl w:val="0"/>
          <w:numId w:val="9"/>
        </w:numPr>
        <w:spacing w:line="360" w:before="105" w:after="105" w:lineRule="auto"/>
      </w:pPr>
      <w:r>
        <w:rPr>
          <w:rFonts w:eastAsia="source serif 4" w:cs="source serif 4" w:ascii="source serif 4" w:hAnsi="source serif 4"/>
          <w:color w:val="000000"/>
          <w:sz w:val="21"/>
        </w:rPr>
        <w:t xml:space="preserve">Separate capability translation from outcome resolution so that successful translation does not imply successful action.</w:t>
      </w:r>
    </w:p>
    <w:p>
      <w:pPr>
        <w:spacing w:line="360" w:before="315" w:after="105" w:lineRule="auto"/>
        <w:ind w:left="-30"/>
        <w:jc w:val="left"/>
      </w:pPr>
      <w:bookmarkStart w:id="22" w:name="combine"/>
      <w:r>
        <w:rPr>
          <w:rFonts w:eastAsia="source serif 4" w:cs="source serif 4" w:ascii="source serif 4" w:hAnsi="source serif 4"/>
          <w:b/>
          <w:color w:val="000000"/>
          <w:sz w:val="24"/>
        </w:rPr>
        <w:t xml:space="preserve">Combine</w:t>
      </w:r>
      <w:bookmarkEnd w:id="22"/>
    </w:p>
    <w:p>
      <w:pPr>
        <w:spacing w:line="360" w:after="210" w:lineRule="auto"/>
      </w:pPr>
      <w:r>
        <w:rPr>
          <w:rFonts w:eastAsia="source serif 4" w:cs="source serif 4" w:ascii="source serif 4" w:hAnsi="source serif 4"/>
          <w:color w:val="000000"/>
        </w:rPr>
        <w:t xml:space="preserve">Use three operating modes, but keep them experimentally distinct: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Learning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Constrained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Default; outcomes follow hidden environment rules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Results update the world model normally.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Heroic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Selects the most favorable valid result among rule-consistent possibilities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Results update the model, with policy bias recorded.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Sovereign Fiction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Authorized narrative authoring with fixed intended result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Outcome is tagged authored and cannot by itself support a causal belief.</w:t>
            </w:r>
          </w:p>
        </w:tc>
      </w:tr>
    </w:tbl>
    <w:p>
      <w:pPr>
        <w:spacing w:lineRule="auto"/>
      </w:pPr>
    </w:p>
    <w:p>
      <w:pPr>
        <w:spacing w:line="360" w:after="210" w:lineRule="auto"/>
      </w:pPr>
      <w:r>
        <w:rPr>
          <w:rFonts w:eastAsia="source serif 4" w:cs="source serif 4" w:ascii="source serif 4" w:hAnsi="source serif 4"/>
          <w:color w:val="000000"/>
        </w:rPr>
        <w:t xml:space="preserve">This combines the two-mode controls in ChatGPT and Perplexity with Claude’s useful middle mode.[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before="315" w:after="105" w:lineRule="auto"/>
        <w:ind w:left="-30"/>
        <w:jc w:val="left"/>
      </w:pPr>
      <w:bookmarkStart w:id="23" w:name="defer"/>
      <w:r>
        <w:rPr>
          <w:rFonts w:eastAsia="source serif 4" w:cs="source serif 4" w:ascii="source serif 4" w:hAnsi="source serif 4"/>
          <w:b/>
          <w:color w:val="000000"/>
          <w:sz w:val="24"/>
        </w:rPr>
        <w:t xml:space="preserve">Defer</w:t>
      </w:r>
      <w:bookmarkEnd w:id="23"/>
    </w:p>
    <w:p>
      <w:pPr>
        <w:numPr>
          <w:ilvl w:val="0"/>
          <w:numId w:val="10"/>
        </w:numPr>
        <w:spacing w:line="360" w:before="105" w:after="105" w:lineRule="auto"/>
      </w:pPr>
      <w:r>
        <w:rPr>
          <w:rFonts w:eastAsia="source serif 4" w:cs="source serif 4" w:ascii="source serif 4" w:hAnsi="source serif 4"/>
          <w:color w:val="000000"/>
          <w:sz w:val="21"/>
        </w:rPr>
        <w:t xml:space="preserve">Bayesian or POMDP formalization until the data model and scenario harness exist.</w:t>
      </w:r>
    </w:p>
    <w:p>
      <w:pPr>
        <w:numPr>
          <w:ilvl w:val="0"/>
          <w:numId w:val="10"/>
        </w:numPr>
        <w:spacing w:line="360" w:before="105" w:after="105" w:lineRule="auto"/>
      </w:pPr>
      <w:r>
        <w:rPr>
          <w:rFonts w:eastAsia="source serif 4" w:cs="source serif 4" w:ascii="source serif 4" w:hAnsi="source serif 4"/>
          <w:color w:val="000000"/>
          <w:sz w:val="21"/>
        </w:rPr>
        <w:t xml:space="preserve">Numeric calibration until enough repeated trials can test it.</w:t>
      </w:r>
    </w:p>
    <w:p>
      <w:pPr>
        <w:numPr>
          <w:ilvl w:val="0"/>
          <w:numId w:val="10"/>
        </w:numPr>
        <w:spacing w:line="360" w:before="105" w:after="105" w:lineRule="auto"/>
      </w:pPr>
      <w:r>
        <w:rPr>
          <w:rFonts w:eastAsia="source serif 4" w:cs="source serif 4" w:ascii="source serif 4" w:hAnsi="source serif 4"/>
          <w:color w:val="000000"/>
          <w:sz w:val="21"/>
        </w:rPr>
        <w:t xml:space="preserve">Multi-agent communication beyond two or three observers.</w:t>
      </w:r>
    </w:p>
    <w:p>
      <w:pPr>
        <w:numPr>
          <w:ilvl w:val="0"/>
          <w:numId w:val="10"/>
        </w:numPr>
        <w:spacing w:line="360" w:before="105" w:after="105" w:lineRule="auto"/>
      </w:pPr>
      <w:r>
        <w:rPr>
          <w:rFonts w:eastAsia="source serif 4" w:cs="source serif 4" w:ascii="source serif 4" w:hAnsi="source serif 4"/>
          <w:color w:val="000000"/>
          <w:sz w:val="21"/>
        </w:rPr>
        <w:t xml:space="preserve">Long-term autonomous evolution.</w:t>
      </w:r>
    </w:p>
    <w:p>
      <w:pPr>
        <w:numPr>
          <w:ilvl w:val="0"/>
          <w:numId w:val="10"/>
        </w:numPr>
        <w:spacing w:line="360" w:before="105" w:after="105" w:lineRule="auto"/>
      </w:pPr>
      <w:r>
        <w:rPr>
          <w:rFonts w:eastAsia="source serif 4" w:cs="source serif 4" w:ascii="source serif 4" w:hAnsi="source serif 4"/>
          <w:color w:val="000000"/>
          <w:sz w:val="21"/>
        </w:rPr>
        <w:t xml:space="preserve">Graphical engine integration.</w:t>
      </w:r>
    </w:p>
    <w:p>
      <w:pPr>
        <w:numPr>
          <w:ilvl w:val="0"/>
          <w:numId w:val="10"/>
        </w:numPr>
        <w:spacing w:line="360" w:before="105" w:after="105" w:lineRule="auto"/>
      </w:pPr>
      <w:r>
        <w:rPr>
          <w:rFonts w:eastAsia="source serif 4" w:cs="source serif 4" w:ascii="source serif 4" w:hAnsi="source serif 4"/>
          <w:color w:val="000000"/>
          <w:sz w:val="21"/>
        </w:rPr>
        <w:t xml:space="preserve">Rich character lore and branding.</w:t>
      </w:r>
    </w:p>
    <w:p>
      <w:pPr>
        <w:numPr>
          <w:ilvl w:val="0"/>
          <w:numId w:val="10"/>
        </w:numPr>
        <w:spacing w:line="360" w:before="105" w:after="105" w:lineRule="auto"/>
      </w:pPr>
      <w:r>
        <w:rPr>
          <w:rFonts w:eastAsia="source serif 4" w:cs="source serif 4" w:ascii="source serif 4" w:hAnsi="source serif 4"/>
          <w:color w:val="000000"/>
          <w:sz w:val="21"/>
        </w:rPr>
        <w:t xml:space="preserve">Continuous-stat tier projection.</w:t>
      </w:r>
    </w:p>
    <w:p>
      <w:pPr>
        <w:spacing w:line="360" w:before="315" w:after="105" w:lineRule="auto"/>
        <w:ind w:left="-30"/>
        <w:jc w:val="left"/>
      </w:pPr>
      <w:bookmarkStart w:id="24" w:name="reject"/>
      <w:r>
        <w:rPr>
          <w:rFonts w:eastAsia="source serif 4" w:cs="source serif 4" w:ascii="source serif 4" w:hAnsi="source serif 4"/>
          <w:b/>
          <w:color w:val="000000"/>
          <w:sz w:val="24"/>
        </w:rPr>
        <w:t xml:space="preserve">Reject</w:t>
      </w:r>
      <w:bookmarkEnd w:id="24"/>
    </w:p>
    <w:p>
      <w:pPr>
        <w:numPr>
          <w:ilvl w:val="0"/>
          <w:numId w:val="11"/>
        </w:numPr>
        <w:spacing w:line="360" w:before="105" w:after="105" w:lineRule="auto"/>
      </w:pPr>
      <w:r>
        <w:rPr>
          <w:rFonts w:eastAsia="source serif 4" w:cs="source serif 4" w:ascii="source serif 4" w:hAnsi="source serif 4"/>
          <w:color w:val="000000"/>
          <w:sz w:val="21"/>
        </w:rPr>
        <w:t xml:space="preserve">Any claim that a prompt can modify or conceal behavior in an external live game.</w:t>
      </w:r>
    </w:p>
    <w:p>
      <w:pPr>
        <w:numPr>
          <w:ilvl w:val="0"/>
          <w:numId w:val="11"/>
        </w:numPr>
        <w:spacing w:line="360" w:before="105" w:after="105" w:lineRule="auto"/>
      </w:pPr>
      <w:r>
        <w:rPr>
          <w:rFonts w:eastAsia="source serif 4" w:cs="source serif 4" w:ascii="source serif 4" w:hAnsi="source serif 4"/>
          <w:color w:val="000000"/>
          <w:sz w:val="21"/>
        </w:rPr>
        <w:t xml:space="preserve">Anti-cheat bypass, telemetry suppression, packet manipulation, memory modification, input mimicry, or security-evasion mechanisms.</w:t>
      </w:r>
    </w:p>
    <w:p>
      <w:pPr>
        <w:numPr>
          <w:ilvl w:val="0"/>
          <w:numId w:val="11"/>
        </w:numPr>
        <w:spacing w:line="360" w:before="105" w:after="105" w:lineRule="auto"/>
      </w:pPr>
      <w:r>
        <w:rPr>
          <w:rFonts w:eastAsia="source serif 4" w:cs="source serif 4" w:ascii="source serif 4" w:hAnsi="source serif 4"/>
          <w:color w:val="000000"/>
          <w:sz w:val="21"/>
        </w:rPr>
        <w:t xml:space="preserve">Infinite hidden capabilities as an implementation default.</w:t>
      </w:r>
    </w:p>
    <w:p>
      <w:pPr>
        <w:numPr>
          <w:ilvl w:val="0"/>
          <w:numId w:val="11"/>
        </w:numPr>
        <w:spacing w:line="360" w:before="105" w:after="105" w:lineRule="auto"/>
      </w:pPr>
      <w:r>
        <w:rPr>
          <w:rFonts w:eastAsia="source serif 4" w:cs="source serif 4" w:ascii="source serif 4" w:hAnsi="source serif 4"/>
          <w:color w:val="000000"/>
          <w:sz w:val="21"/>
        </w:rPr>
        <w:t xml:space="preserve">Guaranteed undetectability.</w:t>
      </w:r>
    </w:p>
    <w:p>
      <w:pPr>
        <w:numPr>
          <w:ilvl w:val="0"/>
          <w:numId w:val="11"/>
        </w:numPr>
        <w:spacing w:line="360" w:before="105" w:after="105" w:lineRule="auto"/>
      </w:pPr>
      <w:r>
        <w:rPr>
          <w:rFonts w:eastAsia="source serif 4" w:cs="source serif 4" w:ascii="source serif 4" w:hAnsi="source serif 4"/>
          <w:color w:val="000000"/>
          <w:sz w:val="21"/>
        </w:rPr>
        <w:t xml:space="preserve">Retrospective deletion of contradictory evidence.</w:t>
      </w:r>
    </w:p>
    <w:p>
      <w:pPr>
        <w:numPr>
          <w:ilvl w:val="0"/>
          <w:numId w:val="11"/>
        </w:numPr>
        <w:spacing w:line="360" w:before="105" w:after="105" w:lineRule="auto"/>
      </w:pPr>
      <w:r>
        <w:rPr>
          <w:rFonts w:eastAsia="source serif 4" w:cs="source serif 4" w:ascii="source serif 4" w:hAnsi="source serif 4"/>
          <w:color w:val="000000"/>
          <w:sz w:val="21"/>
        </w:rPr>
        <w:t xml:space="preserve">Hard-coded plausibility values or confidence numbers presented as empirical measurements.</w:t>
      </w:r>
    </w:p>
    <w:p>
      <w:pPr>
        <w:numPr>
          <w:ilvl w:val="0"/>
          <w:numId w:val="11"/>
        </w:numPr>
        <w:spacing w:line="360" w:before="105" w:after="105" w:lineRule="auto"/>
      </w:pPr>
      <w:r>
        <w:rPr>
          <w:rFonts w:eastAsia="source serif 4" w:cs="source serif 4" w:ascii="source serif 4" w:hAnsi="source serif 4"/>
          <w:color w:val="000000"/>
          <w:sz w:val="21"/>
        </w:rPr>
        <w:t xml:space="preserve">Treating agreement among generated proposals as validation.</w:t>
      </w:r>
    </w:p>
    <w:p>
      <w:pPr>
        <w:spacing w:line="360" w:before="315" w:after="105" w:lineRule="auto"/>
        <w:ind w:left="-30"/>
        <w:jc w:val="left"/>
      </w:pPr>
      <w:bookmarkStart w:id="25" w:name="priority_next_steps"/>
      <w:r>
        <w:rPr>
          <w:rFonts w:eastAsia="source serif 4" w:cs="source serif 4" w:ascii="source serif 4" w:hAnsi="source serif 4"/>
          <w:b/>
          <w:color w:val="000000"/>
          <w:sz w:val="24"/>
        </w:rPr>
        <w:t xml:space="preserve">Priority next steps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Decision or input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Ratify a one-paragraph project objective and authorized scope.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Prevent the prototype, narrative prompt, and real-game concept from being conflated.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Project owner selects the primary product and confirms the fictional/authorized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the default mode and status of the tier rule.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Resolve the two contradictions that affect every module.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 Constrained Research by default; tier projection optional. Owner approval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the v0.1 normative data model and invariants.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Turn prose concepts into testable interfaces.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Technical lead defines required fields and what may never be silently merged.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one deterministic hidden-rule text environment and a transparent baseline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whether the ledger, hypotheses, probes, and revisions actually 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Choose implementation language and a simple scenario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10–12 adversarial scenarios with expected traces.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contradiction handling, non-stationarity, observer coherence, and transfer.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Reviewers assign hidden ground truth and acceptance criteria before runs.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 ablations and publish 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Determine which components add value rather than merely adding terminology.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Compare full system against versions without hypothesis ensemble, provenance, transfer memory, and observer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Only after evidence, issue v0.2 and a separate narrative 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 research claims separate from creative usability.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Team reviews results and decides what earns promotion into the next architecture.</w:t>
            </w:r>
          </w:p>
        </w:tc>
      </w:tr>
    </w:tbl>
    <w:p>
      <w:pPr>
        <w:spacing w:lineRule="auto"/>
      </w:pPr>
    </w:p>
    <w:p>
      <w:pPr>
        <w:spacing w:line="360" w:before="315" w:after="105" w:lineRule="auto"/>
        <w:ind w:left="-30"/>
        <w:jc w:val="left"/>
      </w:pPr>
      <w:bookmarkStart w:id="26" w:name="open_questions_for_the_team"/>
      <w:r>
        <w:rPr>
          <w:rFonts w:eastAsia="source serif 4" w:cs="source serif 4" w:ascii="source serif 4" w:hAnsi="source serif 4"/>
          <w:b/>
          <w:color w:val="000000"/>
          <w:sz w:val="24"/>
        </w:rPr>
        <w:t xml:space="preserve">Open questions for the team</w:t>
      </w:r>
      <w:bookmarkEnd w:id="26"/>
    </w:p>
    <w:p>
      <w:pPr>
        <w:numPr>
          <w:ilvl w:val="0"/>
          <w:numId w:val="12"/>
        </w:numPr>
        <w:spacing w:line="360" w:before="105" w:after="105" w:lineRule="auto"/>
      </w:pPr>
      <w:r>
        <w:rPr>
          <w:rFonts w:eastAsia="source serif 4" w:cs="source serif 4" w:ascii="source serif 4" w:hAnsi="source serif 4"/>
          <w:color w:val="000000"/>
          <w:sz w:val="21"/>
        </w:rPr>
        <w:t xml:space="preserve">Is the primary deliverable a research testbed, a reusable narrative character prompt, or a software architecture? If more than one, which is authoritative when requirements conflict?</w:t>
      </w:r>
    </w:p>
    <w:p>
      <w:pPr>
        <w:numPr>
          <w:ilvl w:val="0"/>
          <w:numId w:val="12"/>
        </w:numPr>
        <w:spacing w:line="360" w:before="105" w:after="105" w:lineRule="auto"/>
      </w:pPr>
      <w:r>
        <w:rPr>
          <w:rFonts w:eastAsia="source serif 4" w:cs="source serif 4" w:ascii="source serif 4" w:hAnsi="source serif 4"/>
          <w:color w:val="000000"/>
          <w:sz w:val="21"/>
        </w:rPr>
        <w:t xml:space="preserve">Should constrained research be the default, with sovereign fiction explicitly enabled only for authored storytelling?</w:t>
      </w:r>
    </w:p>
    <w:p>
      <w:pPr>
        <w:numPr>
          <w:ilvl w:val="0"/>
          <w:numId w:val="12"/>
        </w:numPr>
        <w:spacing w:line="360" w:before="105" w:after="105" w:lineRule="auto"/>
      </w:pPr>
      <w:r>
        <w:rPr>
          <w:rFonts w:eastAsia="source serif 4" w:cs="source serif 4" w:ascii="source serif 4" w:hAnsi="source serif 4"/>
          <w:color w:val="000000"/>
          <w:sz w:val="21"/>
        </w:rPr>
        <w:t xml:space="preserve">Is the one-up/apex-down rule a mandatory identity feature or an optional observer-presentation experiment?</w:t>
      </w:r>
    </w:p>
    <w:p>
      <w:pPr>
        <w:numPr>
          <w:ilvl w:val="0"/>
          <w:numId w:val="12"/>
        </w:numPr>
        <w:spacing w:line="360" w:before="105" w:after="105" w:lineRule="auto"/>
      </w:pPr>
      <w:r>
        <w:rPr>
          <w:rFonts w:eastAsia="source serif 4" w:cs="source serif 4" w:ascii="source serif 4" w:hAnsi="source serif 4"/>
          <w:color w:val="000000"/>
          <w:sz w:val="21"/>
        </w:rPr>
        <w:t xml:space="preserve">What information may persist across environments: identity and learning strategy only, or also validated causal abstractions?</w:t>
      </w:r>
    </w:p>
    <w:p>
      <w:pPr>
        <w:numPr>
          <w:ilvl w:val="0"/>
          <w:numId w:val="12"/>
        </w:numPr>
        <w:spacing w:line="360" w:before="105" w:after="105" w:lineRule="auto"/>
      </w:pPr>
      <w:r>
        <w:rPr>
          <w:rFonts w:eastAsia="source serif 4" w:cs="source serif 4" w:ascii="source serif 4" w:hAnsi="source serif 4"/>
          <w:color w:val="000000"/>
          <w:sz w:val="21"/>
        </w:rPr>
        <w:t xml:space="preserve">Who or what is authoritative for environment truth, and how are rule changes distinguished from earlier inference errors?</w:t>
      </w:r>
    </w:p>
    <w:p>
      <w:pPr>
        <w:numPr>
          <w:ilvl w:val="0"/>
          <w:numId w:val="12"/>
        </w:numPr>
        <w:spacing w:line="360" w:before="105" w:after="105" w:lineRule="auto"/>
      </w:pPr>
      <w:r>
        <w:rPr>
          <w:rFonts w:eastAsia="source serif 4" w:cs="source serif 4" w:ascii="source serif 4" w:hAnsi="source serif 4"/>
          <w:color w:val="000000"/>
          <w:sz w:val="21"/>
        </w:rPr>
        <w:t xml:space="preserve">What constitutes success for v0.1: task performance, belief calibration, information gained per probe, recovery time after contradiction, low regret, public-evidence coherence, or a weighted combination?</w:t>
      </w:r>
    </w:p>
    <w:p>
      <w:pPr>
        <w:numPr>
          <w:ilvl w:val="0"/>
          <w:numId w:val="12"/>
        </w:numPr>
        <w:spacing w:line="360" w:before="105" w:after="105" w:lineRule="auto"/>
      </w:pPr>
      <w:r>
        <w:rPr>
          <w:rFonts w:eastAsia="source serif 4" w:cs="source serif 4" w:ascii="source serif 4" w:hAnsi="source serif 4"/>
          <w:color w:val="000000"/>
          <w:sz w:val="21"/>
        </w:rPr>
        <w:t xml:space="preserve">Should the project retain the Wheel of Time-derived labels in public artifacts, or replace them with original neutral terminology before broader publication?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13"/>
        </w:numPr>
        <w:spacing w:line="360" w:after="210" w:lineRule="auto"/>
      </w:pPr>
      <w:hyperlink r:id="rId5">
        <w:r>
          <w:rPr>
            <w:rFonts w:eastAsia="source sans 3" w:cs="source sans 3" w:ascii="source sans 3" w:hAnsi="source sans 3"/>
            <w:color w:val="#000"/>
            <w:sz w:val="21"/>
            <w:u w:val="single"/>
          </w:rPr>
          <w:t xml:space="preserve">Uncertainty_Adaptive_Entity_Preliminary_Integration_Architecture_v0.1.md</w:t>
        </w:r>
      </w:hyperlink>
      <w:r>
        <w:rPr>
          <w:rFonts w:eastAsia="source serif 4" w:cs="source serif 4" w:ascii="source serif 4" w:hAnsi="source serif 4"/>
          <w:color w:val="000000"/>
          <w:sz w:val="21"/>
        </w:rPr>
        <w:t xml:space="preserve"> - Independent Version v0.1 Document ID UAE-PIA-CHATGPT-2026-10-11-v0.1 Prepared by ChatGPT OpenAI - GP...</w:t>
      </w:r>
    </w:p>
    <w:p>
      <w:pPr>
        <w:numPr>
          <w:ilvl w:val="0"/>
          <w:numId w:val="13"/>
        </w:numPr>
        <w:spacing w:line="360" w:after="210" w:lineRule="auto"/>
      </w:pPr>
      <w:hyperlink r:id="rId6">
        <w:r>
          <w:rPr>
            <w:rFonts w:eastAsia="source sans 3" w:cs="source sans 3" w:ascii="source sans 3" w:hAnsi="source sans 3"/>
            <w:color w:val="#000"/>
            <w:sz w:val="21"/>
            <w:u w:val="single"/>
          </w:rPr>
          <w:t xml:space="preserve">Integration_Architecture_Claude.md</w:t>
        </w:r>
      </w:hyperlink>
      <w:r>
        <w:rPr>
          <w:rFonts w:eastAsia="source serif 4" w:cs="source serif 4" w:ascii="source serif 4" w:hAnsi="source serif 4"/>
          <w:color w:val="000000"/>
          <w:sz w:val="21"/>
        </w:rPr>
        <w:t xml:space="preserve"> - Independent version prepared by Claude Sonnet 5.5, Anthropic Prepared for Nathan Lewis II and the mu...</w:t>
      </w:r>
    </w:p>
    <w:p>
      <w:pPr>
        <w:numPr>
          <w:ilvl w:val="0"/>
          <w:numId w:val="13"/>
        </w:numPr>
        <w:spacing w:line="360" w:after="210" w:lineRule="auto"/>
      </w:pPr>
      <w:hyperlink r:id="rId7">
        <w:r>
          <w:rPr>
            <w:rFonts w:eastAsia="source sans 3" w:cs="source sans 3" w:ascii="source sans 3" w:hAnsi="source sans 3"/>
            <w:color w:val="#000"/>
            <w:sz w:val="21"/>
            <w:u w:val="single"/>
          </w:rPr>
          <w:t xml:space="preserve">adaptive_entity_integration_architecture_perplexity.md</w:t>
        </w:r>
      </w:hyperlink>
      <w:r>
        <w:rPr>
          <w:rFonts w:eastAsia="source serif 4" w:cs="source serif 4" w:ascii="source serif 4" w:hAnsi="source serif 4"/>
          <w:color w:val="000000"/>
          <w:sz w:val="21"/>
        </w:rPr>
        <w:t xml:space="preserve"> - Prepared by Perplexity Document type Independent preliminary architecture Scope Fictional simulation...</w:t>
      </w:r>
    </w:p>
    <w:p>
      <w:pPr>
        <w:numPr>
          <w:ilvl w:val="0"/>
          <w:numId w:val="13"/>
        </w:numPr>
        <w:spacing w:line="360" w:after="210" w:lineRule="auto"/>
      </w:pPr>
      <w:hyperlink r:id="rId8">
        <w:r>
          <w:rPr>
            <w:rFonts w:eastAsia="source sans 3" w:cs="source sans 3" w:ascii="source sans 3" w:hAnsi="source sans 3"/>
            <w:color w:val="#000"/>
            <w:sz w:val="21"/>
            <w:u w:val="single"/>
          </w:rPr>
          <w:t xml:space="preserve">Adaptive_Entity_Architecture_Grok.docx</w:t>
        </w:r>
      </w:hyperlink>
      <w:r>
        <w:rPr>
          <w:rFonts w:eastAsia="source serif 4" w:cs="source serif 4" w:ascii="source serif 4" w:hAnsi="source serif 4"/>
          <w:color w:val="000000"/>
          <w:sz w:val="21"/>
        </w:rPr>
        <w:t xml:space="preserve"> - Preliminary Integration Architecture for Adaptive Entities in Virtual Environments Operating on Unce...</w:t>
      </w:r>
    </w:p>
    <w:p>
      <w:pPr>
        <w:numPr>
          <w:ilvl w:val="0"/>
          <w:numId w:val="13"/>
        </w:numPr>
        <w:spacing w:line="360" w:after="210" w:lineRule="auto"/>
      </w:pPr>
      <w:hyperlink r:id="rId9">
        <w:r>
          <w:rPr>
            <w:rFonts w:eastAsia="source sans 3" w:cs="source sans 3" w:ascii="source sans 3" w:hAnsi="source sans 3"/>
            <w:color w:val="#000"/>
            <w:sz w:val="21"/>
            <w:u w:val="single"/>
          </w:rPr>
          <w:t xml:space="preserve">adaptive_entity_integration_architecture.md</w:t>
        </w:r>
      </w:hyperlink>
      <w:r>
        <w:rPr>
          <w:rFonts w:eastAsia="source serif 4" w:cs="source serif 4" w:ascii="source serif 4" w:hAnsi="source serif 4"/>
          <w:color w:val="000000"/>
          <w:sz w:val="21"/>
        </w:rPr>
        <w:t xml:space="preserve"> - Document ID ARCH-ENG-2026-VR01 Project Classification Synthetic Cognition Virtual Agent Systems Prep...</w:t>
      </w:r>
    </w:p>
    <w:p>
      <w:pPr>
        <w:numPr>
          <w:ilvl w:val="0"/>
          <w:numId w:val="13"/>
        </w:numPr>
        <w:spacing w:line="360" w:after="210" w:lineRule="auto"/>
      </w:pPr>
      <w:hyperlink r:id="rId10">
        <w:r>
          <w:rPr>
            <w:rFonts w:eastAsia="source sans 3" w:cs="source sans 3" w:ascii="source sans 3" w:hAnsi="source sans 3"/>
            <w:color w:val="#000"/>
            <w:sz w:val="21"/>
            <w:u w:val="single"/>
          </w:rPr>
          <w:t xml:space="preserve">Adaptive_Entity_Architecture.md</w:t>
        </w:r>
      </w:hyperlink>
      <w:r>
        <w:rPr>
          <w:rFonts w:eastAsia="source serif 4" w:cs="source serif 4" w:ascii="source serif 4" w:hAnsi="source serif 4"/>
          <w:color w:val="000000"/>
          <w:sz w:val="21"/>
        </w:rPr>
        <w:t xml:space="preserve"> - Preparer Microsoft 365 Copilot TITLE Preliminary Integration Architecture for Adaptive Entities in V...</w:t>
      </w:r>
    </w:p>
    <w:p>
      <w:pPr>
        <w:numPr>
          <w:ilvl w:val="0"/>
          <w:numId w:val="13"/>
        </w:numPr>
        <w:spacing w:line="360" w:after="210" w:lineRule="auto"/>
      </w:pPr>
      <w:hyperlink r:id="rId11">
        <w:r>
          <w:rPr>
            <w:rFonts w:eastAsia="source sans 3" w:cs="source sans 3" w:ascii="source sans 3" w:hAnsi="source sans 3"/>
            <w:color w:val="#000"/>
            <w:sz w:val="21"/>
            <w:u w:val="single"/>
          </w:rPr>
          <w:t xml:space="preserve">Uncertainty_Adaptive_Entity_Preliminary_Integration_Architecture_v0.1.docx</w:t>
        </w:r>
      </w:hyperlink>
      <w:r>
        <w:rPr>
          <w:rFonts w:eastAsia="source serif 4" w:cs="source serif 4" w:ascii="source serif 4" w:hAnsi="source serif 4"/>
          <w:color w:val="000000"/>
          <w:sz w:val="21"/>
        </w:rPr>
        <w:t xml:space="preserve"> - Preliminary Integration Architecture for Uncertainty-Adaptive Entities in Virtual Environments Indep...</w:t>
      </w:r>
    </w:p>
    <w:p>
      <w:pPr>
        <w:numPr>
          <w:ilvl w:val="0"/>
          <w:numId w:val="13"/>
        </w:numPr>
        <w:spacing w:line="360" w:after="210" w:lineRule="auto"/>
      </w:pPr>
      <w:hyperlink r:id="rId12">
        <w:r>
          <w:rPr>
            <w:rFonts w:eastAsia="source sans 3" w:cs="source sans 3" w:ascii="source sans 3" w:hAnsi="source sans 3"/>
            <w:color w:val="#000"/>
            <w:sz w:val="21"/>
            <w:u w:val="single"/>
          </w:rPr>
          <w:t xml:space="preserve">Integration_Architecture_Claude.docx</w:t>
        </w:r>
      </w:hyperlink>
      <w:r>
        <w:rPr>
          <w:rFonts w:eastAsia="source serif 4" w:cs="source serif 4" w:ascii="source serif 4" w:hAnsi="source serif 4"/>
          <w:color w:val="000000"/>
          <w:sz w:val="21"/>
        </w:rPr>
        <w:t xml:space="preserve"> - Prepared by Claude Sonnet 5.5, Anthropic October 11, 2026 Independent version prepared by Claude Son...</w:t>
      </w:r>
    </w:p>
    <w:p>
      <w:pPr>
        <w:numPr>
          <w:ilvl w:val="0"/>
          <w:numId w:val="13"/>
        </w:numPr>
        <w:spacing w:line="360" w:after="210" w:lineRule="auto"/>
      </w:pPr>
      <w:hyperlink r:id="rId13">
        <w:r>
          <w:rPr>
            <w:rFonts w:eastAsia="source sans 3" w:cs="source sans 3" w:ascii="source sans 3" w:hAnsi="source sans 3"/>
            <w:color w:val="#000"/>
            <w:sz w:val="21"/>
            <w:u w:val="single"/>
          </w:rPr>
          <w:t xml:space="preserve">adaptive_entity_integration_architecture.docx</w:t>
        </w:r>
      </w:hyperlink>
      <w:r>
        <w:rPr>
          <w:rFonts w:eastAsia="source serif 4" w:cs="source serif 4" w:ascii="source serif 4" w:hAnsi="source serif 4"/>
          <w:color w:val="000000"/>
          <w:sz w:val="21"/>
        </w:rPr>
        <w:t xml:space="preserve"> - for Adaptive Entities in Virtual Environments Prepared by Perplexity Independent preliminary archite...</w:t>
      </w:r>
    </w:p>
    <w:p>
      <w:pPr>
        <w:numPr>
          <w:ilvl w:val="0"/>
          <w:numId w:val="13"/>
        </w:numPr>
        <w:spacing w:line="360" w:after="210" w:lineRule="auto"/>
      </w:pPr>
      <w:hyperlink r:id="rId14">
        <w:r>
          <w:rPr>
            <w:rFonts w:eastAsia="source sans 3" w:cs="source sans 3" w:ascii="source sans 3" w:hAnsi="source sans 3"/>
            <w:color w:val="#000"/>
            <w:sz w:val="21"/>
            <w:u w:val="single"/>
          </w:rPr>
          <w:t xml:space="preserve">Adaptive_Entity_Architecture.docx</w:t>
        </w:r>
      </w:hyperlink>
      <w:r>
        <w:rPr>
          <w:rFonts w:eastAsia="source serif 4" w:cs="source serif 4" w:ascii="source serif 4" w:hAnsi="source serif 4"/>
          <w:color w:val="000000"/>
          <w:sz w:val="21"/>
        </w:rPr>
        <w:t xml:space="preserve"> - Prepared by Microsoft 365 Copilot TITLE Preliminary Integration Architecture for Adaptive Entities 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4636e3eb-c89b-47f7-b229-5b537db22727/Uncertainty_Adaptive_Entity_Preliminary_Integration_Architecture_v0.1.md?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993a600d1e5a4ba04a13e9ae633a41f76b52e513bc232ff384f70efc9719280a" TargetMode="External"/><Relationship Id="rId6" Type="http://schemas.openxmlformats.org/officeDocument/2006/relationships/hyperlink" Target="https://ppl-ai-file-upload.s3.amazonaws.com/web/direct-files/attachments/456314/9de8acc2-e2e7-4a2e-993d-b16eafd5fae4/Integration_Architecture_Claude.md?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58d9e94f2e239020283e346da034932d81db979389638b5c063fc269fdc6754d" TargetMode="External"/><Relationship Id="rId7" Type="http://schemas.openxmlformats.org/officeDocument/2006/relationships/hyperlink" Target="https://ppl-ai-file-upload.s3.amazonaws.com/web/direct-files/attachments/456314/cc52698a-1173-4f41-a6a2-770efaf48176/adaptive_entity_integration_architecture_perplexity.md?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9388af0ce1ba288a5d5d2dcbf080ebd979983bab831b2fd3e22ea1fe253e0a10" TargetMode="External"/><Relationship Id="rId8" Type="http://schemas.openxmlformats.org/officeDocument/2006/relationships/hyperlink" Target="https://ppl-ai-file-upload.s3.amazonaws.com/web/direct-files/attachments/456314/ba9a07d1-e6cc-404a-820c-581becdccc18/Adaptive_Entity_Architecture_Grok.docx?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21293d11ef94e195d7c92e8f38147a8ea700a507d3331e67fe3232900840b15b" TargetMode="External"/><Relationship Id="rId9" Type="http://schemas.openxmlformats.org/officeDocument/2006/relationships/hyperlink" Target="https://ppl-ai-file-upload.s3.amazonaws.com/web/direct-files/attachments/456314/41397996-dc95-4c2b-8b31-260bc1caea72/adaptive_entity_integration_architecture.md?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b8c8b1794dbe2660aa29180b67b8b7607c171a21661dd55698f8d45cf4afbc42" TargetMode="External"/><Relationship Id="rId10" Type="http://schemas.openxmlformats.org/officeDocument/2006/relationships/hyperlink" Target="https://ppl-ai-file-upload.s3.amazonaws.com/web/direct-files/attachments/456314/11bcd0e1-efd3-45e2-aac5-29d516ed82b2/Adaptive_Entity_Architecture.md?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4b5ec546be23e7f3719d3c99ebcdae30804409424f85ea66b36d0ba4bc9a36ad" TargetMode="External"/><Relationship Id="rId11" Type="http://schemas.openxmlformats.org/officeDocument/2006/relationships/hyperlink" Target="https://ppl-ai-file-upload.s3.amazonaws.com/web/direct-files/attachments/456314/e4cbc932-1ab5-461a-990b-18936aa85138/Uncertainty_Adaptive_Entity_Preliminary_Integration_Architecture_v0.1.docx?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423032f33892b4e8927a662aca2fe4a11dee0e69bc85cfee31492d448760ebce" TargetMode="External"/><Relationship Id="rId12" Type="http://schemas.openxmlformats.org/officeDocument/2006/relationships/hyperlink" Target="https://ppl-ai-file-upload.s3.amazonaws.com/web/direct-files/attachments/456314/55bc45f9-16e9-4704-8bab-64f3a53efdb5/Integration_Architecture_Claude.docx?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0fc44e5d5873b19cc5e06237e456eef71dd309fa1c6842ad042a7e0fbeccb4fb" TargetMode="External"/><Relationship Id="rId13" Type="http://schemas.openxmlformats.org/officeDocument/2006/relationships/hyperlink" Target="https://ppl-ai-file-upload.s3.amazonaws.com/web/direct-files/attachments/456314/a34c0e53-35ba-4b22-a074-a3d9b582ce04/adaptive_entity_integration_architecture.docx?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ded297763ccc6d360ae7b49e2c26d29f651cba469e460b7da2e254e385f6ef8b" TargetMode="External"/><Relationship Id="rId14" Type="http://schemas.openxmlformats.org/officeDocument/2006/relationships/hyperlink" Target="https://ppl-ai-file-upload.s3.amazonaws.com/web/direct-files/attachments/456314/399b082e-bbc8-43a7-b19e-15c39a680a30/Adaptive_Entity_Architecture.docx?X-Amz-Algorithm=AWS4-HMAC-SHA256&amp;X-Amz-Checksum-Mode=ENABLED&amp;X-Amz-Credential=ASIA2F3EMEYERJNS7DX3%2F20261019%2Fus-east-1%2Fs3%2Faws4_request&amp;X-Amz-Date=20261019T134248Z&amp;X-Amz-Expires=1523&amp;X-Amz-Security-Token=IQoJb3JpZ2luX2VjEGYaCXVzLWVhc3QtMSJIMEYCIQDj16sEPOE%2F3wsFkIAwGvVyQK%2FJ1anaSHKf3ZzNTyfB3QIhAJUqwVG4N1Xdv6e1BsbUk9M9ovuUVyq9JKBPKnxLQHM%2BKoAFCC4QARoMNjk5NzUzMzA5NzA1IgxGpmxJQLBUiXH9lOkq3QTn54FUnHXg4579wBNmgxcoS6llL7kjhfL0Mtugl5Ma8nAddUWvGaYsQd9nOD6%2FvwJQDdvtbxDAMuNlZ1JgI039nYFEfku%2FretL4Z%2F%2Ba51bJ7vrZntVD8sX8rGrYxNcJ3fTUo0hiu1gZDsknAA9xxukOD4W4TsDoLHbeogkyEwlxm00fp4RSUkgnMtDZXtHH7jeI3DMdM55RW9Elr3ZvB4qMso2W%2FfFEaSx9n3zTvYLh8p%2FC4cBy%2FGjbMo1D4HffX89YnBqm5q78R4VJpua91Ofmj7%2Fa685wdQtZAgJd4VWsh%2Fby0DTF%2ByRD7MqWuLwP2ahzN%2FvC%2Bm7QQx%2BdihlAqy%2Bdmwc8IHQHee%2FqigDakzlbUDu1w7Gb3X20qZKf7S5qrRr587d%2BSOJMU5OTEDJOKN4hgOct%2FJtsdz%2FxrXAmfAQlurNNuBEuczkrsAGe8MpRj%2FuYgDrTiUBjInHVX1%2BB2vjzPFcbZ5ksLkPbM6vvb0roVyl2SPpBHuDJ%2BBYpFNMVq1SxNMRm4Y5OHnUr7Nj5cBMm1TGhhRN0KkQY4eYPzGJVkdtVp8lBr3Za6UvHlK1xdKba65sfx6acnTXnvnWWFwWdTv6LVm0t2JdwraX04g4YdmAMWc%2Fw9k00qD%2Br%2FwoDfox9GuicZi1fMkDa8H7XJy91qBn7TKd3SL9E8MEKhlH2rynyaTwJC0W0Pa7WmDAhRQ0KFj4QdYdZcXkiVSJLqbZjwjAWmgOaZTdTuru3LW60RST6j1BsjkJtM5wde2Sffo3psjwIOI7%2F93i5mwzM7k8D4%2F%2BqACpGUwETwf4JjD4rNjWBjqXAdaSAbAG6PFjw3ATDDUI4Yw52ydrO%2BmHbOi6MctQhoRtRACo78RGthbEZKWR1fJXKzYcVsLRqEzo9O3a7Aowj%2FoThu4SBXXjzAj4iDyKTYxZheQ3Cp0DLlDyK1QvBqvP2vnus2A%2BFTX5l5pxG7Fmjeno0GmxUF2FaZj%2Fc2hTlZEONzY8aWRd5qO2AyvgQuPCfujZmFBcPNE%3D&amp;X-Amz-SignedHeaders=host&amp;x-id=GetObject&amp;X-Amz-Signature=5eb32691685b37154a7fef3c664fbba3f7f87abf672ed58c2b19f6f7786c2e3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2026-10-19T13:42:49.072Z</dcterms:created>
  <dcterms:modified xsi:type="dcterms:W3CDTF">2026-10-19T13:42:49.072Z</dcterms:modified>
</cp:coreProperties>
</file>