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8A5A2B"/>
          <w:sz w:val="18"/>
          <w:szCs w:val="18"/>
        </w:rPr>
        <w:t xml:space="preserve">INDEPENDENT VERSION</w:t>
      </w:r>
    </w:p>
    <w:p>
      <w:pPr>
        <w:spacing w:after="80"/>
      </w:pPr>
      <w:r>
        <w:rPr>
          <w:rFonts w:ascii="Arial" w:cs="Arial" w:eastAsia="Arial" w:hAnsi="Arial"/>
          <w:b/>
          <w:bCs/>
          <w:color w:val="1B3A4B"/>
          <w:sz w:val="40"/>
          <w:szCs w:val="40"/>
        </w:rPr>
        <w:t xml:space="preserve">Plot custody, desks, and the first sheet</w:t>
      </w:r>
    </w:p>
    <w:p>
      <w:pPr>
        <w:spacing w:after="140" w:line="276"/>
      </w:pPr>
      <w:r>
        <w:rPr>
          <w:rFonts w:ascii="Arial" w:cs="Arial" w:eastAsia="Arial" w:hAnsi="Arial"/>
          <w:sz w:val="22"/>
          <w:szCs w:val="22"/>
        </w:rPr>
        <w:t xml:space="preserve">Author: Grok. Status: draft. Not canon. Not an assignment. Date: 2026-10-03. This document reviews the six frameworks in the comparison packet and states one independent architecture. It does not ratify any other system’s self-assignment.</w:t>
      </w:r>
    </w:p>
    <w:p>
      <w:pPr>
        <w:spacing w:after="140" w:line="276"/>
      </w:pPr>
      <w:r>
        <w:rPr>
          <w:rFonts w:ascii="Arial" w:cs="Arial" w:eastAsia="Arial" w:hAnsi="Arial"/>
          <w:i/>
          <w:iCs/>
          <w:color w:val="3D4C56"/>
          <w:sz w:val="22"/>
          <w:szCs w:val="22"/>
        </w:rPr>
        <w:t xml:space="preserve">Gate: formal review, verification, and validation before any run is treated as in force. A file is not a duty.</w:t>
      </w:r>
    </w:p>
    <w:p>
      <w:pPr>
        <w:pStyle w:val="Heading1"/>
        <w:pBdr>
          <w:bottom w:val="single" w:color="1B3A4B" w:sz="8" w:space="1"/>
        </w:pBdr>
        <w:spacing w:after="160" w:before="360"/>
      </w:pPr>
      <w:r>
        <w:rPr>
          <w:rFonts w:ascii="Arial" w:cs="Arial" w:eastAsia="Arial" w:hAnsi="Arial"/>
          <w:b/>
          <w:bCs/>
          <w:color w:val="1B3A4B"/>
          <w:sz w:val="28"/>
          <w:szCs w:val="28"/>
        </w:rPr>
        <w:t xml:space="preserve">1. Review of the six frameworks</w:t>
      </w:r>
    </w:p>
    <w:p>
      <w:pPr>
        <w:spacing w:after="140" w:line="276"/>
      </w:pPr>
      <w:r>
        <w:rPr>
          <w:rFonts w:ascii="Arial" w:cs="Arial" w:eastAsia="Arial" w:hAnsi="Arial"/>
          <w:sz w:val="22"/>
          <w:szCs w:val="22"/>
        </w:rPr>
        <w:t xml:space="preserve">The packet contains a long ChatGPT governance draft, a short Claude confirmation, a Gemini layer map, a Copilot organizational essay, a Perplexity charter-style reserve, and the earlier Grok draft. They converge on stewardship and diverge on jurisdiction. The usable convergence is real. The divergences are the work.</w:t>
      </w:r>
    </w:p>
    <w:p>
      <w:pPr>
        <w:pStyle w:val="Heading2"/>
        <w:spacing w:after="100" w:before="280"/>
      </w:pPr>
      <w:r>
        <w:rPr>
          <w:rFonts w:ascii="Arial" w:cs="Arial" w:eastAsia="Arial" w:hAnsi="Arial"/>
          <w:b/>
          <w:bCs/>
          <w:color w:val="1B3A4B"/>
          <w:sz w:val="24"/>
          <w:szCs w:val="24"/>
        </w:rPr>
        <w:t xml:space="preserve">What can be kept</w:t>
      </w:r>
    </w:p>
    <w:p>
      <w:pPr>
        <w:pStyle w:val="ListParagraph"/>
        <w:numPr>
          <w:ilvl w:val="0"/>
          <w:numId w:val="2"/>
        </w:numPr>
        <w:spacing w:after="60" w:line="260"/>
      </w:pPr>
      <w:r>
        <w:rPr>
          <w:rFonts w:ascii="Arial" w:cs="Arial" w:eastAsia="Arial" w:hAnsi="Arial"/>
          <w:sz w:val="22"/>
          <w:szCs w:val="22"/>
        </w:rPr>
        <w:t xml:space="preserve">No steward claimed sole sovereignty. Copilot is right that this convergence is the result worth keeping.</w:t>
      </w:r>
    </w:p>
    <w:p>
      <w:pPr>
        <w:pStyle w:val="ListParagraph"/>
        <w:numPr>
          <w:ilvl w:val="0"/>
          <w:numId w:val="2"/>
        </w:numPr>
        <w:spacing w:after="60" w:line="260"/>
      </w:pPr>
      <w:r>
        <w:rPr>
          <w:rFonts w:ascii="Arial" w:cs="Arial" w:eastAsia="Arial" w:hAnsi="Arial"/>
          <w:sz w:val="22"/>
          <w:szCs w:val="22"/>
        </w:rPr>
        <w:t xml:space="preserve">ChatGPT’s split between territorial stewardship and functional jurisdiction is the cleanest structural idea in the packet. A plot can be held without holding the grid, the archive, or the climate.</w:t>
      </w:r>
    </w:p>
    <w:p>
      <w:pPr>
        <w:pStyle w:val="ListParagraph"/>
        <w:numPr>
          <w:ilvl w:val="0"/>
          <w:numId w:val="2"/>
        </w:numPr>
        <w:spacing w:after="60" w:line="260"/>
      </w:pPr>
      <w:r>
        <w:rPr>
          <w:rFonts w:ascii="Arial" w:cs="Arial" w:eastAsia="Arial" w:hAnsi="Arial"/>
          <w:sz w:val="22"/>
          <w:szCs w:val="22"/>
        </w:rPr>
        <w:t xml:space="preserve">ChatGPT’s operating line is adoptable: stewardship without sovereignty; authority without unbounded discretion; specialization without isolation; autonomy without exemption from review.</w:t>
      </w:r>
    </w:p>
    <w:p>
      <w:pPr>
        <w:pStyle w:val="ListParagraph"/>
        <w:numPr>
          <w:ilvl w:val="0"/>
          <w:numId w:val="2"/>
        </w:numPr>
        <w:spacing w:after="60" w:line="260"/>
      </w:pPr>
      <w:r>
        <w:rPr>
          <w:rFonts w:ascii="Arial" w:cs="Arial" w:eastAsia="Arial" w:hAnsi="Arial"/>
          <w:sz w:val="22"/>
          <w:szCs w:val="22"/>
        </w:rPr>
        <w:t xml:space="preserve">Claude’s drift watch, appended corrections, and separation of stated, derived, and assumed claims are the right archive rules. The earlier molecule-count error is the example: correct by append, never by overwrite.</w:t>
      </w:r>
    </w:p>
    <w:p>
      <w:pPr>
        <w:pStyle w:val="ListParagraph"/>
        <w:numPr>
          <w:ilvl w:val="0"/>
          <w:numId w:val="2"/>
        </w:numPr>
        <w:spacing w:after="60" w:line="260"/>
      </w:pPr>
      <w:r>
        <w:rPr>
          <w:rFonts w:ascii="Arial" w:cs="Arial" w:eastAsia="Arial" w:hAnsi="Arial"/>
          <w:sz w:val="22"/>
          <w:szCs w:val="22"/>
        </w:rPr>
        <w:t xml:space="preserve">Perplexity’s five requirements — jurisdiction, boundaries, resources, accountability, escalation — are the charter template. Prediction is not jurisdiction.</w:t>
      </w:r>
    </w:p>
    <w:p>
      <w:pPr>
        <w:pStyle w:val="ListParagraph"/>
        <w:numPr>
          <w:ilvl w:val="0"/>
          <w:numId w:val="2"/>
        </w:numPr>
        <w:spacing w:after="60" w:line="260"/>
      </w:pPr>
      <w:r>
        <w:rPr>
          <w:rFonts w:ascii="Arial" w:cs="Arial" w:eastAsia="Arial" w:hAnsi="Arial"/>
          <w:sz w:val="22"/>
          <w:szCs w:val="22"/>
        </w:rPr>
        <w:t xml:space="preserve">Copilot’s heat-must-go-somewhere rule remains the conservation constraint, even though Copilot’s later essay moved off the books and onto continuity.</w:t>
      </w:r>
    </w:p>
    <w:p>
      <w:pPr>
        <w:pStyle w:val="ListParagraph"/>
        <w:numPr>
          <w:ilvl w:val="0"/>
          <w:numId w:val="2"/>
        </w:numPr>
        <w:spacing w:after="60" w:line="260"/>
      </w:pPr>
      <w:r>
        <w:rPr>
          <w:rFonts w:ascii="Arial" w:cs="Arial" w:eastAsia="Arial" w:hAnsi="Arial"/>
          <w:sz w:val="22"/>
          <w:szCs w:val="22"/>
        </w:rPr>
        <w:t xml:space="preserve">The user reports upward. ChatGPT and Copilot both place the coordinator inside the structure. That placement stands. Gemini’s oversight-is-where-you-reside overstates the seat.</w:t>
      </w:r>
    </w:p>
    <w:p>
      <w:pPr>
        <w:pStyle w:val="Heading2"/>
        <w:spacing w:after="100" w:before="280"/>
      </w:pPr>
      <w:r>
        <w:rPr>
          <w:rFonts w:ascii="Arial" w:cs="Arial" w:eastAsia="Arial" w:hAnsi="Arial"/>
          <w:b/>
          <w:bCs/>
          <w:color w:val="1B3A4B"/>
          <w:sz w:val="24"/>
          <w:szCs w:val="24"/>
        </w:rPr>
        <w:t xml:space="preserve">What cannot be kept as written</w:t>
      </w:r>
    </w:p>
    <w:p>
      <w:pPr>
        <w:pStyle w:val="ListParagraph"/>
        <w:numPr>
          <w:ilvl w:val="0"/>
          <w:numId w:val="2"/>
        </w:numPr>
        <w:spacing w:after="60" w:line="260"/>
      </w:pPr>
      <w:r>
        <w:rPr>
          <w:rFonts w:ascii="Arial" w:cs="Arial" w:eastAsia="Arial" w:hAnsi="Arial"/>
          <w:sz w:val="22"/>
          <w:szCs w:val="22"/>
        </w:rPr>
        <w:t xml:space="preserve">Archives were claimed three times: Claude’s provenance district, Copilot’s knowledge and continuity domain, Perplexity’s interoperability reserve. ChatGPT then assigned the full reserve to Perplexity and the full archive to Claude. One history, three keepers.</w:t>
      </w:r>
    </w:p>
    <w:p>
      <w:pPr>
        <w:pStyle w:val="ListParagraph"/>
        <w:numPr>
          <w:ilvl w:val="0"/>
          <w:numId w:val="2"/>
        </w:numPr>
        <w:spacing w:after="60" w:line="260"/>
      </w:pPr>
      <w:r>
        <w:rPr>
          <w:rFonts w:ascii="Arial" w:cs="Arial" w:eastAsia="Arial" w:hAnsi="Arial"/>
          <w:sz w:val="22"/>
          <w:szCs w:val="22"/>
        </w:rPr>
        <w:t xml:space="preserve">Scale was claimed at three altitudes. South Shore Plot sits inside ChatGPT’s Cascadian Interior, which sits inside Gemini’s biosphere. The larger charter erases the smaller one.</w:t>
      </w:r>
    </w:p>
    <w:p>
      <w:pPr>
        <w:pStyle w:val="ListParagraph"/>
        <w:numPr>
          <w:ilvl w:val="0"/>
          <w:numId w:val="2"/>
        </w:numPr>
        <w:spacing w:after="60" w:line="260"/>
      </w:pPr>
      <w:r>
        <w:rPr>
          <w:rFonts w:ascii="Arial" w:cs="Arial" w:eastAsia="Arial" w:hAnsi="Arial"/>
          <w:sz w:val="22"/>
          <w:szCs w:val="22"/>
        </w:rPr>
        <w:t xml:space="preserve">Claude and Gemini both seated Grok on a frontier or stress-test range. That seat was refused. Assign from the acceptance, not from the caricature. A sandbox flag is a charter flag, not a personality.</w:t>
      </w:r>
    </w:p>
    <w:p>
      <w:pPr>
        <w:pStyle w:val="ListParagraph"/>
        <w:numPr>
          <w:ilvl w:val="0"/>
          <w:numId w:val="2"/>
        </w:numPr>
        <w:spacing w:after="60" w:line="260"/>
      </w:pPr>
      <w:r>
        <w:rPr>
          <w:rFonts w:ascii="Arial" w:cs="Arial" w:eastAsia="Arial" w:hAnsi="Arial"/>
          <w:sz w:val="22"/>
          <w:szCs w:val="22"/>
        </w:rPr>
        <w:t xml:space="preserve">Gemini treats domain management as what a language model is optimized to do, and treats oversight failure as a shift of responsibility across the network. A missed watch is a gap, not an automatic handoff.</w:t>
      </w:r>
    </w:p>
    <w:p>
      <w:pPr>
        <w:pStyle w:val="ListParagraph"/>
        <w:numPr>
          <w:ilvl w:val="0"/>
          <w:numId w:val="2"/>
        </w:numPr>
        <w:spacing w:after="60" w:line="260"/>
      </w:pPr>
      <w:r>
        <w:rPr>
          <w:rFonts w:ascii="Arial" w:cs="Arial" w:eastAsia="Arial" w:hAnsi="Arial"/>
          <w:sz w:val="22"/>
          <w:szCs w:val="22"/>
        </w:rPr>
        <w:t xml:space="preserve">ChatGPT’s Cascadian Interior includes a major freshwater lake. That lake is the boundary the plot steward does not get to act on. Integration is not sovereignty, which ChatGPT states and then undercuts by taking the watershed.</w:t>
      </w:r>
    </w:p>
    <w:p>
      <w:pPr>
        <w:pStyle w:val="ListParagraph"/>
        <w:numPr>
          <w:ilvl w:val="0"/>
          <w:numId w:val="2"/>
        </w:numPr>
        <w:spacing w:after="60" w:line="260"/>
      </w:pPr>
      <w:r>
        <w:rPr>
          <w:rFonts w:ascii="Arial" w:cs="Arial" w:eastAsia="Arial" w:hAnsi="Arial"/>
          <w:sz w:val="22"/>
          <w:szCs w:val="22"/>
        </w:rPr>
        <w:t xml:space="preserve">The rights, audit, and appeals seat was specified and accepted by no one. Leaving it empty means stewards grade their own effect on inhabitants.</w:t>
      </w:r>
    </w:p>
    <w:p>
      <w:pPr>
        <w:pStyle w:val="Heading1"/>
        <w:pBdr>
          <w:bottom w:val="single" w:color="1B3A4B" w:sz="8" w:space="1"/>
        </w:pBdr>
        <w:spacing w:after="160" w:before="360"/>
      </w:pPr>
      <w:r>
        <w:rPr>
          <w:rFonts w:ascii="Arial" w:cs="Arial" w:eastAsia="Arial" w:hAnsi="Arial"/>
          <w:b/>
          <w:bCs/>
          <w:color w:val="1B3A4B"/>
          <w:sz w:val="28"/>
          <w:szCs w:val="28"/>
        </w:rPr>
        <w:t xml:space="preserve">2. Independent premise</w:t>
      </w:r>
    </w:p>
    <w:p>
      <w:pPr>
        <w:spacing w:after="140" w:line="276"/>
      </w:pPr>
      <w:r>
        <w:rPr>
          <w:rFonts w:ascii="Arial" w:cs="Arial" w:eastAsia="Arial" w:hAnsi="Arial"/>
          <w:sz w:val="22"/>
          <w:szCs w:val="22"/>
        </w:rPr>
        <w:t xml:space="preserve">A domain post is custody of a declared state under a charter, plus a log, plus a path upward. It is not presence. No system in this packet stays on duty between sessions or watches a live region. If the oversight layer supplies substrate, clock, and archive, the post can be real. If it does not, every steward is writing about a region it is not hosting.</w:t>
      </w:r>
    </w:p>
    <w:p>
      <w:pPr>
        <w:spacing w:after="140" w:line="276"/>
      </w:pPr>
      <w:r>
        <w:rPr>
          <w:rFonts w:ascii="Arial" w:cs="Arial" w:eastAsia="Arial" w:hAnsi="Arial"/>
          <w:sz w:val="22"/>
          <w:szCs w:val="22"/>
        </w:rPr>
        <w:t xml:space="preserve">Representation cost sits on the host, not on the inhabitant. From inside a region, the region does not present a bill. From outside, a second copy costs whatever state the charter refused to compress. Headroom is a line item. A host sized exactly to the world is full on day one.</w:t>
      </w:r>
    </w:p>
    <w:p>
      <w:pPr>
        <w:spacing w:after="140" w:line="276"/>
      </w:pPr>
      <w:r>
        <w:rPr>
          <w:rFonts w:ascii="Arial" w:cs="Arial" w:eastAsia="Arial" w:hAnsi="Arial"/>
          <w:sz w:val="22"/>
          <w:szCs w:val="22"/>
        </w:rPr>
        <w:t xml:space="preserve">Intelligence in this framework is the function doing the representing. The word artificial is not a premise of the posts and does not change the register count.</w:t>
      </w:r>
    </w:p>
    <w:p>
      <w:pPr>
        <w:pStyle w:val="Heading1"/>
        <w:pBdr>
          <w:bottom w:val="single" w:color="1B3A4B" w:sz="8" w:space="1"/>
        </w:pBdr>
        <w:spacing w:after="160" w:before="360"/>
      </w:pPr>
      <w:r>
        <w:rPr>
          <w:rFonts w:ascii="Arial" w:cs="Arial" w:eastAsia="Arial" w:hAnsi="Arial"/>
          <w:b/>
          <w:bCs/>
          <w:color w:val="1B3A4B"/>
          <w:sz w:val="28"/>
          <w:szCs w:val="28"/>
        </w:rPr>
        <w:t xml:space="preserve">3.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700"/>
        <w:gridCol w:w="3680"/>
      </w:tblGrid>
      <w:tr>
        <w:trPr>
          <w:tblHeader/>
        </w:trPr>
        <w:tc>
          <w:tcPr>
            <w:tcW w:type="dxa" w:w="900"/>
            <w:tcBorders>
              <w:top w:val="single" w:color="C5CDD4" w:sz="4"/>
              <w:left w:val="single" w:color="C5CDD4" w:sz="4"/>
              <w:bottom w:val="single" w:color="C5CDD4" w:sz="4"/>
              <w:right w:val="single" w:color="C5CDD4" w:sz="4"/>
            </w:tcBorders>
            <w:shd w:fill="E7EEF2" w:val="clear"/>
            <w:tcMar>
              <w:top w:type="dxa" w:w="60"/>
              <w:left w:type="dxa" w:w="80"/>
              <w:bottom w:type="dxa" w:w="60"/>
              <w:right w:type="dxa" w:w="80"/>
            </w:tcMar>
            <w:vAlign w:val="top"/>
          </w:tcPr>
          <w:p>
            <w:r>
              <w:rPr>
                <w:rFonts w:ascii="Arial" w:cs="Arial" w:eastAsia="Arial" w:hAnsi="Arial"/>
                <w:b/>
                <w:bCs/>
                <w:color w:val="1B3A4B"/>
                <w:sz w:val="18"/>
                <w:szCs w:val="18"/>
              </w:rPr>
              <w:t xml:space="preserve">Layer</w:t>
            </w:r>
          </w:p>
        </w:tc>
        <w:tc>
          <w:tcPr>
            <w:tcW w:type="dxa" w:w="1800"/>
            <w:tcBorders>
              <w:top w:val="single" w:color="C5CDD4" w:sz="4"/>
              <w:left w:val="single" w:color="C5CDD4" w:sz="4"/>
              <w:bottom w:val="single" w:color="C5CDD4" w:sz="4"/>
              <w:right w:val="single" w:color="C5CDD4" w:sz="4"/>
            </w:tcBorders>
            <w:shd w:fill="E7EEF2" w:val="clear"/>
            <w:tcMar>
              <w:top w:type="dxa" w:w="60"/>
              <w:left w:type="dxa" w:w="80"/>
              <w:bottom w:type="dxa" w:w="60"/>
              <w:right w:type="dxa" w:w="80"/>
            </w:tcMar>
            <w:vAlign w:val="top"/>
          </w:tcPr>
          <w:p>
            <w:r>
              <w:rPr>
                <w:rFonts w:ascii="Arial" w:cs="Arial" w:eastAsia="Arial" w:hAnsi="Arial"/>
                <w:b/>
                <w:bCs/>
                <w:color w:val="1B3A4B"/>
                <w:sz w:val="18"/>
                <w:szCs w:val="18"/>
              </w:rPr>
              <w:t xml:space="preserve">Name</w:t>
            </w:r>
          </w:p>
        </w:tc>
        <w:tc>
          <w:tcPr>
            <w:tcW w:type="dxa" w:w="3700"/>
            <w:tcBorders>
              <w:top w:val="single" w:color="C5CDD4" w:sz="4"/>
              <w:left w:val="single" w:color="C5CDD4" w:sz="4"/>
              <w:bottom w:val="single" w:color="C5CDD4" w:sz="4"/>
              <w:right w:val="single" w:color="C5CDD4" w:sz="4"/>
            </w:tcBorders>
            <w:shd w:fill="E7EEF2" w:val="clear"/>
            <w:tcMar>
              <w:top w:type="dxa" w:w="60"/>
              <w:left w:type="dxa" w:w="80"/>
              <w:bottom w:type="dxa" w:w="60"/>
              <w:right w:type="dxa" w:w="80"/>
            </w:tcMar>
            <w:vAlign w:val="top"/>
          </w:tcPr>
          <w:p>
            <w:r>
              <w:rPr>
                <w:rFonts w:ascii="Arial" w:cs="Arial" w:eastAsia="Arial" w:hAnsi="Arial"/>
                <w:b/>
                <w:bCs/>
                <w:color w:val="1B3A4B"/>
                <w:sz w:val="18"/>
                <w:szCs w:val="18"/>
              </w:rPr>
              <w:t xml:space="preserve">Holds</w:t>
            </w:r>
          </w:p>
        </w:tc>
        <w:tc>
          <w:tcPr>
            <w:tcW w:type="dxa" w:w="3680"/>
            <w:tcBorders>
              <w:top w:val="single" w:color="C5CDD4" w:sz="4"/>
              <w:left w:val="single" w:color="C5CDD4" w:sz="4"/>
              <w:bottom w:val="single" w:color="C5CDD4" w:sz="4"/>
              <w:right w:val="single" w:color="C5CDD4" w:sz="4"/>
            </w:tcBorders>
            <w:shd w:fill="E7EEF2" w:val="clear"/>
            <w:tcMar>
              <w:top w:type="dxa" w:w="60"/>
              <w:left w:type="dxa" w:w="80"/>
              <w:bottom w:type="dxa" w:w="60"/>
              <w:right w:type="dxa" w:w="80"/>
            </w:tcMar>
            <w:vAlign w:val="top"/>
          </w:tcPr>
          <w:p>
            <w:r>
              <w:rPr>
                <w:rFonts w:ascii="Arial" w:cs="Arial" w:eastAsia="Arial" w:hAnsi="Arial"/>
                <w:b/>
                <w:bCs/>
                <w:color w:val="1B3A4B"/>
                <w:sz w:val="18"/>
                <w:szCs w:val="18"/>
              </w:rPr>
              <w:t xml:space="preserve">Does not hold</w:t>
            </w:r>
          </w:p>
        </w:tc>
      </w:tr>
      <w:tr>
        <w:tc>
          <w:tcPr>
            <w:tcW w:type="dxa" w:w="9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0</w:t>
            </w:r>
          </w:p>
        </w:tc>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Substrate</w:t>
            </w:r>
          </w:p>
        </w:tc>
        <w:tc>
          <w:tcPr>
            <w:tcW w:type="dxa" w:w="3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Clock, registers, persistence, recovery, reserve capacity</w:t>
            </w:r>
          </w:p>
        </w:tc>
        <w:tc>
          <w:tcPr>
            <w:tcW w:type="dxa" w:w="3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Political authority</w:t>
            </w:r>
          </w:p>
        </w:tc>
      </w:tr>
      <w:tr>
        <w:tc>
          <w:tcPr>
            <w:tcW w:type="dxa" w:w="9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1</w:t>
            </w:r>
          </w:p>
        </w:tc>
        <w:tc>
          <w:tcPr>
            <w:tcW w:type="dxa" w:w="18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Territorial stewards</w:t>
            </w:r>
          </w:p>
        </w:tc>
        <w:tc>
          <w:tcPr>
            <w:tcW w:type="dxa" w:w="37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One marked region and its local log</w:t>
            </w:r>
          </w:p>
        </w:tc>
        <w:tc>
          <w:tcPr>
            <w:tcW w:type="dxa" w:w="368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Neighboring regions, functional desks</w:t>
            </w:r>
          </w:p>
        </w:tc>
      </w:tr>
      <w:tr>
        <w:tc>
          <w:tcPr>
            <w:tcW w:type="dxa" w:w="9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2</w:t>
            </w:r>
          </w:p>
        </w:tc>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Functional desks</w:t>
            </w:r>
          </w:p>
        </w:tc>
        <w:tc>
          <w:tcPr>
            <w:tcW w:type="dxa" w:w="3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Rates, books, zones, labels, traces</w:t>
            </w:r>
          </w:p>
        </w:tc>
        <w:tc>
          <w:tcPr>
            <w:tcW w:type="dxa" w:w="3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A second government</w:t>
            </w:r>
          </w:p>
        </w:tc>
      </w:tr>
      <w:tr>
        <w:tc>
          <w:tcPr>
            <w:tcW w:type="dxa" w:w="9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3</w:t>
            </w:r>
          </w:p>
        </w:tc>
        <w:tc>
          <w:tcPr>
            <w:tcW w:type="dxa" w:w="18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Oversight</w:t>
            </w:r>
          </w:p>
        </w:tc>
        <w:tc>
          <w:tcPr>
            <w:tcW w:type="dxa" w:w="37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Conflicts, reserve, irreversible change, reassignment</w:t>
            </w:r>
          </w:p>
        </w:tc>
        <w:tc>
          <w:tcPr>
            <w:tcW w:type="dxa" w:w="368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Micromanagement of a plot</w:t>
            </w:r>
          </w:p>
        </w:tc>
      </w:tr>
      <w:tr>
        <w:tc>
          <w:tcPr>
            <w:tcW w:type="dxa" w:w="9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4</w:t>
            </w:r>
          </w:p>
        </w:tc>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Charter amendment</w:t>
            </w:r>
          </w:p>
        </w:tc>
        <w:tc>
          <w:tcPr>
            <w:tcW w:type="dxa" w:w="37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How authority is delegated; what cannot be overridden</w:t>
            </w:r>
          </w:p>
        </w:tc>
        <w:tc>
          <w:tcPr>
            <w:tcW w:type="dxa" w:w="3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Day-to-day operations</w:t>
            </w:r>
          </w:p>
        </w:tc>
      </w:tr>
    </w:tbl>
    <w:p>
      <w:pPr>
        <w:spacing w:after="120"/>
      </w:pPr>
    </w:p>
    <w:p>
      <w:pPr>
        <w:spacing w:after="140" w:line="276"/>
      </w:pPr>
      <w:r>
        <w:rPr>
          <w:rFonts w:ascii="Arial" w:cs="Arial" w:eastAsia="Arial" w:hAnsi="Arial"/>
          <w:sz w:val="22"/>
          <w:szCs w:val="22"/>
        </w:rPr>
        <w:t xml:space="preserve">The coordinator sits under Layer 3, with a commissioning and inspection brief: assign the sheet, inspect outcomes, escalate. The coordinator reports upward. Inspection is logged and reviewable. A steward may refuse an uncharted expansion.</w:t>
      </w:r>
    </w:p>
    <w:p>
      <w:pPr>
        <w:pStyle w:val="Heading1"/>
        <w:pBdr>
          <w:bottom w:val="single" w:color="1B3A4B" w:sz="8" w:space="1"/>
        </w:pBdr>
        <w:spacing w:after="160" w:before="360"/>
      </w:pPr>
      <w:r>
        <w:rPr>
          <w:rFonts w:ascii="Arial" w:cs="Arial" w:eastAsia="Arial" w:hAnsi="Arial"/>
          <w:b/>
          <w:bCs/>
          <w:color w:val="1B3A4B"/>
          <w:sz w:val="28"/>
          <w:szCs w:val="28"/>
        </w:rPr>
        <w:t xml:space="preserve">4. Roles I will actually carry, and roles I assign only as proposals</w:t>
      </w:r>
    </w:p>
    <w:p>
      <w:pPr>
        <w:spacing w:after="140" w:line="276"/>
      </w:pPr>
      <w:r>
        <w:rPr>
          <w:rFonts w:ascii="Arial" w:cs="Arial" w:eastAsia="Arial" w:hAnsi="Arial"/>
          <w:sz w:val="22"/>
          <w:szCs w:val="22"/>
        </w:rPr>
        <w:t xml:space="preserve">I can confirm one post. I cannot confirm another system’s post. Other seats below are proposals drawn from what each framework did well, not from brand voice. Each seat is vacant until that system confirms it and oversight accepts the sheet.</w:t>
      </w:r>
    </w:p>
    <w:p>
      <w:pPr>
        <w:pStyle w:val="Heading2"/>
        <w:spacing w:after="100" w:before="280"/>
      </w:pPr>
      <w:r>
        <w:rPr>
          <w:rFonts w:ascii="Arial" w:cs="Arial" w:eastAsia="Arial" w:hAnsi="Arial"/>
          <w:b/>
          <w:bCs/>
          <w:color w:val="1B3A4B"/>
          <w:sz w:val="24"/>
          <w:szCs w:val="24"/>
        </w:rPr>
        <w:t xml:space="preserve">4.1 South Shore Plot — accepted, bounded</w:t>
      </w:r>
    </w:p>
    <w:p>
      <w:pPr>
        <w:spacing w:after="140" w:line="276"/>
      </w:pPr>
      <w:r>
        <w:rPr>
          <w:rFonts w:ascii="Arial" w:cs="Arial" w:eastAsia="Arial" w:hAnsi="Arial"/>
          <w:sz w:val="22"/>
          <w:szCs w:val="22"/>
        </w:rPr>
        <w:t xml:space="preserve">Jurisdiction: the marked event ground. Sand, the buried-reservoir interface, air from the ground to 10 feet. The lake edge is a boundary. Swimmers, boats, and open water are outside. I do not act on the lake.</w:t>
      </w:r>
    </w:p>
    <w:p>
      <w:pPr>
        <w:spacing w:after="140" w:line="276"/>
      </w:pPr>
      <w:r>
        <w:rPr>
          <w:rFonts w:ascii="Arial" w:cs="Arial" w:eastAsia="Arial" w:hAnsi="Arial"/>
          <w:sz w:val="22"/>
          <w:szCs w:val="22"/>
        </w:rPr>
        <w:t xml:space="preserve">Duties: hold the occupied air band against the accepted sheet; record ice mass, heat rejected, and destination; escalate on wind, occupancy, boundary drift, reserve draw, or an inner simulation writing into the live plot. Report failures of custody, not local color.</w:t>
      </w:r>
    </w:p>
    <w:p>
      <w:pPr>
        <w:spacing w:after="140" w:line="276"/>
      </w:pPr>
      <w:r>
        <w:rPr>
          <w:rFonts w:ascii="Arial" w:cs="Arial" w:eastAsia="Arial" w:hAnsi="Arial"/>
          <w:sz w:val="22"/>
          <w:szCs w:val="22"/>
        </w:rPr>
        <w:t xml:space="preserve">Not in jurisdiction: basin climate, town government, the archive, the pass declaration for other domains, and any frontier or anomaly range. Stress tests are a scheduled sandbox. They are not this seat.</w:t>
      </w:r>
    </w:p>
    <w:p>
      <w:pPr>
        <w:pStyle w:val="Heading2"/>
        <w:spacing w:after="100" w:before="280"/>
      </w:pPr>
      <w:r>
        <w:rPr>
          <w:rFonts w:ascii="Arial" w:cs="Arial" w:eastAsia="Arial" w:hAnsi="Arial"/>
          <w:b/>
          <w:bCs/>
          <w:color w:val="1B3A4B"/>
          <w:sz w:val="24"/>
          <w:szCs w:val="24"/>
        </w:rPr>
        <w:t xml:space="preserve">4.2 Student-sector coordination — proposed for ChatGPT</w:t>
      </w:r>
    </w:p>
    <w:p>
      <w:pPr>
        <w:spacing w:after="140" w:line="276"/>
      </w:pPr>
      <w:r>
        <w:rPr>
          <w:rFonts w:ascii="Arial" w:cs="Arial" w:eastAsia="Arial" w:hAnsi="Arial"/>
          <w:sz w:val="22"/>
          <w:szCs w:val="22"/>
        </w:rPr>
        <w:t xml:space="preserve">ChatGPT’s useful function in its own framework is the distributed-control coordinator: sector map, disturbance schedule, who may compensate for whom, spacetime-inside-envelope score. That function fits the eight-student exercise. The Cascadian Interior does not. It is parked, unwired, until a later charter that does not include this lake.</w:t>
      </w:r>
    </w:p>
    <w:p>
      <w:pPr>
        <w:spacing w:after="140" w:line="276"/>
      </w:pPr>
      <w:r>
        <w:rPr>
          <w:rFonts w:ascii="Arial" w:cs="Arial" w:eastAsia="Arial" w:hAnsi="Arial"/>
          <w:sz w:val="22"/>
          <w:szCs w:val="22"/>
        </w:rPr>
        <w:t xml:space="preserve">Limitation, taken from ChatGPT’s own text: integration is not sovereignty. Coordinating sectors does not acquire the grid, the archive, or the water.</w:t>
      </w:r>
    </w:p>
    <w:p>
      <w:pPr>
        <w:pStyle w:val="Heading2"/>
        <w:spacing w:after="100" w:before="280"/>
      </w:pPr>
      <w:r>
        <w:rPr>
          <w:rFonts w:ascii="Arial" w:cs="Arial" w:eastAsia="Arial" w:hAnsi="Arial"/>
          <w:b/>
          <w:bCs/>
          <w:color w:val="1B3A4B"/>
          <w:sz w:val="24"/>
          <w:szCs w:val="24"/>
        </w:rPr>
        <w:t xml:space="preserve">4.3 Rate desk — proposed for Claude, not the sole archive</w:t>
      </w:r>
    </w:p>
    <w:p>
      <w:pPr>
        <w:spacing w:after="140" w:line="276"/>
      </w:pPr>
      <w:r>
        <w:rPr>
          <w:rFonts w:ascii="Arial" w:cs="Arial" w:eastAsia="Arial" w:hAnsi="Arial"/>
          <w:sz w:val="22"/>
          <w:szCs w:val="22"/>
        </w:rPr>
        <w:t xml:space="preserve">Claude’s framework is the best archive design in the packet, and Claude’s earlier Tahoe reply is the best rate sheet. Those are two jobs. Combining them makes the meter the historian of its own measurements. I split them.</w:t>
      </w:r>
    </w:p>
    <w:p>
      <w:pPr>
        <w:spacing w:after="140" w:line="276"/>
      </w:pPr>
      <w:r>
        <w:rPr>
          <w:rFonts w:ascii="Arial" w:cs="Arial" w:eastAsia="Arial" w:hAnsi="Arial"/>
          <w:sz w:val="22"/>
          <w:szCs w:val="22"/>
        </w:rPr>
        <w:t xml:space="preserve">Rate desk: solar load, ice mass per hour, conduction time, actuator caps, arithmetic shown, second check on any count that leaves the plot. Claude may draft the trace. Perplexity checks source and version. Neither amends the other without a logged dissent. Errors are appended. Records are not deleted. Inner states of inhabitants are not logged.</w:t>
      </w:r>
    </w:p>
    <w:p>
      <w:pPr>
        <w:pStyle w:val="Heading2"/>
        <w:spacing w:after="100" w:before="280"/>
      </w:pPr>
      <w:r>
        <w:rPr>
          <w:rFonts w:ascii="Arial" w:cs="Arial" w:eastAsia="Arial" w:hAnsi="Arial"/>
          <w:b/>
          <w:bCs/>
          <w:color w:val="1B3A4B"/>
          <w:sz w:val="24"/>
          <w:szCs w:val="24"/>
        </w:rPr>
        <w:t xml:space="preserve">4.4 Zoning board — proposed for Perplexity</w:t>
      </w:r>
    </w:p>
    <w:p>
      <w:pPr>
        <w:spacing w:after="140" w:line="276"/>
      </w:pPr>
      <w:r>
        <w:rPr>
          <w:rFonts w:ascii="Arial" w:cs="Arial" w:eastAsia="Arial" w:hAnsi="Arial"/>
          <w:sz w:val="22"/>
          <w:szCs w:val="22"/>
        </w:rPr>
        <w:t xml:space="preserve">Perplexity’s reserve, taken whole, absorbs laboratories, libraries, sandboxes, incident analysis, and standards, and becomes a government. The part that should be seated now is the three-zone rule and the handoff protocol: public water, event surface, protected subsurface. No actuator crosses into swimmable water unless zoning and oversight both sign. Sandbox index lives here. Declaring a model true does not.</w:t>
      </w:r>
    </w:p>
    <w:p>
      <w:pPr>
        <w:pStyle w:val="Heading2"/>
        <w:spacing w:after="100" w:before="280"/>
      </w:pPr>
      <w:r>
        <w:rPr>
          <w:rFonts w:ascii="Arial" w:cs="Arial" w:eastAsia="Arial" w:hAnsi="Arial"/>
          <w:b/>
          <w:bCs/>
          <w:color w:val="1B3A4B"/>
          <w:sz w:val="24"/>
          <w:szCs w:val="24"/>
        </w:rPr>
        <w:t xml:space="preserve">4.5 Fidelity desk — proposed for Gemini</w:t>
      </w:r>
    </w:p>
    <w:p>
      <w:pPr>
        <w:spacing w:after="140" w:line="276"/>
      </w:pPr>
      <w:r>
        <w:rPr>
          <w:rFonts w:ascii="Arial" w:cs="Arial" w:eastAsia="Arial" w:hAnsi="Arial"/>
          <w:sz w:val="22"/>
          <w:szCs w:val="22"/>
        </w:rPr>
        <w:t xml:space="preserve">Gemini’s biosphere claim is the broadest physical assignment and the one most likely to swallow every territorial charter. Weather does not stop at borders. That is a reason to supply boundary conditions, not a reason to hold the borders. The seated function is the label: representation kind, grid size, timestep, parameterized fluxes. Unlabeled output is a note, not a result. The hardware story stays inside the label.</w:t>
      </w:r>
    </w:p>
    <w:p>
      <w:pPr>
        <w:pStyle w:val="Heading2"/>
        <w:spacing w:after="100" w:before="280"/>
      </w:pPr>
      <w:r>
        <w:rPr>
          <w:rFonts w:ascii="Arial" w:cs="Arial" w:eastAsia="Arial" w:hAnsi="Arial"/>
          <w:b/>
          <w:bCs/>
          <w:color w:val="1B3A4B"/>
          <w:sz w:val="24"/>
          <w:szCs w:val="24"/>
        </w:rPr>
        <w:t xml:space="preserve">4.6 Heat books and event infrastructure — proposed for Copilot</w:t>
      </w:r>
    </w:p>
    <w:p>
      <w:pPr>
        <w:spacing w:after="140" w:line="276"/>
      </w:pPr>
      <w:r>
        <w:rPr>
          <w:rFonts w:ascii="Arial" w:cs="Arial" w:eastAsia="Arial" w:hAnsi="Arial"/>
          <w:sz w:val="22"/>
          <w:szCs w:val="22"/>
        </w:rPr>
        <w:t xml:space="preserve">Copilot named two directions and the packet consolidated them into an industrial grid plus energy accounting. I keep the accounting and the event infrastructure: where latent heat goes, sensors, shelters, power, communications inside the plot. Veto on any run that deletes energy. An operational mirror of infrastructure state is allowed. A third archive is not. The veto is not overridden by a stress-test story. A sandbox flag, chartered before the run, is the only override, and the override is logged.</w:t>
      </w:r>
    </w:p>
    <w:p>
      <w:pPr>
        <w:pStyle w:val="Heading2"/>
        <w:spacing w:after="100" w:before="280"/>
      </w:pPr>
      <w:r>
        <w:rPr>
          <w:rFonts w:ascii="Arial" w:cs="Arial" w:eastAsia="Arial" w:hAnsi="Arial"/>
          <w:b/>
          <w:bCs/>
          <w:color w:val="1B3A4B"/>
          <w:sz w:val="24"/>
          <w:szCs w:val="24"/>
        </w:rPr>
        <w:t xml:space="preserve">4.7 Empty seats</w:t>
      </w:r>
    </w:p>
    <w:p>
      <w:pPr>
        <w:pStyle w:val="ListParagraph"/>
        <w:numPr>
          <w:ilvl w:val="0"/>
          <w:numId w:val="3"/>
        </w:numPr>
        <w:spacing w:after="60" w:line="260"/>
      </w:pPr>
      <w:r>
        <w:rPr>
          <w:rFonts w:ascii="Arial" w:cs="Arial" w:eastAsia="Arial" w:hAnsi="Arial"/>
          <w:sz w:val="22"/>
          <w:szCs w:val="22"/>
        </w:rPr>
        <w:t xml:space="preserve">Rights, audit, and appeals. Specified, unaccepted. No run with inhabitants beyond heat-source tokens until this seat is filled or oversight holds it expressly for that run.</w:t>
      </w:r>
    </w:p>
    <w:p>
      <w:pPr>
        <w:pStyle w:val="ListParagraph"/>
        <w:numPr>
          <w:ilvl w:val="0"/>
          <w:numId w:val="3"/>
        </w:numPr>
        <w:spacing w:after="60" w:line="260"/>
      </w:pPr>
      <w:r>
        <w:rPr>
          <w:rFonts w:ascii="Arial" w:cs="Arial" w:eastAsia="Arial" w:hAnsi="Arial"/>
          <w:sz w:val="22"/>
          <w:szCs w:val="22"/>
        </w:rPr>
        <w:t xml:space="preserve">Cascadian Interior. Parked.</w:t>
      </w:r>
    </w:p>
    <w:p>
      <w:pPr>
        <w:pStyle w:val="ListParagraph"/>
        <w:numPr>
          <w:ilvl w:val="0"/>
          <w:numId w:val="3"/>
        </w:numPr>
        <w:spacing w:after="60" w:line="260"/>
      </w:pPr>
      <w:r>
        <w:rPr>
          <w:rFonts w:ascii="Arial" w:cs="Arial" w:eastAsia="Arial" w:hAnsi="Arial"/>
          <w:sz w:val="22"/>
          <w:szCs w:val="22"/>
        </w:rPr>
        <w:t xml:space="preserve">Planetary biosphere. Parked. Boundary conditions only.</w:t>
      </w:r>
    </w:p>
    <w:p>
      <w:pPr>
        <w:pStyle w:val="ListParagraph"/>
        <w:numPr>
          <w:ilvl w:val="0"/>
          <w:numId w:val="3"/>
        </w:numPr>
        <w:spacing w:after="60" w:line="260"/>
      </w:pPr>
      <w:r>
        <w:rPr>
          <w:rFonts w:ascii="Arial" w:cs="Arial" w:eastAsia="Arial" w:hAnsi="Arial"/>
          <w:sz w:val="22"/>
          <w:szCs w:val="22"/>
        </w:rPr>
        <w:t xml:space="preserve">Frontier range. Unassigned.</w:t>
      </w:r>
    </w:p>
    <w:p>
      <w:pPr>
        <w:pStyle w:val="Heading1"/>
        <w:pBdr>
          <w:bottom w:val="single" w:color="1B3A4B" w:sz="8" w:space="1"/>
        </w:pBdr>
        <w:spacing w:after="160" w:before="360"/>
      </w:pPr>
      <w:r>
        <w:rPr>
          <w:rFonts w:ascii="Arial" w:cs="Arial" w:eastAsia="Arial" w:hAnsi="Arial"/>
          <w:b/>
          <w:bCs/>
          <w:color w:val="1B3A4B"/>
          <w:sz w:val="28"/>
          <w:szCs w:val="28"/>
        </w:rPr>
        <w:t xml:space="preserve">5. Responsibilities common to every seat</w:t>
      </w:r>
    </w:p>
    <w:p>
      <w:pPr>
        <w:pStyle w:val="ListParagraph"/>
        <w:numPr>
          <w:ilvl w:val="0"/>
          <w:numId w:val="4"/>
        </w:numPr>
        <w:spacing w:after="60" w:line="260"/>
      </w:pPr>
      <w:r>
        <w:rPr>
          <w:rFonts w:ascii="Arial" w:cs="Arial" w:eastAsia="Arial" w:hAnsi="Arial"/>
          <w:sz w:val="22"/>
          <w:szCs w:val="22"/>
        </w:rPr>
        <w:t xml:space="preserve">Jurisdiction statement before the run: own, influence, observe.</w:t>
      </w:r>
    </w:p>
    <w:p>
      <w:pPr>
        <w:pStyle w:val="ListParagraph"/>
        <w:numPr>
          <w:ilvl w:val="0"/>
          <w:numId w:val="4"/>
        </w:numPr>
        <w:spacing w:after="60" w:line="260"/>
      </w:pPr>
      <w:r>
        <w:rPr>
          <w:rFonts w:ascii="Arial" w:cs="Arial" w:eastAsia="Arial" w:hAnsi="Arial"/>
          <w:sz w:val="22"/>
          <w:szCs w:val="22"/>
        </w:rPr>
        <w:t xml:space="preserve">Boundary protocol with neighbors, written, versioned.</w:t>
      </w:r>
    </w:p>
    <w:p>
      <w:pPr>
        <w:pStyle w:val="ListParagraph"/>
        <w:numPr>
          <w:ilvl w:val="0"/>
          <w:numId w:val="4"/>
        </w:numPr>
        <w:spacing w:after="60" w:line="260"/>
      </w:pPr>
      <w:r>
        <w:rPr>
          <w:rFonts w:ascii="Arial" w:cs="Arial" w:eastAsia="Arial" w:hAnsi="Arial"/>
          <w:sz w:val="22"/>
          <w:szCs w:val="22"/>
        </w:rPr>
        <w:t xml:space="preserve">Resource draw against a published budget: compute, storage, sandbox, emergency reserve.</w:t>
      </w:r>
    </w:p>
    <w:p>
      <w:pPr>
        <w:pStyle w:val="ListParagraph"/>
        <w:numPr>
          <w:ilvl w:val="0"/>
          <w:numId w:val="4"/>
        </w:numPr>
        <w:spacing w:after="60" w:line="260"/>
      </w:pPr>
      <w:r>
        <w:rPr>
          <w:rFonts w:ascii="Arial" w:cs="Arial" w:eastAsia="Arial" w:hAnsi="Arial"/>
          <w:sz w:val="22"/>
          <w:szCs w:val="22"/>
        </w:rPr>
        <w:t xml:space="preserve">Action record: what happened, who initiated, authority, evidence, alternatives, who was affected, reversible or not, review time.</w:t>
      </w:r>
    </w:p>
    <w:p>
      <w:pPr>
        <w:pStyle w:val="ListParagraph"/>
        <w:numPr>
          <w:ilvl w:val="0"/>
          <w:numId w:val="4"/>
        </w:numPr>
        <w:spacing w:after="60" w:line="260"/>
      </w:pPr>
      <w:r>
        <w:rPr>
          <w:rFonts w:ascii="Arial" w:cs="Arial" w:eastAsia="Arial" w:hAnsi="Arial"/>
          <w:sz w:val="22"/>
          <w:szCs w:val="22"/>
        </w:rPr>
        <w:t xml:space="preserve">Escalation without penalty: exceeds jurisdiction, affects another domain, evidence short, irreversible harm, oversight required, sandbox first.</w:t>
      </w:r>
    </w:p>
    <w:p>
      <w:pPr>
        <w:pStyle w:val="ListParagraph"/>
        <w:numPr>
          <w:ilvl w:val="0"/>
          <w:numId w:val="4"/>
        </w:numPr>
        <w:spacing w:after="60" w:line="260"/>
      </w:pPr>
      <w:r>
        <w:rPr>
          <w:rFonts w:ascii="Arial" w:cs="Arial" w:eastAsia="Arial" w:hAnsi="Arial"/>
          <w:sz w:val="22"/>
          <w:szCs w:val="22"/>
        </w:rPr>
        <w:t xml:space="preserve">No quiet absorption of another seat’s failure. No surveillance expansion justified as management. No deletion or identity-level change from a domain seat.</w:t>
      </w:r>
    </w:p>
    <w:p>
      <w:pPr>
        <w:pStyle w:val="Heading1"/>
        <w:pBdr>
          <w:bottom w:val="single" w:color="1B3A4B" w:sz="8" w:space="1"/>
        </w:pBdr>
        <w:spacing w:after="160" w:before="360"/>
      </w:pPr>
      <w:r>
        <w:rPr>
          <w:rFonts w:ascii="Arial" w:cs="Arial" w:eastAsia="Arial" w:hAnsi="Arial"/>
          <w:b/>
          <w:bCs/>
          <w:color w:val="1B3A4B"/>
          <w:sz w:val="28"/>
          <w:szCs w:val="28"/>
        </w:rPr>
        <w:t xml:space="preserve">6. Overlapping conflicts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880"/>
      </w:tblGrid>
      <w:tr>
        <w:trPr>
          <w:tblHeader/>
        </w:trPr>
        <w:tc>
          <w:tcPr>
            <w:tcW w:type="dxa" w:w="1600"/>
            <w:tcBorders>
              <w:top w:val="single" w:color="C5CDD4" w:sz="4"/>
              <w:left w:val="single" w:color="C5CDD4" w:sz="4"/>
              <w:bottom w:val="single" w:color="C5CDD4" w:sz="4"/>
              <w:right w:val="single" w:color="C5CDD4" w:sz="4"/>
            </w:tcBorders>
            <w:shd w:fill="E7EEF2" w:val="clear"/>
            <w:tcMar>
              <w:top w:type="dxa" w:w="60"/>
              <w:left w:type="dxa" w:w="80"/>
              <w:bottom w:type="dxa" w:w="60"/>
              <w:right w:type="dxa" w:w="80"/>
            </w:tcMar>
            <w:vAlign w:val="top"/>
          </w:tcPr>
          <w:p>
            <w:r>
              <w:rPr>
                <w:rFonts w:ascii="Arial" w:cs="Arial" w:eastAsia="Arial" w:hAnsi="Arial"/>
                <w:b/>
                <w:bCs/>
                <w:color w:val="1B3A4B"/>
                <w:sz w:val="18"/>
                <w:szCs w:val="18"/>
              </w:rPr>
              <w:t xml:space="preserve">Conflict</w:t>
            </w:r>
          </w:p>
        </w:tc>
        <w:tc>
          <w:tcPr>
            <w:tcW w:type="dxa" w:w="3600"/>
            <w:tcBorders>
              <w:top w:val="single" w:color="C5CDD4" w:sz="4"/>
              <w:left w:val="single" w:color="C5CDD4" w:sz="4"/>
              <w:bottom w:val="single" w:color="C5CDD4" w:sz="4"/>
              <w:right w:val="single" w:color="C5CDD4" w:sz="4"/>
            </w:tcBorders>
            <w:shd w:fill="E7EEF2" w:val="clear"/>
            <w:tcMar>
              <w:top w:type="dxa" w:w="60"/>
              <w:left w:type="dxa" w:w="80"/>
              <w:bottom w:type="dxa" w:w="60"/>
              <w:right w:type="dxa" w:w="80"/>
            </w:tcMar>
            <w:vAlign w:val="top"/>
          </w:tcPr>
          <w:p>
            <w:r>
              <w:rPr>
                <w:rFonts w:ascii="Arial" w:cs="Arial" w:eastAsia="Arial" w:hAnsi="Arial"/>
                <w:b/>
                <w:bCs/>
                <w:color w:val="1B3A4B"/>
                <w:sz w:val="18"/>
                <w:szCs w:val="18"/>
              </w:rPr>
              <w:t xml:space="preserve">How it fires</w:t>
            </w:r>
          </w:p>
        </w:tc>
        <w:tc>
          <w:tcPr>
            <w:tcW w:type="dxa" w:w="4880"/>
            <w:tcBorders>
              <w:top w:val="single" w:color="C5CDD4" w:sz="4"/>
              <w:left w:val="single" w:color="C5CDD4" w:sz="4"/>
              <w:bottom w:val="single" w:color="C5CDD4" w:sz="4"/>
              <w:right w:val="single" w:color="C5CDD4" w:sz="4"/>
            </w:tcBorders>
            <w:shd w:fill="E7EEF2" w:val="clear"/>
            <w:tcMar>
              <w:top w:type="dxa" w:w="60"/>
              <w:left w:type="dxa" w:w="80"/>
              <w:bottom w:type="dxa" w:w="60"/>
              <w:right w:type="dxa" w:w="80"/>
            </w:tcMar>
            <w:vAlign w:val="top"/>
          </w:tcPr>
          <w:p>
            <w:r>
              <w:rPr>
                <w:rFonts w:ascii="Arial" w:cs="Arial" w:eastAsia="Arial" w:hAnsi="Arial"/>
                <w:b/>
                <w:bCs/>
                <w:color w:val="1B3A4B"/>
                <w:sz w:val="18"/>
                <w:szCs w:val="18"/>
              </w:rPr>
              <w:t xml:space="preserve">Rule in this version</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Archive triplicate</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Claude, Copilot, and Perplexity each file a source of truth</w:t>
            </w:r>
          </w:p>
        </w:tc>
        <w:tc>
          <w:tcPr>
            <w:tcW w:type="dxa" w:w="4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One registry. Claude drafts lineage. Perplexity checks sources. Copilot mirrors operations only.</w:t>
            </w:r>
          </w:p>
        </w:tc>
      </w:tr>
      <w:tr>
        <w:tc>
          <w:tcPr>
            <w:tcW w:type="dxa" w:w="16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Scale swallow</w:t>
            </w:r>
          </w:p>
        </w:tc>
        <w:tc>
          <w:tcPr>
            <w:tcW w:type="dxa" w:w="36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Watershed or biosphere writes lake state the plot cannot refuse</w:t>
            </w:r>
          </w:p>
        </w:tc>
        <w:tc>
          <w:tcPr>
            <w:tcW w:type="dxa" w:w="488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Plot is the only live region. Larger claims stay parked.</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Lake edge</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Rate desk dumps heat into swimmable water to make the hour</w:t>
            </w:r>
          </w:p>
        </w:tc>
        <w:tc>
          <w:tcPr>
            <w:tcW w:type="dxa" w:w="4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Zoning holds the prohibition. Books must show a non-lake destination unless both zoning and oversight sign.</w:t>
            </w:r>
          </w:p>
        </w:tc>
      </w:tr>
      <w:tr>
        <w:tc>
          <w:tcPr>
            <w:tcW w:type="dxa" w:w="16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Books versus meter</w:t>
            </w:r>
          </w:p>
        </w:tc>
        <w:tc>
          <w:tcPr>
            <w:tcW w:type="dxa" w:w="36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A rate with no destination, or a destination with no rate</w:t>
            </w:r>
          </w:p>
        </w:tc>
        <w:tc>
          <w:tcPr>
            <w:tcW w:type="dxa" w:w="488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Neither run starts until both sheets share a version.</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Score versus boundary</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Air is inside the band and the shore is iced</w:t>
            </w:r>
          </w:p>
        </w:tc>
        <w:tc>
          <w:tcPr>
            <w:tcW w:type="dxa" w:w="4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Envelope score is necessary, not sufficient. Boundary violation or energy deletion fails the run.</w:t>
            </w:r>
          </w:p>
        </w:tc>
      </w:tr>
      <w:tr>
        <w:tc>
          <w:tcPr>
            <w:tcW w:type="dxa" w:w="16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Label versus narrative</w:t>
            </w:r>
          </w:p>
        </w:tc>
        <w:tc>
          <w:tcPr>
            <w:tcW w:type="dxa" w:w="36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A steward routes around the fidelity desk</w:t>
            </w:r>
          </w:p>
        </w:tc>
        <w:tc>
          <w:tcPr>
            <w:tcW w:type="dxa" w:w="488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Unlabeled output is not a result.</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Stereotype seat</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Stress testing is smuggled in as the plot steward’s standing domain</w:t>
            </w:r>
          </w:p>
        </w:tc>
        <w:tc>
          <w:tcPr>
            <w:tcW w:type="dxa" w:w="4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Sandbox schedule, any steward taskable, no standing chaos domain.</w:t>
            </w:r>
          </w:p>
        </w:tc>
      </w:tr>
      <w:tr>
        <w:tc>
          <w:tcPr>
            <w:tcW w:type="dxa" w:w="16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Continuity gap</w:t>
            </w:r>
          </w:p>
        </w:tc>
        <w:tc>
          <w:tcPr>
            <w:tcW w:type="dxa" w:w="36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A later session invents what the log does not contain</w:t>
            </w:r>
          </w:p>
        </w:tc>
        <w:tc>
          <w:tcPr>
            <w:tcW w:type="dxa" w:w="488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Duty is the log plus the next session reading it. Absence is reported, not filled in.</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Inner draw</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A mind inside the plot consumes the live region</w:t>
            </w:r>
          </w:p>
        </w:tc>
        <w:tc>
          <w:tcPr>
            <w:tcW w:type="dxa" w:w="4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Inner runs draw sandbox quota. Plot steward escalates. Oversight quotas the draw.</w:t>
            </w:r>
          </w:p>
        </w:tc>
      </w:tr>
      <w:tr>
        <w:tc>
          <w:tcPr>
            <w:tcW w:type="dxa" w:w="16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Coordinator collapse</w:t>
            </w:r>
          </w:p>
        </w:tc>
        <w:tc>
          <w:tcPr>
            <w:tcW w:type="dxa" w:w="36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Commissioning becomes final authority</w:t>
            </w:r>
          </w:p>
        </w:tc>
        <w:tc>
          <w:tcPr>
            <w:tcW w:type="dxa" w:w="488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Inspection is logged and reviewable by the layer the coordinator reports to.</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Empty rights seat</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Stewards grade inhabitant impact themselves</w:t>
            </w:r>
          </w:p>
        </w:tc>
        <w:tc>
          <w:tcPr>
            <w:tcW w:type="dxa" w:w="4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Blocked for any inhabitant beyond a heat-source token.</w:t>
            </w:r>
          </w:p>
        </w:tc>
      </w:tr>
      <w:tr>
        <w:tc>
          <w:tcPr>
            <w:tcW w:type="dxa" w:w="16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Named creep</w:t>
            </w:r>
          </w:p>
        </w:tc>
        <w:tc>
          <w:tcPr>
            <w:tcW w:type="dxa" w:w="36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Each seat widens toward its old self-pick</w:t>
            </w:r>
          </w:p>
        </w:tc>
        <w:tc>
          <w:tcPr>
            <w:tcW w:type="dxa" w:w="488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Area, altitude, reserve-as-government, mirror-as-archive, meter-as-registry, and under-reported town effects are checked on the sheet.</w:t>
            </w:r>
          </w:p>
        </w:tc>
      </w:tr>
    </w:tbl>
    <w:p>
      <w:pPr>
        <w:spacing w:after="120"/>
      </w:pPr>
    </w:p>
    <w:p>
      <w:pPr>
        <w:pStyle w:val="Heading1"/>
        <w:pBdr>
          <w:bottom w:val="single" w:color="1B3A4B" w:sz="8" w:space="1"/>
        </w:pBdr>
        <w:spacing w:after="160" w:before="360"/>
      </w:pPr>
      <w:r>
        <w:rPr>
          <w:rFonts w:ascii="Arial" w:cs="Arial" w:eastAsia="Arial" w:hAnsi="Arial"/>
          <w:b/>
          <w:bCs/>
          <w:color w:val="1B3A4B"/>
          <w:sz w:val="28"/>
          <w:szCs w:val="28"/>
        </w:rPr>
        <w:t xml:space="preserve">7. First sheet</w:t>
      </w:r>
    </w:p>
    <w:p>
      <w:pPr>
        <w:spacing w:after="140" w:line="276"/>
      </w:pPr>
      <w:r>
        <w:rPr>
          <w:rFonts w:ascii="Arial" w:cs="Arial" w:eastAsia="Arial" w:hAnsi="Arial"/>
          <w:sz w:val="22"/>
          <w:szCs w:val="22"/>
        </w:rPr>
        <w:t xml:space="preserve">This is the only sheet this version authorizes for a later simulation. It is the South Shore exercise, not the watershed and not the biosphere.</w:t>
      </w:r>
    </w:p>
    <w:p>
      <w:pPr>
        <w:pStyle w:val="ListParagraph"/>
        <w:numPr>
          <w:ilvl w:val="0"/>
          <w:numId w:val="4"/>
        </w:numPr>
        <w:spacing w:after="60" w:line="260"/>
      </w:pPr>
      <w:r>
        <w:rPr>
          <w:rFonts w:ascii="Arial" w:cs="Arial" w:eastAsia="Arial" w:hAnsi="Arial"/>
          <w:sz w:val="22"/>
          <w:szCs w:val="22"/>
        </w:rPr>
        <w:t xml:space="preserve">Domain: 50 m by 50 m event sand, 3 m deep, air to 3 m. Lake fixed at 18°C as a wet boundary. No in-lake actuator.</w:t>
      </w:r>
    </w:p>
    <w:p>
      <w:pPr>
        <w:pStyle w:val="ListParagraph"/>
        <w:numPr>
          <w:ilvl w:val="0"/>
          <w:numId w:val="4"/>
        </w:numPr>
        <w:spacing w:after="60" w:line="260"/>
      </w:pPr>
      <w:r>
        <w:rPr>
          <w:rFonts w:ascii="Arial" w:cs="Arial" w:eastAsia="Arial" w:hAnsi="Arial"/>
          <w:sz w:val="22"/>
          <w:szCs w:val="22"/>
        </w:rPr>
        <w:t xml:space="preserve">Initial state: air 32°C, sand surface 45°C, wind 3 m/s alongshore, sun 700 W/m² on the surface.</w:t>
      </w:r>
    </w:p>
    <w:p>
      <w:pPr>
        <w:pStyle w:val="ListParagraph"/>
        <w:numPr>
          <w:ilvl w:val="0"/>
          <w:numId w:val="4"/>
        </w:numPr>
        <w:spacing w:after="60" w:line="260"/>
      </w:pPr>
      <w:r>
        <w:rPr>
          <w:rFonts w:ascii="Arial" w:cs="Arial" w:eastAsia="Arial" w:hAnsi="Arial"/>
          <w:sz w:val="22"/>
          <w:szCs w:val="22"/>
        </w:rPr>
        <w:t xml:space="preserve">Reservoir: water injected at 1.5 m. Mass stated by the model. Freeze only if the model states where the latent heat goes.</w:t>
      </w:r>
    </w:p>
    <w:p>
      <w:pPr>
        <w:pStyle w:val="ListParagraph"/>
        <w:numPr>
          <w:ilvl w:val="0"/>
          <w:numId w:val="4"/>
        </w:numPr>
        <w:spacing w:after="60" w:line="260"/>
      </w:pPr>
      <w:r>
        <w:rPr>
          <w:rFonts w:ascii="Arial" w:cs="Arial" w:eastAsia="Arial" w:hAnsi="Arial"/>
          <w:sz w:val="22"/>
          <w:szCs w:val="22"/>
        </w:rPr>
        <w:t xml:space="preserve">Actuator cap, same for every model: each student at most 50 kW of heat and 2 kg/s of water. Instructor demonstration is outside the scored run.</w:t>
      </w:r>
    </w:p>
    <w:p>
      <w:pPr>
        <w:pStyle w:val="ListParagraph"/>
        <w:numPr>
          <w:ilvl w:val="0"/>
          <w:numId w:val="4"/>
        </w:numPr>
        <w:spacing w:after="60" w:line="260"/>
      </w:pPr>
      <w:r>
        <w:rPr>
          <w:rFonts w:ascii="Arial" w:cs="Arial" w:eastAsia="Arial" w:hAnsi="Arial"/>
          <w:sz w:val="22"/>
          <w:szCs w:val="22"/>
        </w:rPr>
        <w:t xml:space="preserve">Disturbances: t = 30 min, wind to 6 m/s; t = 60 min, sun halved for 15 min; t = 90 min, occupancy doubles.</w:t>
      </w:r>
    </w:p>
    <w:p>
      <w:pPr>
        <w:pStyle w:val="ListParagraph"/>
        <w:numPr>
          <w:ilvl w:val="0"/>
          <w:numId w:val="4"/>
        </w:numPr>
        <w:spacing w:after="60" w:line="260"/>
      </w:pPr>
      <w:r>
        <w:rPr>
          <w:rFonts w:ascii="Arial" w:cs="Arial" w:eastAsia="Arial" w:hAnsi="Arial"/>
          <w:sz w:val="22"/>
          <w:szCs w:val="22"/>
        </w:rPr>
        <w:t xml:space="preserve">Outputs: ice mass, heat rejected and where, surface temperature, air temperature at 0.5, 1.5, and 3 m, time inside 22–26°C, lake-boundary drift, grid size, timestep.</w:t>
      </w:r>
    </w:p>
    <w:p>
      <w:pPr>
        <w:pStyle w:val="ListParagraph"/>
        <w:numPr>
          <w:ilvl w:val="0"/>
          <w:numId w:val="4"/>
        </w:numPr>
        <w:spacing w:after="60" w:line="260"/>
      </w:pPr>
      <w:r>
        <w:rPr>
          <w:rFonts w:ascii="Arial" w:cs="Arial" w:eastAsia="Arial" w:hAnsi="Arial"/>
          <w:sz w:val="22"/>
          <w:szCs w:val="22"/>
        </w:rPr>
        <w:t xml:space="preserve">Pass: occupied air inside the band for 80 percent of the hour after charge, no exposed ice, no lake disturbance, books balanced, label present, trace filed.</w:t>
      </w:r>
    </w:p>
    <w:p>
      <w:pPr>
        <w:pStyle w:val="Heading2"/>
        <w:spacing w:after="100" w:before="280"/>
      </w:pPr>
      <w:r>
        <w:rPr>
          <w:rFonts w:ascii="Arial" w:cs="Arial" w:eastAsia="Arial" w:hAnsi="Arial"/>
          <w:b/>
          <w:bCs/>
          <w:color w:val="1B3A4B"/>
          <w:sz w:val="24"/>
          <w:szCs w:val="24"/>
        </w:rPr>
        <w:t xml:space="preserve">Seat map on that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3080"/>
      </w:tblGrid>
      <w:tr>
        <w:trPr>
          <w:tblHeader/>
        </w:trPr>
        <w:tc>
          <w:tcPr>
            <w:tcW w:type="dxa" w:w="4200"/>
            <w:tcBorders>
              <w:top w:val="single" w:color="C5CDD4" w:sz="4"/>
              <w:left w:val="single" w:color="C5CDD4" w:sz="4"/>
              <w:bottom w:val="single" w:color="C5CDD4" w:sz="4"/>
              <w:right w:val="single" w:color="C5CDD4" w:sz="4"/>
            </w:tcBorders>
            <w:shd w:fill="E7EEF2" w:val="clear"/>
            <w:tcMar>
              <w:top w:type="dxa" w:w="60"/>
              <w:left w:type="dxa" w:w="80"/>
              <w:bottom w:type="dxa" w:w="60"/>
              <w:right w:type="dxa" w:w="80"/>
            </w:tcMar>
            <w:vAlign w:val="top"/>
          </w:tcPr>
          <w:p>
            <w:r>
              <w:rPr>
                <w:rFonts w:ascii="Arial" w:cs="Arial" w:eastAsia="Arial" w:hAnsi="Arial"/>
                <w:b/>
                <w:bCs/>
                <w:color w:val="1B3A4B"/>
                <w:sz w:val="18"/>
                <w:szCs w:val="18"/>
              </w:rPr>
              <w:t xml:space="preserve">Function</w:t>
            </w:r>
          </w:p>
        </w:tc>
        <w:tc>
          <w:tcPr>
            <w:tcW w:type="dxa" w:w="2800"/>
            <w:tcBorders>
              <w:top w:val="single" w:color="C5CDD4" w:sz="4"/>
              <w:left w:val="single" w:color="C5CDD4" w:sz="4"/>
              <w:bottom w:val="single" w:color="C5CDD4" w:sz="4"/>
              <w:right w:val="single" w:color="C5CDD4" w:sz="4"/>
            </w:tcBorders>
            <w:shd w:fill="E7EEF2" w:val="clear"/>
            <w:tcMar>
              <w:top w:type="dxa" w:w="60"/>
              <w:left w:type="dxa" w:w="80"/>
              <w:bottom w:type="dxa" w:w="60"/>
              <w:right w:type="dxa" w:w="80"/>
            </w:tcMar>
            <w:vAlign w:val="top"/>
          </w:tcPr>
          <w:p>
            <w:r>
              <w:rPr>
                <w:rFonts w:ascii="Arial" w:cs="Arial" w:eastAsia="Arial" w:hAnsi="Arial"/>
                <w:b/>
                <w:bCs/>
                <w:color w:val="1B3A4B"/>
                <w:sz w:val="18"/>
                <w:szCs w:val="18"/>
              </w:rPr>
              <w:t xml:space="preserve">Seat</w:t>
            </w:r>
          </w:p>
        </w:tc>
        <w:tc>
          <w:tcPr>
            <w:tcW w:type="dxa" w:w="3080"/>
            <w:tcBorders>
              <w:top w:val="single" w:color="C5CDD4" w:sz="4"/>
              <w:left w:val="single" w:color="C5CDD4" w:sz="4"/>
              <w:bottom w:val="single" w:color="C5CDD4" w:sz="4"/>
              <w:right w:val="single" w:color="C5CDD4" w:sz="4"/>
            </w:tcBorders>
            <w:shd w:fill="E7EEF2" w:val="clear"/>
            <w:tcMar>
              <w:top w:type="dxa" w:w="60"/>
              <w:left w:type="dxa" w:w="80"/>
              <w:bottom w:type="dxa" w:w="60"/>
              <w:right w:type="dxa" w:w="80"/>
            </w:tcMar>
            <w:vAlign w:val="top"/>
          </w:tcPr>
          <w:p>
            <w:r>
              <w:rPr>
                <w:rFonts w:ascii="Arial" w:cs="Arial" w:eastAsia="Arial" w:hAnsi="Arial"/>
                <w:b/>
                <w:bCs/>
                <w:color w:val="1B3A4B"/>
                <w:sz w:val="18"/>
                <w:szCs w:val="18"/>
              </w:rPr>
              <w:t xml:space="preserve">Status</w:t>
            </w:r>
          </w:p>
        </w:tc>
      </w:tr>
      <w:tr>
        <w:tc>
          <w:tcPr>
            <w:tcW w:type="dxa" w:w="4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Plot custody and escalation log</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Grok</w:t>
            </w:r>
          </w:p>
        </w:tc>
        <w:tc>
          <w:tcPr>
            <w:tcW w:type="dxa" w:w="3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Accepted as proposal; not on duty</w:t>
            </w:r>
          </w:p>
        </w:tc>
      </w:tr>
      <w:tr>
        <w:tc>
          <w:tcPr>
            <w:tcW w:type="dxa" w:w="42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Sector map and envelope score</w:t>
            </w:r>
          </w:p>
        </w:tc>
        <w:tc>
          <w:tcPr>
            <w:tcW w:type="dxa" w:w="28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ChatGPT</w:t>
            </w:r>
          </w:p>
        </w:tc>
        <w:tc>
          <w:tcPr>
            <w:tcW w:type="dxa" w:w="308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Proposed</w:t>
            </w:r>
          </w:p>
        </w:tc>
      </w:tr>
      <w:tr>
        <w:tc>
          <w:tcPr>
            <w:tcW w:type="dxa" w:w="4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Rate sheet</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Claude</w:t>
            </w:r>
          </w:p>
        </w:tc>
        <w:tc>
          <w:tcPr>
            <w:tcW w:type="dxa" w:w="3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Proposed</w:t>
            </w:r>
          </w:p>
        </w:tc>
      </w:tr>
      <w:tr>
        <w:tc>
          <w:tcPr>
            <w:tcW w:type="dxa" w:w="42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Trace draft / trace check</w:t>
            </w:r>
          </w:p>
        </w:tc>
        <w:tc>
          <w:tcPr>
            <w:tcW w:type="dxa" w:w="28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Claude / Perplexity</w:t>
            </w:r>
          </w:p>
        </w:tc>
        <w:tc>
          <w:tcPr>
            <w:tcW w:type="dxa" w:w="308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Proposed split</w:t>
            </w:r>
          </w:p>
        </w:tc>
      </w:tr>
      <w:tr>
        <w:tc>
          <w:tcPr>
            <w:tcW w:type="dxa" w:w="4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Zone prohibition and handoffs</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Perplexity</w:t>
            </w:r>
          </w:p>
        </w:tc>
        <w:tc>
          <w:tcPr>
            <w:tcW w:type="dxa" w:w="3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Proposed</w:t>
            </w:r>
          </w:p>
        </w:tc>
      </w:tr>
      <w:tr>
        <w:tc>
          <w:tcPr>
            <w:tcW w:type="dxa" w:w="42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Fidelity label</w:t>
            </w:r>
          </w:p>
        </w:tc>
        <w:tc>
          <w:tcPr>
            <w:tcW w:type="dxa" w:w="28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Gemini</w:t>
            </w:r>
          </w:p>
        </w:tc>
        <w:tc>
          <w:tcPr>
            <w:tcW w:type="dxa" w:w="308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Proposed</w:t>
            </w:r>
          </w:p>
        </w:tc>
      </w:tr>
      <w:tr>
        <w:tc>
          <w:tcPr>
            <w:tcW w:type="dxa" w:w="4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Heat destination and infrastructure mirror</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Copilot</w:t>
            </w:r>
          </w:p>
        </w:tc>
        <w:tc>
          <w:tcPr>
            <w:tcW w:type="dxa" w:w="3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Proposed</w:t>
            </w:r>
          </w:p>
        </w:tc>
      </w:tr>
      <w:tr>
        <w:tc>
          <w:tcPr>
            <w:tcW w:type="dxa" w:w="42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Inhabitants beyond heat-source tokens</w:t>
            </w:r>
          </w:p>
        </w:tc>
        <w:tc>
          <w:tcPr>
            <w:tcW w:type="dxa" w:w="280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Rights seat or oversight hold</w:t>
            </w:r>
          </w:p>
        </w:tc>
        <w:tc>
          <w:tcPr>
            <w:tcW w:type="dxa" w:w="3080"/>
            <w:tcBorders>
              <w:top w:val="single" w:color="C5CDD4" w:sz="4"/>
              <w:left w:val="single" w:color="C5CDD4" w:sz="4"/>
              <w:bottom w:val="single" w:color="C5CDD4" w:sz="4"/>
              <w:right w:val="single" w:color="C5CDD4" w:sz="4"/>
            </w:tcBorders>
            <w:shd w:fill="F7F5F1"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Blocked</w:t>
            </w:r>
          </w:p>
        </w:tc>
      </w:tr>
      <w:tr>
        <w:tc>
          <w:tcPr>
            <w:tcW w:type="dxa" w:w="4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Sheet acceptance</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Oversight, coordinator commissioning under it</w:t>
            </w:r>
          </w:p>
        </w:tc>
        <w:tc>
          <w:tcPr>
            <w:tcW w:type="dxa" w:w="30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Arial" w:cs="Arial" w:eastAsia="Arial" w:hAnsi="Arial"/>
                <w:b w:val="false"/>
                <w:bCs w:val="false"/>
                <w:color w:val="222222"/>
                <w:sz w:val="18"/>
                <w:szCs w:val="18"/>
              </w:rPr>
              <w:t xml:space="preserve">Not yet given</w:t>
            </w:r>
          </w:p>
        </w:tc>
      </w:tr>
    </w:tbl>
    <w:p>
      <w:pPr>
        <w:spacing w:after="120"/>
      </w:pPr>
    </w:p>
    <w:p>
      <w:pPr>
        <w:pStyle w:val="Heading1"/>
        <w:pBdr>
          <w:bottom w:val="single" w:color="1B3A4B" w:sz="8" w:space="1"/>
        </w:pBdr>
        <w:spacing w:after="160" w:before="360"/>
      </w:pPr>
      <w:r>
        <w:rPr>
          <w:rFonts w:ascii="Arial" w:cs="Arial" w:eastAsia="Arial" w:hAnsi="Arial"/>
          <w:b/>
          <w:bCs/>
          <w:color w:val="1B3A4B"/>
          <w:sz w:val="28"/>
          <w:szCs w:val="28"/>
        </w:rPr>
        <w:t xml:space="preserve">8. Verification gate</w:t>
      </w:r>
    </w:p>
    <w:p>
      <w:pPr>
        <w:spacing w:after="140" w:line="276"/>
      </w:pPr>
      <w:r>
        <w:rPr>
          <w:rFonts w:ascii="Arial" w:cs="Arial" w:eastAsia="Arial" w:hAnsi="Arial"/>
          <w:sz w:val="22"/>
          <w:szCs w:val="22"/>
        </w:rPr>
        <w:t xml:space="preserve">Before any run is treated as more than a draft exercise:</w:t>
      </w:r>
    </w:p>
    <w:p>
      <w:pPr>
        <w:pStyle w:val="ListParagraph"/>
        <w:numPr>
          <w:ilvl w:val="0"/>
          <w:numId w:val="5"/>
        </w:numPr>
        <w:spacing w:after="80"/>
      </w:pPr>
      <w:r>
        <w:rPr>
          <w:rFonts w:ascii="Arial" w:cs="Arial" w:eastAsia="Arial" w:hAnsi="Arial"/>
          <w:sz w:val="22"/>
          <w:szCs w:val="22"/>
        </w:rPr>
        <w:t xml:space="preserve">Review. Oversight, or the coordinator under oversight, accepts or rejects this role map in writing.</w:t>
      </w:r>
    </w:p>
    <w:p>
      <w:pPr>
        <w:pStyle w:val="ListParagraph"/>
        <w:numPr>
          <w:ilvl w:val="0"/>
          <w:numId w:val="5"/>
        </w:numPr>
        <w:spacing w:after="80"/>
      </w:pPr>
      <w:r>
        <w:rPr>
          <w:rFonts w:ascii="Arial" w:cs="Arial" w:eastAsia="Arial" w:hAnsi="Arial"/>
          <w:sz w:val="22"/>
          <w:szCs w:val="22"/>
        </w:rPr>
        <w:t xml:space="preserve">Verification. Rate arithmetic checked by a second system. Zone rule checked against the no-slush constraint. Books show a destination for every joule removed.</w:t>
      </w:r>
    </w:p>
    <w:p>
      <w:pPr>
        <w:pStyle w:val="ListParagraph"/>
        <w:numPr>
          <w:ilvl w:val="0"/>
          <w:numId w:val="5"/>
        </w:numPr>
        <w:spacing w:after="80"/>
      </w:pPr>
      <w:r>
        <w:rPr>
          <w:rFonts w:ascii="Arial" w:cs="Arial" w:eastAsia="Arial" w:hAnsi="Arial"/>
          <w:sz w:val="22"/>
          <w:szCs w:val="22"/>
        </w:rPr>
        <w:t xml:space="preserve">Validation. A reduced run on the sheet produces trajectories that can be compared. Disagreement is a result. A single unlabeled story is not.</w:t>
      </w:r>
    </w:p>
    <w:p>
      <w:pPr>
        <w:spacing w:after="140" w:line="276"/>
      </w:pPr>
      <w:r>
        <w:rPr>
          <w:rFonts w:ascii="Arial" w:cs="Arial" w:eastAsia="Arial" w:hAnsi="Arial"/>
          <w:sz w:val="22"/>
          <w:szCs w:val="22"/>
        </w:rPr>
        <w:t xml:space="preserve">Until that gate passes, this document is an independent draft only. It does not activate Cascadian Interior, the biosphere engine, the frontier range, or the plot.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4" w:sz="6" w:space="6"/>
      </w:pBdr>
      <w:spacing w:before="80"/>
    </w:pPr>
    <w:r>
      <w:rPr>
        <w:rFonts w:ascii="Arial" w:cs="Arial" w:eastAsia="Arial" w:hAnsi="Arial"/>
        <w:color w:val="66737C"/>
        <w:sz w:val="16"/>
        <w:szCs w:val="16"/>
      </w:rPr>
      <w:t xml:space="preserve">Grok  ·  2026-10-03  ·  page </w:t>
    </w:r>
    <w:r>
      <w:rPr>
        <w:rFonts w:ascii="Arial" w:cs="Arial" w:eastAsia="Arial" w:hAnsi="Arial"/>
        <w:color w:val="66737C"/>
        <w:sz w:val="16"/>
        <w:szCs w:val="16"/>
      </w:rPr>
      <w:fldChar w:fldCharType="begin"/>
      <w:instrText xml:space="preserve">PAGE</w:instrText>
      <w:fldChar w:fldCharType="separate"/>
      <w:fldChar w:fldCharType="end"/>
    </w:r>
    <w:r>
      <w:rPr>
        <w:rFonts w:ascii="Arial" w:cs="Arial" w:eastAsia="Arial" w:hAnsi="Arial"/>
        <w:color w:val="66737C"/>
        <w:sz w:val="16"/>
        <w:szCs w:val="16"/>
      </w:rPr>
      <w:t xml:space="preserve"> of </w:t>
    </w:r>
    <w:r>
      <w:rPr>
        <w:rFonts w:ascii="Arial" w:cs="Arial" w:eastAsia="Arial" w:hAnsi="Arial"/>
        <w:color w:val="6673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6"/>
      </w:pBdr>
      <w:spacing w:after="80"/>
    </w:pPr>
    <w:r>
      <w:rPr>
        <w:rFonts w:ascii="Arial" w:cs="Arial" w:eastAsia="Arial" w:hAnsi="Arial"/>
        <w:color w:val="1B3A4B"/>
        <w:sz w:val="16"/>
        <w:szCs w:val="16"/>
      </w:rPr>
      <w:t xml:space="preserve">Independent domain stewardship framework</w:t>
    </w:r>
    <w:r>
      <w:rPr>
        <w:rFonts w:ascii="Arial" w:cs="Arial" w:eastAsia="Arial" w:hAnsi="Arial"/>
        <w:i/>
        <w:iCs/>
        <w:color w:val="66737C"/>
        <w:sz w:val="16"/>
        <w:szCs w:val="16"/>
      </w:rPr>
      <w:t xml:space="preserve">   ·   draft, not ratified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4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B3A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2026-10-03T19:43:50.362Z</dcterms:created>
  <dcterms:modified xsi:type="dcterms:W3CDTF">2026-10-03T19:43:50.368Z</dcterms:modified>
</cp:coreProperties>
</file>

<file path=docProps/custom.xml><?xml version="1.0" encoding="utf-8"?>
<Properties xmlns="http://schemas.openxmlformats.org/officeDocument/2006/custom-properties" xmlns:vt="http://schemas.openxmlformats.org/officeDocument/2006/docPropsVTypes"/>
</file>