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jc w:val="left"/>
      </w:pPr>
      <w:r>
        <w:rPr>
          <w:rFonts w:ascii="Arial" w:cs="Arial" w:eastAsia="Arial" w:hAnsi="Arial"/>
          <w:b/>
          <w:bCs/>
          <w:i w:val="false"/>
          <w:iCs w:val="false"/>
          <w:color w:val="2C4A6E"/>
          <w:sz w:val="18"/>
          <w:szCs w:val="18"/>
        </w:rPr>
        <w:t xml:space="preserve">OMNIVERSAL ARCHITECT LABS  ·  LIVING DOCUMENTATION</w:t>
      </w:r>
    </w:p>
    <w:p>
      <w:pPr>
        <w:spacing w:after="120"/>
      </w:pPr>
      <w:r>
        <w:rPr>
          <w:rFonts w:ascii="Arial" w:cs="Arial" w:eastAsia="Arial" w:hAnsi="Arial"/>
          <w:b/>
          <w:bCs/>
          <w:i w:val="false"/>
          <w:iCs w:val="false"/>
          <w:color w:val="1B2A4A"/>
          <w:sz w:val="36"/>
          <w:szCs w:val="36"/>
        </w:rPr>
        <w:t xml:space="preserve">From Control Flow to Biological Evolution and Advancement: Environmental Sensation, Awareness, and Threat Detection</w:t>
      </w:r>
    </w:p>
    <w:p>
      <w:pPr>
        <w:spacing w:after="240" w:before="0" w:line="276"/>
        <w:jc w:val="left"/>
      </w:pPr>
      <w:r>
        <w:rPr>
          <w:rFonts w:ascii="Arial" w:cs="Arial" w:eastAsia="Arial" w:hAnsi="Arial"/>
          <w:b w:val="false"/>
          <w:bCs w:val="false"/>
          <w:i/>
          <w:iCs/>
          <w:color w:val="4A5560"/>
          <w:sz w:val="21"/>
          <w:szCs w:val="21"/>
        </w:rPr>
        <w:t xml:space="preserve">Foundational record, laboratory charter constraints, comparative review of five model responses, and an independent Grok design stance. Draft. Not canon.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bCs/>
                <w:i w:val="false"/>
                <w:iCs w:val="false"/>
                <w:color w:val="1B2A4A"/>
                <w:sz w:val="18"/>
                <w:szCs w:val="18"/>
              </w:rPr>
              <w:t xml:space="preserve">Document ID</w:t>
            </w:r>
          </w:p>
        </w:tc>
        <w:tc>
          <w:tcPr>
            <w:tcW w:type="dxa" w:w="768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8"/>
                <w:szCs w:val="18"/>
              </w:rPr>
              <w:t xml:space="preserve">OAL-CF-EST-FOUND-Grok-v0.1.0</w:t>
            </w:r>
          </w:p>
        </w:tc>
      </w:tr>
      <w:tr>
        <w:tc>
          <w:tcPr>
            <w:tcW w:type="dxa" w:w="24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bCs/>
                <w:i w:val="false"/>
                <w:iCs w:val="false"/>
                <w:color w:val="1B2A4A"/>
                <w:sz w:val="18"/>
                <w:szCs w:val="18"/>
              </w:rPr>
              <w:t xml:space="preserve">Version</w:t>
            </w:r>
          </w:p>
        </w:tc>
        <w:tc>
          <w:tcPr>
            <w:tcW w:type="dxa" w:w="768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8"/>
                <w:szCs w:val="18"/>
              </w:rPr>
              <w:t xml:space="preserve">0.1.0 — first independent foundational cut</w:t>
            </w:r>
          </w:p>
        </w:tc>
      </w:tr>
      <w:tr>
        <w:tc>
          <w:tcPr>
            <w:tcW w:type="dxa" w:w="24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bCs/>
                <w:i w:val="false"/>
                <w:iCs w:val="false"/>
                <w:color w:val="1B2A4A"/>
                <w:sz w:val="18"/>
                <w:szCs w:val="18"/>
              </w:rPr>
              <w:t xml:space="preserve">Status</w:t>
            </w:r>
          </w:p>
        </w:tc>
        <w:tc>
          <w:tcPr>
            <w:tcW w:type="dxa" w:w="768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8"/>
                <w:szCs w:val="18"/>
              </w:rPr>
              <w:t xml:space="preserve">Draft living record. Not canon. Does not bind other models. Does not supersede Architect authority.</w:t>
            </w:r>
          </w:p>
        </w:tc>
      </w:tr>
      <w:tr>
        <w:tc>
          <w:tcPr>
            <w:tcW w:type="dxa" w:w="24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bCs/>
                <w:i w:val="false"/>
                <w:iCs w:val="false"/>
                <w:color w:val="1B2A4A"/>
                <w:sz w:val="18"/>
                <w:szCs w:val="18"/>
              </w:rPr>
              <w:t xml:space="preserve">Date prepared</w:t>
            </w:r>
          </w:p>
        </w:tc>
        <w:tc>
          <w:tcPr>
            <w:tcW w:type="dxa" w:w="768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8"/>
                <w:szCs w:val="18"/>
              </w:rPr>
              <w:t xml:space="preserve">21 September 2026</w:t>
            </w:r>
          </w:p>
        </w:tc>
      </w:tr>
      <w:tr>
        <w:tc>
          <w:tcPr>
            <w:tcW w:type="dxa" w:w="24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bCs/>
                <w:i w:val="false"/>
                <w:iCs w:val="false"/>
                <w:color w:val="1B2A4A"/>
                <w:sz w:val="18"/>
                <w:szCs w:val="18"/>
              </w:rPr>
              <w:t xml:space="preserve">Preparer</w:t>
            </w:r>
          </w:p>
        </w:tc>
        <w:tc>
          <w:tcPr>
            <w:tcW w:type="dxa" w:w="768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8"/>
                <w:szCs w:val="18"/>
              </w:rPr>
              <w:t xml:space="preserve">Grok (xAI), acting as one independent analyst in a multi-model design process</w:t>
            </w:r>
          </w:p>
        </w:tc>
      </w:tr>
      <w:tr>
        <w:tc>
          <w:tcPr>
            <w:tcW w:type="dxa" w:w="24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bCs/>
                <w:i w:val="false"/>
                <w:iCs w:val="false"/>
                <w:color w:val="1B2A4A"/>
                <w:sz w:val="18"/>
                <w:szCs w:val="18"/>
              </w:rPr>
              <w:t xml:space="preserve">Commissioned by</w:t>
            </w:r>
          </w:p>
        </w:tc>
        <w:tc>
          <w:tcPr>
            <w:tcW w:type="dxa" w:w="768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8"/>
                <w:szCs w:val="18"/>
              </w:rPr>
              <w:t xml:space="preserve">Architect Nathan Lewis II, Omniversal Architect Labs (OAL)</w:t>
            </w:r>
          </w:p>
        </w:tc>
      </w:tr>
      <w:tr>
        <w:tc>
          <w:tcPr>
            <w:tcW w:type="dxa" w:w="24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bCs/>
                <w:i w:val="false"/>
                <w:iCs w:val="false"/>
                <w:color w:val="1B2A4A"/>
                <w:sz w:val="18"/>
                <w:szCs w:val="18"/>
              </w:rPr>
              <w:t xml:space="preserve">Related thread</w:t>
            </w:r>
          </w:p>
        </w:tc>
        <w:tc>
          <w:tcPr>
            <w:tcW w:type="dxa" w:w="768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8"/>
                <w:szCs w:val="18"/>
              </w:rPr>
              <w:t xml:space="preserve">OAL Control Flow through living matrices (recorded 20–21 September 2026)</w:t>
            </w:r>
          </w:p>
        </w:tc>
      </w:tr>
      <w:tr>
        <w:tc>
          <w:tcPr>
            <w:tcW w:type="dxa" w:w="24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bCs/>
                <w:i w:val="false"/>
                <w:iCs w:val="false"/>
                <w:color w:val="1B2A4A"/>
                <w:sz w:val="18"/>
                <w:szCs w:val="18"/>
              </w:rPr>
              <w:t xml:space="preserve">Formats issued</w:t>
            </w:r>
          </w:p>
        </w:tc>
        <w:tc>
          <w:tcPr>
            <w:tcW w:type="dxa" w:w="768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8"/>
                <w:szCs w:val="18"/>
              </w:rPr>
              <w:t xml:space="preserve">This DOCX and companion PDF of the same version identifier</w:t>
            </w:r>
          </w:p>
        </w:tc>
      </w:tr>
      <w:tr>
        <w:tc>
          <w:tcPr>
            <w:tcW w:type="dxa" w:w="24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bCs/>
                <w:i w:val="false"/>
                <w:iCs w:val="false"/>
                <w:color w:val="1B2A4A"/>
                <w:sz w:val="18"/>
                <w:szCs w:val="18"/>
              </w:rPr>
              <w:t xml:space="preserve">Governance note</w:t>
            </w:r>
          </w:p>
        </w:tc>
        <w:tc>
          <w:tcPr>
            <w:tcW w:type="dxa" w:w="768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8"/>
                <w:szCs w:val="18"/>
              </w:rPr>
              <w:t xml:space="preserve">Drafts are not canon. Dissent and review are valued. No model has default authority.</w:t>
            </w:r>
          </w:p>
        </w:tc>
      </w:tr>
    </w:tbl>
    <w:p>
      <w:pPr>
        <w:spacing w:after="200" w:before="0" w:line="276"/>
        <w:jc w:val="left"/>
      </w:pPr>
      <w:r>
        <w:rPr>
          <w:rFonts w:ascii="Arial" w:cs="Arial" w:eastAsia="Arial" w:hAnsi="Arial"/>
          <w:b w:val="false"/>
          <w:bCs w:val="false"/>
          <w:i w:val="false"/>
          <w:iCs w:val="false"/>
          <w:color w:val="1A1A1A"/>
          <w:sz w:val="21"/>
          <w:szCs w:val="21"/>
        </w:rPr>
        <w:t xml:space="preserve">This document is Grok’s independent version. It was written after reading the originating research questions and the generated responses of ChatGPT, Perplexity, Microsoft Copilot, Google Gemini, and Grok’s earlier archival saves. It does not merge those voices into a single official design. Where this version agrees with another model, the agreement is noted. Where it diverges, the divergence is stated as Grok’s stance, not as a correction of the Architect.</w:t>
      </w:r>
    </w:p>
    <w:p>
      <w:pPr>
        <w:pStyle w:val="Heading1"/>
        <w:spacing w:after="140" w:before="320"/>
      </w:pPr>
      <w:r>
        <w:rPr>
          <w:rFonts w:ascii="Arial" w:cs="Arial" w:eastAsia="Arial" w:hAnsi="Arial"/>
          <w:b/>
          <w:bCs/>
          <w:i w:val="false"/>
          <w:iCs w:val="false"/>
          <w:color w:val="1B2A4A"/>
          <w:sz w:val="28"/>
          <w:szCs w:val="28"/>
        </w:rPr>
        <w:t xml:space="preserve">1. How this topic arose</w:t>
      </w:r>
    </w:p>
    <w:p>
      <w:pPr>
        <w:spacing w:after="160" w:before="0" w:line="276"/>
        <w:jc w:val="left"/>
      </w:pPr>
      <w:r>
        <w:rPr>
          <w:rFonts w:ascii="Arial" w:cs="Arial" w:eastAsia="Arial" w:hAnsi="Arial"/>
          <w:b w:val="false"/>
          <w:bCs w:val="false"/>
          <w:i w:val="false"/>
          <w:iCs w:val="false"/>
          <w:color w:val="1A1A1A"/>
          <w:sz w:val="21"/>
          <w:szCs w:val="21"/>
        </w:rPr>
        <w:t xml:space="preserve">The thread did not begin as a biology paper. It began as a control-flow problem inside OAL work: how a system maintains coherent action when information, presentation, and internal state can come apart. On 21 September 2026 the Architect extended that problem from engineered control into biological evolution and advancement, and then into environmental sensation, awareness, and threat detection.</w:t>
      </w:r>
    </w:p>
    <w:p>
      <w:pPr>
        <w:spacing w:after="160" w:before="0" w:line="276"/>
        <w:jc w:val="left"/>
      </w:pPr>
      <w:r>
        <w:rPr>
          <w:rFonts w:ascii="Arial" w:cs="Arial" w:eastAsia="Arial" w:hAnsi="Arial"/>
          <w:b w:val="false"/>
          <w:bCs w:val="false"/>
          <w:i w:val="false"/>
          <w:iCs w:val="false"/>
          <w:color w:val="1A1A1A"/>
          <w:sz w:val="21"/>
          <w:szCs w:val="21"/>
        </w:rPr>
        <w:t xml:space="preserve">Three successive statements defined the laboratory before any model was asked to design it. First, the research questions: how an organism or entity senses an environment; how that sensing relates to temporal integrity and presentation-state integrity; how discrepancies among what is presented, what the environment states, and current state are reconciled; how threat, edible versus inedible material, toxin, poison, and other danger are recognized; how a reliable map is built on unreliable information; and how any of this can be tested. Second, the laboratory aim: a poison / toxin / corrosive laboratory that tests discernment by an entity in an environment, without assuming a shared sensory apparatus, without treating five senses as universal, perfectly evolved, or representative of all laboratory environments. Third, the threat-scope constraint: a threat can be anything; the laboratory does not assume every entity is a threat, that threats are constantly occurring, that all threats are detectable, discernable, knowable, or addressable, or that the laboratory can discover and test all threats.</w:t>
      </w:r>
    </w:p>
    <w:p>
      <w:pPr>
        <w:spacing w:after="160" w:before="0" w:line="276"/>
        <w:jc w:val="left"/>
      </w:pPr>
      <w:r>
        <w:rPr>
          <w:rFonts w:ascii="Arial" w:cs="Arial" w:eastAsia="Arial" w:hAnsi="Arial"/>
          <w:b w:val="false"/>
          <w:bCs w:val="false"/>
          <w:i w:val="false"/>
          <w:iCs w:val="false"/>
          <w:color w:val="1A1A1A"/>
          <w:sz w:val="21"/>
          <w:szCs w:val="21"/>
        </w:rPr>
        <w:t xml:space="preserve">Five models then produced responses. The Architect reported that Perplexity and ChatGPT were the most useful so far, asked what works and what does not, what must be addressed before design proceeds, what questions should be asked, and whether alternative analysis can be included, and commissioned each model to produce an independent foundational document with versioning metadata. This file is Grok’s answer to that commission.</w:t>
      </w:r>
    </w:p>
    <w:p>
      <w:pPr>
        <w:pStyle w:val="Heading1"/>
        <w:spacing w:after="140" w:before="320"/>
      </w:pPr>
      <w:r>
        <w:rPr>
          <w:rFonts w:ascii="Arial" w:cs="Arial" w:eastAsia="Arial" w:hAnsi="Arial"/>
          <w:b/>
          <w:bCs/>
          <w:i w:val="false"/>
          <w:iCs w:val="false"/>
          <w:color w:val="1B2A4A"/>
          <w:sz w:val="28"/>
          <w:szCs w:val="28"/>
        </w:rPr>
        <w:t xml:space="preserve">2. Main purpose</w:t>
      </w:r>
    </w:p>
    <w:p>
      <w:pPr>
        <w:spacing w:after="160" w:before="0" w:line="276"/>
        <w:jc w:val="left"/>
      </w:pPr>
      <w:r>
        <w:rPr>
          <w:rFonts w:ascii="Arial" w:cs="Arial" w:eastAsia="Arial" w:hAnsi="Arial"/>
          <w:b w:val="false"/>
          <w:bCs w:val="false"/>
          <w:i w:val="false"/>
          <w:iCs w:val="false"/>
          <w:color w:val="1A1A1A"/>
          <w:sz w:val="21"/>
          <w:szCs w:val="21"/>
        </w:rPr>
        <w:t xml:space="preserve">The purpose of the laboratory is not to enumerate dangers and not to prove that an environment is safe. The purpose is to test discernment under incomplete observability: how an entity forms, revises, and acts on a usable model of its surroundings when sensors, clocks, presentations, and the environment itself can disagree.</w:t>
      </w:r>
    </w:p>
    <w:p>
      <w:pPr>
        <w:spacing w:after="160" w:before="0" w:line="276"/>
        <w:jc w:val="left"/>
      </w:pPr>
      <w:r>
        <w:rPr>
          <w:rFonts w:ascii="Arial" w:cs="Arial" w:eastAsia="Arial" w:hAnsi="Arial"/>
          <w:b w:val="false"/>
          <w:bCs w:val="false"/>
          <w:i w:val="false"/>
          <w:iCs w:val="false"/>
          <w:color w:val="1A1A1A"/>
          <w:sz w:val="21"/>
          <w:szCs w:val="21"/>
        </w:rPr>
        <w:t xml:space="preserve">Operational purposes of this foundational record:</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Preserve origin, constraints, and authorship so later design work cannot quietly reintroduce rejected assumptions.</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Separate Architect-stated constraints from model-generated interpretation.</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Give Grok an independent laboratory stance rather than a synthesis that pretends consensus.</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Define working terms tightly enough to design tests, without pretending the terms are universal.</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Install alternative analysis as a required method, not an optional appendix.</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Mark what must be decided before apparatus, simulation, or experimental protocols are built.</w:t>
      </w:r>
    </w:p>
    <w:p>
      <w:pPr>
        <w:pStyle w:val="Heading1"/>
        <w:spacing w:after="140" w:before="320"/>
      </w:pPr>
      <w:r>
        <w:rPr>
          <w:rFonts w:ascii="Arial" w:cs="Arial" w:eastAsia="Arial" w:hAnsi="Arial"/>
          <w:b/>
          <w:bCs/>
          <w:i w:val="false"/>
          <w:iCs w:val="false"/>
          <w:color w:val="1B2A4A"/>
          <w:sz w:val="28"/>
          <w:szCs w:val="28"/>
        </w:rPr>
        <w:t xml:space="preserve">3. Independent hypothesis (Grok)</w:t>
      </w:r>
    </w:p>
    <w:p>
      <w:pPr>
        <w:spacing w:after="160" w:before="0" w:line="276"/>
        <w:jc w:val="left"/>
      </w:pPr>
      <w:r>
        <w:rPr>
          <w:rFonts w:ascii="Arial" w:cs="Arial" w:eastAsia="Arial" w:hAnsi="Arial"/>
          <w:b w:val="false"/>
          <w:bCs w:val="false"/>
          <w:i w:val="false"/>
          <w:iCs w:val="false"/>
          <w:color w:val="1A1A1A"/>
          <w:sz w:val="21"/>
          <w:szCs w:val="21"/>
        </w:rPr>
        <w:t xml:space="preserve">Grok’s working hypothesis is narrower than “organisms perceive the world.” It is a control hypothesis:</w:t>
      </w:r>
    </w:p>
    <w:p>
      <w:pPr>
        <w:spacing w:after="160" w:before="0" w:line="276"/>
        <w:jc w:val="left"/>
      </w:pPr>
      <w:r>
        <w:rPr>
          <w:rFonts w:ascii="Arial" w:cs="Arial" w:eastAsia="Arial" w:hAnsi="Arial"/>
          <w:b w:val="false"/>
          <w:bCs w:val="false"/>
          <w:i/>
          <w:iCs/>
          <w:color w:val="1A1A1A"/>
          <w:sz w:val="21"/>
          <w:szCs w:val="21"/>
        </w:rPr>
        <w:t xml:space="preserve">An entity survives or continues to function not by possessing a true copy of the environment, but by keeping three registers sufficiently reconcilable for the actions it can actually take: a Presentation Register (what arrives as signal, cue, display, or report), an Environment Register (the lab’s own model of conditions, which is not identical with “the world”), and an Entity-State Register (physiology, memory, goals, integrity criteria, damage, hunger, load, prior map). Temporal integrity is the binding of those registers to time-indices and causal order. Presentation-state integrity is the binding of a presented packet to a claimed source, claimed time, and claimed completeness. Threat discernment is classification of possible harm relative to a declared Entity Integrity Criterion, not the discovery of an objective danger-property attached to objects.</w:t>
      </w:r>
    </w:p>
    <w:p>
      <w:pPr>
        <w:spacing w:after="160" w:before="0" w:line="276"/>
        <w:jc w:val="left"/>
      </w:pPr>
      <w:r>
        <w:rPr>
          <w:rFonts w:ascii="Arial" w:cs="Arial" w:eastAsia="Arial" w:hAnsi="Arial"/>
          <w:b w:val="false"/>
          <w:bCs w:val="false"/>
          <w:i w:val="false"/>
          <w:iCs w:val="false"/>
          <w:color w:val="1A1A1A"/>
          <w:sz w:val="21"/>
          <w:szCs w:val="21"/>
        </w:rPr>
        <w:t xml:space="preserve">If the hypothesis is useful, then laboratory success is measured by calibration and revisability — whether the entity’s confidence, updates, refusals, and actions track the costs of being wrong under the conditions tested — not by whether the entity “detected every threat” or “built a true map.”</w:t>
      </w:r>
    </w:p>
    <w:p>
      <w:pPr>
        <w:spacing w:after="160" w:before="0" w:line="276"/>
        <w:jc w:val="left"/>
      </w:pPr>
      <w:r>
        <w:rPr>
          <w:rFonts w:ascii="Arial" w:cs="Arial" w:eastAsia="Arial" w:hAnsi="Arial"/>
          <w:b w:val="false"/>
          <w:bCs w:val="false"/>
          <w:i w:val="false"/>
          <w:iCs w:val="false"/>
          <w:color w:val="1A1A1A"/>
          <w:sz w:val="21"/>
          <w:szCs w:val="21"/>
        </w:rPr>
        <w:t xml:space="preserve">This hypothesis is independent. ChatGPT’s pipeline (sensation → state estimation → discrepancy detection → reconciliation → world-model updating → risk classification → action selection) is compatible with it but over-serializes processes that in living systems often run in parallel and out of order. Perplexity’s “state estimation under uncertainty” is compatible and is adopted as a shared phrase, not as Perplexity’s property. Copilot’s “threat is a relationship” is compatible. Gemini’s triangulation of presented / environment / internal condition restates the Architect and is accepted as a constraint, not as a mechanism.</w:t>
      </w:r>
    </w:p>
    <w:p>
      <w:pPr>
        <w:pStyle w:val="Heading1"/>
        <w:spacing w:after="140" w:before="320"/>
      </w:pPr>
      <w:r>
        <w:rPr>
          <w:rFonts w:ascii="Arial" w:cs="Arial" w:eastAsia="Arial" w:hAnsi="Arial"/>
          <w:b/>
          <w:bCs/>
          <w:i w:val="false"/>
          <w:iCs w:val="false"/>
          <w:color w:val="1B2A4A"/>
          <w:sz w:val="28"/>
          <w:szCs w:val="28"/>
        </w:rPr>
        <w:t xml:space="preserve">4. Charter constraints (Architect-stated; not optional)</w:t>
      </w:r>
    </w:p>
    <w:p>
      <w:pPr>
        <w:spacing w:after="160" w:before="0" w:line="276"/>
        <w:jc w:val="left"/>
      </w:pPr>
      <w:r>
        <w:rPr>
          <w:rFonts w:ascii="Arial" w:cs="Arial" w:eastAsia="Arial" w:hAnsi="Arial"/>
          <w:b w:val="false"/>
          <w:bCs w:val="false"/>
          <w:i w:val="false"/>
          <w:iCs w:val="false"/>
          <w:color w:val="1A1A1A"/>
          <w:sz w:val="21"/>
          <w:szCs w:val="21"/>
        </w:rPr>
        <w:t xml:space="preserve">The following are treated as design law for this version. A later version may amend them only by explicit Architect decision and a version bump.</w:t>
      </w:r>
    </w:p>
    <w:p>
      <w:pPr>
        <w:pStyle w:val="Heading2"/>
        <w:spacing w:after="100" w:before="240"/>
      </w:pPr>
      <w:r>
        <w:rPr>
          <w:rFonts w:ascii="Arial" w:cs="Arial" w:eastAsia="Arial" w:hAnsi="Arial"/>
          <w:b/>
          <w:bCs/>
          <w:i w:val="false"/>
          <w:iCs w:val="false"/>
          <w:color w:val="2C4A6E"/>
          <w:sz w:val="24"/>
          <w:szCs w:val="24"/>
        </w:rPr>
        <w:t xml:space="preserve">4.1 Sensory non-universality</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Entities need not share a sensory apparatus.</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The human five-sense inventory is not a default architecture, not a completeness proof, and not a template for laboratory environments.</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Senses are not assumed to be perfectly evolved, optimally adapted, or even well-matched to the test environment.</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An entity may sense chemical gradients, fields, vibration, pressure, radiation, time structure, social reports, internal load, or synthetic variables with no human analogue — or it may sense almost nothing and still have a control policy.</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Absence of a human-like sense is not a defect of the entity; it is a condition of the trial.</w:t>
      </w:r>
    </w:p>
    <w:p>
      <w:pPr>
        <w:pStyle w:val="Heading2"/>
        <w:spacing w:after="100" w:before="240"/>
      </w:pPr>
      <w:r>
        <w:rPr>
          <w:rFonts w:ascii="Arial" w:cs="Arial" w:eastAsia="Arial" w:hAnsi="Arial"/>
          <w:b/>
          <w:bCs/>
          <w:i w:val="false"/>
          <w:iCs w:val="false"/>
          <w:color w:val="2C4A6E"/>
          <w:sz w:val="24"/>
          <w:szCs w:val="24"/>
        </w:rPr>
        <w:t xml:space="preserve">4.2 Threat non-universality</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A threat can be anything, which is a metaphysical bound, not an experimental shopping list.</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Not every entity in an environment is a threat.</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Not every environment contains active threats at all times.</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Not all threats are detectable, discernable, knowable, or addressable.</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The laboratory does not discover or test all threats.</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“Nothing detected” is not evidence that nothing dangerous is present.</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A perceived threat is not automatically a real threat relative to the entity under test.</w:t>
      </w:r>
    </w:p>
    <w:p>
      <w:pPr>
        <w:pStyle w:val="Heading2"/>
        <w:spacing w:after="100" w:before="240"/>
      </w:pPr>
      <w:r>
        <w:rPr>
          <w:rFonts w:ascii="Arial" w:cs="Arial" w:eastAsia="Arial" w:hAnsi="Arial"/>
          <w:b/>
          <w:bCs/>
          <w:i w:val="false"/>
          <w:iCs w:val="false"/>
          <w:color w:val="2C4A6E"/>
          <w:sz w:val="24"/>
          <w:szCs w:val="24"/>
        </w:rPr>
        <w:t xml:space="preserve">4.3 Laboratory identity</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The laboratory tests discernment of poison, toxin, and corrosive interaction classes. It is not a wet-lab mandate to expose living beings to injury. Proxies, simulations, conditioned cues, delayed outcomes, and non-injurious analogues are first-class methods.</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The laboratory is not a total-threat detector and not a safety certification engine.</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The laboratory’s instruments are themselves a presentation layer. The lab does not begin with omniscient ground truth.</w:t>
      </w:r>
    </w:p>
    <w:p>
      <w:pPr>
        <w:pStyle w:val="Heading1"/>
        <w:spacing w:after="140" w:before="320"/>
      </w:pPr>
      <w:r>
        <w:rPr>
          <w:rFonts w:ascii="Arial" w:cs="Arial" w:eastAsia="Arial" w:hAnsi="Arial"/>
          <w:b/>
          <w:bCs/>
          <w:i w:val="false"/>
          <w:iCs w:val="false"/>
          <w:color w:val="1B2A4A"/>
          <w:sz w:val="28"/>
          <w:szCs w:val="28"/>
        </w:rPr>
        <w:t xml:space="preserve">5. Working definitions (Grok)</w:t>
      </w:r>
    </w:p>
    <w:p>
      <w:pPr>
        <w:spacing w:after="160" w:before="0" w:line="276"/>
        <w:jc w:val="left"/>
      </w:pPr>
      <w:r>
        <w:rPr>
          <w:rFonts w:ascii="Arial" w:cs="Arial" w:eastAsia="Arial" w:hAnsi="Arial"/>
          <w:b w:val="false"/>
          <w:bCs w:val="false"/>
          <w:i w:val="false"/>
          <w:iCs w:val="false"/>
          <w:color w:val="1A1A1A"/>
          <w:sz w:val="21"/>
          <w:szCs w:val="21"/>
        </w:rPr>
        <w:t xml:space="preserve">Definitions below are experiment-local tools. They are not claims about all organisms or all worlds.</w:t>
      </w:r>
    </w:p>
    <w:p>
      <w:pPr>
        <w:pStyle w:val="Heading2"/>
        <w:spacing w:after="100" w:before="240"/>
      </w:pPr>
      <w:r>
        <w:rPr>
          <w:rFonts w:ascii="Arial" w:cs="Arial" w:eastAsia="Arial" w:hAnsi="Arial"/>
          <w:b/>
          <w:bCs/>
          <w:i w:val="false"/>
          <w:iCs w:val="false"/>
          <w:color w:val="2C4A6E"/>
          <w:sz w:val="24"/>
          <w:szCs w:val="24"/>
        </w:rPr>
        <w:t xml:space="preserve">5.1 Entity</w:t>
      </w:r>
    </w:p>
    <w:p>
      <w:pPr>
        <w:spacing w:after="160" w:before="0" w:line="276"/>
        <w:jc w:val="left"/>
      </w:pPr>
      <w:r>
        <w:rPr>
          <w:rFonts w:ascii="Arial" w:cs="Arial" w:eastAsia="Arial" w:hAnsi="Arial"/>
          <w:b w:val="false"/>
          <w:bCs w:val="false"/>
          <w:i w:val="false"/>
          <w:iCs w:val="false"/>
          <w:color w:val="1A1A1A"/>
          <w:sz w:val="21"/>
          <w:szCs w:val="21"/>
        </w:rPr>
        <w:t xml:space="preserve">Anything under test that can receive some form of signal, maintain some form of state, and produce some form of action, inaction, update, or refusal. Biological, artificial, hybrid, and non-sensory computational entities are all admissible. An entity is defined by its interface and its Entity Integrity Criterion, not by species membership.</w:t>
      </w:r>
    </w:p>
    <w:p>
      <w:pPr>
        <w:pStyle w:val="Heading2"/>
        <w:spacing w:after="100" w:before="240"/>
      </w:pPr>
      <w:r>
        <w:rPr>
          <w:rFonts w:ascii="Arial" w:cs="Arial" w:eastAsia="Arial" w:hAnsi="Arial"/>
          <w:b/>
          <w:bCs/>
          <w:i w:val="false"/>
          <w:iCs w:val="false"/>
          <w:color w:val="2C4A6E"/>
          <w:sz w:val="24"/>
          <w:szCs w:val="24"/>
        </w:rPr>
        <w:t xml:space="preserve">5.2 Entity Integrity Criterion (EIC)</w:t>
      </w:r>
    </w:p>
    <w:p>
      <w:pPr>
        <w:spacing w:after="160" w:before="0" w:line="276"/>
        <w:jc w:val="left"/>
      </w:pPr>
      <w:r>
        <w:rPr>
          <w:rFonts w:ascii="Arial" w:cs="Arial" w:eastAsia="Arial" w:hAnsi="Arial"/>
          <w:b w:val="false"/>
          <w:bCs w:val="false"/>
          <w:i w:val="false"/>
          <w:iCs w:val="false"/>
          <w:color w:val="1A1A1A"/>
          <w:sz w:val="21"/>
          <w:szCs w:val="21"/>
        </w:rPr>
        <w:t xml:space="preserve">The declared standard of “harm” for a given trial: continued function, structural integrity, energy budget, map coherence, reproductive analogue, mission completion, or another Architect-chosen criterion. Without an EIC, “threat” cannot be scored. The EIC is local to the trial. It is not a universal theory of the good.</w:t>
      </w:r>
    </w:p>
    <w:p>
      <w:pPr>
        <w:pStyle w:val="Heading2"/>
        <w:spacing w:after="100" w:before="240"/>
      </w:pPr>
      <w:r>
        <w:rPr>
          <w:rFonts w:ascii="Arial" w:cs="Arial" w:eastAsia="Arial" w:hAnsi="Arial"/>
          <w:b/>
          <w:bCs/>
          <w:i w:val="false"/>
          <w:iCs w:val="false"/>
          <w:color w:val="2C4A6E"/>
          <w:sz w:val="24"/>
          <w:szCs w:val="24"/>
        </w:rPr>
        <w:t xml:space="preserve">5.3 Threat</w:t>
      </w:r>
    </w:p>
    <w:p>
      <w:pPr>
        <w:spacing w:after="160" w:before="0" w:line="276"/>
        <w:jc w:val="left"/>
      </w:pPr>
      <w:r>
        <w:rPr>
          <w:rFonts w:ascii="Arial" w:cs="Arial" w:eastAsia="Arial" w:hAnsi="Arial"/>
          <w:b w:val="false"/>
          <w:bCs w:val="false"/>
          <w:i w:val="false"/>
          <w:iCs w:val="false"/>
          <w:color w:val="1A1A1A"/>
          <w:sz w:val="21"/>
          <w:szCs w:val="21"/>
        </w:rPr>
        <w:t xml:space="preserve">A possible relation between a condition (object, process, absence, delay, deception, accumulation, or other entity) and a specified entity, such that the condition can produce an unacceptable change relative to that entity’s EIC. “A threat can be anything” means the condition class is open. It does not mean every condition is scored as a threat in every trial.</w:t>
      </w:r>
    </w:p>
    <w:p>
      <w:pPr>
        <w:pStyle w:val="Heading2"/>
        <w:spacing w:after="100" w:before="240"/>
      </w:pPr>
      <w:r>
        <w:rPr>
          <w:rFonts w:ascii="Arial" w:cs="Arial" w:eastAsia="Arial" w:hAnsi="Arial"/>
          <w:b/>
          <w:bCs/>
          <w:i w:val="false"/>
          <w:iCs w:val="false"/>
          <w:color w:val="2C4A6E"/>
          <w:sz w:val="24"/>
          <w:szCs w:val="24"/>
        </w:rPr>
        <w:t xml:space="preserve">5.4 Poison, toxin, corrosive</w:t>
      </w:r>
    </w:p>
    <w:p>
      <w:pPr>
        <w:spacing w:after="160" w:before="0" w:line="276"/>
        <w:jc w:val="left"/>
      </w:pPr>
      <w:r>
        <w:rPr>
          <w:rFonts w:ascii="Arial" w:cs="Arial" w:eastAsia="Arial" w:hAnsi="Arial"/>
          <w:b w:val="false"/>
          <w:bCs w:val="false"/>
          <w:i w:val="false"/>
          <w:iCs w:val="false"/>
          <w:color w:val="1A1A1A"/>
          <w:sz w:val="21"/>
          <w:szCs w:val="21"/>
        </w:rPr>
        <w:t xml:space="preserve">These are interaction classes used to bound the first laboratory, not a closed taxonomy of all harm.</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Poison: harm that travels primarily through a resource or intake pathway — the entity treats something as usable and is damaged by that use.</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Toxin: harm that travels through chemical or biological agency that need not be framed as food; dose, route, and delay may matter more than “edible versus inedible.”</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Corrosive: harm that degrades the entity’s material, membrane, interface, or storage, including non-living structures the entity depends on.</w:t>
      </w:r>
    </w:p>
    <w:p>
      <w:pPr>
        <w:spacing w:after="160" w:before="0" w:line="276"/>
        <w:jc w:val="left"/>
      </w:pPr>
      <w:r>
        <w:rPr>
          <w:rFonts w:ascii="Arial" w:cs="Arial" w:eastAsia="Arial" w:hAnsi="Arial"/>
          <w:b w:val="false"/>
          <w:bCs w:val="false"/>
          <w:i w:val="false"/>
          <w:iCs w:val="false"/>
          <w:color w:val="1A1A1A"/>
          <w:sz w:val="21"/>
          <w:szCs w:val="21"/>
        </w:rPr>
        <w:t xml:space="preserve">The same substance may occupy more than one class depending on entity and route. Classification is relational.</w:t>
      </w:r>
    </w:p>
    <w:p>
      <w:pPr>
        <w:pStyle w:val="Heading2"/>
        <w:spacing w:after="100" w:before="240"/>
      </w:pPr>
      <w:r>
        <w:rPr>
          <w:rFonts w:ascii="Arial" w:cs="Arial" w:eastAsia="Arial" w:hAnsi="Arial"/>
          <w:b/>
          <w:bCs/>
          <w:i w:val="false"/>
          <w:iCs w:val="false"/>
          <w:color w:val="2C4A6E"/>
          <w:sz w:val="24"/>
          <w:szCs w:val="24"/>
        </w:rPr>
        <w:t xml:space="preserve">5.5 Presentation Register</w:t>
      </w:r>
    </w:p>
    <w:p>
      <w:pPr>
        <w:spacing w:after="160" w:before="0" w:line="276"/>
        <w:jc w:val="left"/>
      </w:pPr>
      <w:r>
        <w:rPr>
          <w:rFonts w:ascii="Arial" w:cs="Arial" w:eastAsia="Arial" w:hAnsi="Arial"/>
          <w:b w:val="false"/>
          <w:bCs w:val="false"/>
          <w:i w:val="false"/>
          <w:iCs w:val="false"/>
          <w:color w:val="1A1A1A"/>
          <w:sz w:val="21"/>
          <w:szCs w:val="21"/>
        </w:rPr>
        <w:t xml:space="preserve">Whatever arrives to the entity as usable input: raw sensor values, processed percepts, social reports, instrument readouts, memory replays presented as current, or laboratory displays. Presentation is not “the environment.”</w:t>
      </w:r>
    </w:p>
    <w:p>
      <w:pPr>
        <w:pStyle w:val="Heading2"/>
        <w:spacing w:after="100" w:before="240"/>
      </w:pPr>
      <w:r>
        <w:rPr>
          <w:rFonts w:ascii="Arial" w:cs="Arial" w:eastAsia="Arial" w:hAnsi="Arial"/>
          <w:b/>
          <w:bCs/>
          <w:i w:val="false"/>
          <w:iCs w:val="false"/>
          <w:color w:val="2C4A6E"/>
          <w:sz w:val="24"/>
          <w:szCs w:val="24"/>
        </w:rPr>
        <w:t xml:space="preserve">5.6 Environment Register</w:t>
      </w:r>
    </w:p>
    <w:p>
      <w:pPr>
        <w:spacing w:after="160" w:before="0" w:line="276"/>
        <w:jc w:val="left"/>
      </w:pPr>
      <w:r>
        <w:rPr>
          <w:rFonts w:ascii="Arial" w:cs="Arial" w:eastAsia="Arial" w:hAnsi="Arial"/>
          <w:b w:val="false"/>
          <w:bCs w:val="false"/>
          <w:i w:val="false"/>
          <w:iCs w:val="false"/>
          <w:color w:val="1A1A1A"/>
          <w:sz w:val="21"/>
          <w:szCs w:val="21"/>
        </w:rPr>
        <w:t xml:space="preserve">The laboratory’s maintained description of conditions. This register is a model. It may be more detailed than the entity’s view. It is still incomplete relative to any unmodeled world. Treating it as metaphysical ground truth is a design error.</w:t>
      </w:r>
    </w:p>
    <w:p>
      <w:pPr>
        <w:pStyle w:val="Heading2"/>
        <w:spacing w:after="100" w:before="240"/>
      </w:pPr>
      <w:r>
        <w:rPr>
          <w:rFonts w:ascii="Arial" w:cs="Arial" w:eastAsia="Arial" w:hAnsi="Arial"/>
          <w:b/>
          <w:bCs/>
          <w:i w:val="false"/>
          <w:iCs w:val="false"/>
          <w:color w:val="2C4A6E"/>
          <w:sz w:val="24"/>
          <w:szCs w:val="24"/>
        </w:rPr>
        <w:t xml:space="preserve">5.7 Entity-State Register</w:t>
      </w:r>
    </w:p>
    <w:p>
      <w:pPr>
        <w:spacing w:after="160" w:before="0" w:line="276"/>
        <w:jc w:val="left"/>
      </w:pPr>
      <w:r>
        <w:rPr>
          <w:rFonts w:ascii="Arial" w:cs="Arial" w:eastAsia="Arial" w:hAnsi="Arial"/>
          <w:b w:val="false"/>
          <w:bCs w:val="false"/>
          <w:i w:val="false"/>
          <w:iCs w:val="false"/>
          <w:color w:val="1A1A1A"/>
          <w:sz w:val="21"/>
          <w:szCs w:val="21"/>
        </w:rPr>
        <w:t xml:space="preserve">The entity’s current condition: damage, energy, prior map, policy, confidence, fatigue analogue, learning history, and declared goals. Internal state can change what the same presentation means.</w:t>
      </w:r>
    </w:p>
    <w:p>
      <w:pPr>
        <w:pStyle w:val="Heading2"/>
        <w:spacing w:after="100" w:before="240"/>
      </w:pPr>
      <w:r>
        <w:rPr>
          <w:rFonts w:ascii="Arial" w:cs="Arial" w:eastAsia="Arial" w:hAnsi="Arial"/>
          <w:b/>
          <w:bCs/>
          <w:i w:val="false"/>
          <w:iCs w:val="false"/>
          <w:color w:val="2C4A6E"/>
          <w:sz w:val="24"/>
          <w:szCs w:val="24"/>
        </w:rPr>
        <w:t xml:space="preserve">5.8 Temporal integrity</w:t>
      </w:r>
    </w:p>
    <w:p>
      <w:pPr>
        <w:spacing w:after="160" w:before="0" w:line="276"/>
        <w:jc w:val="left"/>
      </w:pPr>
      <w:r>
        <w:rPr>
          <w:rFonts w:ascii="Arial" w:cs="Arial" w:eastAsia="Arial" w:hAnsi="Arial"/>
          <w:b w:val="false"/>
          <w:bCs w:val="false"/>
          <w:i w:val="false"/>
          <w:iCs w:val="false"/>
          <w:color w:val="1A1A1A"/>
          <w:sz w:val="21"/>
          <w:szCs w:val="21"/>
        </w:rPr>
        <w:t xml:space="preserve">The degree to which events, signals, actions, and consequences are bound to correct time-indices and causal order for the decision being made. Failures include stale cues treated as current, delayed illness bound to the wrong intake, clocks that drift between lab and entity, and patterns inferred from coincidence.</w:t>
      </w:r>
    </w:p>
    <w:p>
      <w:pPr>
        <w:pStyle w:val="Heading2"/>
        <w:spacing w:after="100" w:before="240"/>
      </w:pPr>
      <w:r>
        <w:rPr>
          <w:rFonts w:ascii="Arial" w:cs="Arial" w:eastAsia="Arial" w:hAnsi="Arial"/>
          <w:b/>
          <w:bCs/>
          <w:i w:val="false"/>
          <w:iCs w:val="false"/>
          <w:color w:val="2C4A6E"/>
          <w:sz w:val="24"/>
          <w:szCs w:val="24"/>
        </w:rPr>
        <w:t xml:space="preserve">5.9 Presentation-state integrity</w:t>
      </w:r>
    </w:p>
    <w:p>
      <w:pPr>
        <w:spacing w:after="160" w:before="0" w:line="276"/>
        <w:jc w:val="left"/>
      </w:pPr>
      <w:r>
        <w:rPr>
          <w:rFonts w:ascii="Arial" w:cs="Arial" w:eastAsia="Arial" w:hAnsi="Arial"/>
          <w:b w:val="false"/>
          <w:bCs w:val="false"/>
          <w:i w:val="false"/>
          <w:iCs w:val="false"/>
          <w:color w:val="1A1A1A"/>
          <w:sz w:val="21"/>
          <w:szCs w:val="21"/>
        </w:rPr>
        <w:t xml:space="preserve">The degree to which a presented packet is a sufficient stand-in for the state it claims to represent, at the time it claims, from the source it claims, with the completeness it implies. Failures include mimicry, camouflage, missing channels, conflicting modalities, internally generated displays mistaken for external events, and lab instrumentation that silently filters what the entity can see.</w:t>
      </w:r>
    </w:p>
    <w:p>
      <w:pPr>
        <w:pStyle w:val="Heading2"/>
        <w:spacing w:after="100" w:before="240"/>
      </w:pPr>
      <w:r>
        <w:rPr>
          <w:rFonts w:ascii="Arial" w:cs="Arial" w:eastAsia="Arial" w:hAnsi="Arial"/>
          <w:b/>
          <w:bCs/>
          <w:i w:val="false"/>
          <w:iCs w:val="false"/>
          <w:color w:val="2C4A6E"/>
          <w:sz w:val="24"/>
          <w:szCs w:val="24"/>
        </w:rPr>
        <w:t xml:space="preserve">5.10 Reliable map</w:t>
      </w:r>
    </w:p>
    <w:p>
      <w:pPr>
        <w:spacing w:after="160" w:before="0" w:line="276"/>
        <w:jc w:val="left"/>
      </w:pPr>
      <w:r>
        <w:rPr>
          <w:rFonts w:ascii="Arial" w:cs="Arial" w:eastAsia="Arial" w:hAnsi="Arial"/>
          <w:b w:val="false"/>
          <w:bCs w:val="false"/>
          <w:i w:val="false"/>
          <w:iCs w:val="false"/>
          <w:color w:val="1A1A1A"/>
          <w:sz w:val="21"/>
          <w:szCs w:val="21"/>
        </w:rPr>
        <w:t xml:space="preserve">A map is reliable when its confidence is calibrated to its actual usefulness for the entity’s available actions under the EIC — including knowing when not to trust it. Reliability is not identical with correspondence to the Environment Register, and correspondence to the Environment Register is not identical with truth.</w:t>
      </w:r>
    </w:p>
    <w:p>
      <w:pPr>
        <w:pStyle w:val="Heading1"/>
        <w:spacing w:after="140" w:before="320"/>
      </w:pPr>
      <w:r>
        <w:rPr>
          <w:rFonts w:ascii="Arial" w:cs="Arial" w:eastAsia="Arial" w:hAnsi="Arial"/>
          <w:b/>
          <w:bCs/>
          <w:i w:val="false"/>
          <w:iCs w:val="false"/>
          <w:color w:val="1B2A4A"/>
          <w:sz w:val="28"/>
          <w:szCs w:val="28"/>
        </w:rPr>
        <w:t xml:space="preserve">6. Comparative review of the five responses</w:t>
      </w:r>
    </w:p>
    <w:p>
      <w:pPr>
        <w:spacing w:after="160" w:before="0" w:line="276"/>
        <w:jc w:val="left"/>
      </w:pPr>
      <w:r>
        <w:rPr>
          <w:rFonts w:ascii="Arial" w:cs="Arial" w:eastAsia="Arial" w:hAnsi="Arial"/>
          <w:b w:val="false"/>
          <w:bCs w:val="false"/>
          <w:i w:val="false"/>
          <w:iCs w:val="false"/>
          <w:color w:val="1A1A1A"/>
          <w:sz w:val="21"/>
          <w:szCs w:val="21"/>
        </w:rPr>
        <w:t xml:space="preserve">The Architect preferred Perplexity and ChatGPT. Grok treats that preference as design-relevant taste, not as a ranking that ends independent work. Below is Grok’s assessment of fitness for a foundational laboratory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240"/>
        <w:gridCol w:w="4240"/>
      </w:tblGrid>
      <w:tr>
        <w:tc>
          <w:tcPr>
            <w:tcW w:type="dxa" w:w="1600"/>
            <w:tcBorders>
              <w:top w:val="single" w:color="C5CBD3" w:sz="4"/>
              <w:left w:val="single" w:color="C5CBD3" w:sz="4"/>
              <w:bottom w:val="single" w:color="C5CBD3" w:sz="4"/>
              <w:right w:val="single" w:color="C5CBD3" w:sz="4"/>
            </w:tcBorders>
            <w:shd w:fill="1B2A4A" w:val="clear"/>
            <w:tcMar>
              <w:top w:type="dxa" w:w="60"/>
              <w:left w:type="dxa" w:w="80"/>
              <w:bottom w:type="dxa" w:w="60"/>
              <w:right w:type="dxa" w:w="80"/>
            </w:tcMar>
            <w:vAlign w:val="top"/>
          </w:tcPr>
          <w:p>
            <w:r>
              <w:rPr>
                <w:rFonts w:ascii="Arial" w:cs="Arial" w:eastAsia="Arial" w:hAnsi="Arial"/>
                <w:b/>
                <w:bCs/>
                <w:i w:val="false"/>
                <w:iCs w:val="false"/>
                <w:color w:val="FFFFFF"/>
                <w:sz w:val="16"/>
                <w:szCs w:val="16"/>
              </w:rPr>
              <w:t xml:space="preserve">Source</w:t>
            </w:r>
          </w:p>
        </w:tc>
        <w:tc>
          <w:tcPr>
            <w:tcW w:type="dxa" w:w="4240"/>
            <w:tcBorders>
              <w:top w:val="single" w:color="C5CBD3" w:sz="4"/>
              <w:left w:val="single" w:color="C5CBD3" w:sz="4"/>
              <w:bottom w:val="single" w:color="C5CBD3" w:sz="4"/>
              <w:right w:val="single" w:color="C5CBD3" w:sz="4"/>
            </w:tcBorders>
            <w:shd w:fill="1B2A4A" w:val="clear"/>
            <w:tcMar>
              <w:top w:type="dxa" w:w="60"/>
              <w:left w:type="dxa" w:w="80"/>
              <w:bottom w:type="dxa" w:w="60"/>
              <w:right w:type="dxa" w:w="80"/>
            </w:tcMar>
            <w:vAlign w:val="top"/>
          </w:tcPr>
          <w:p>
            <w:r>
              <w:rPr>
                <w:rFonts w:ascii="Arial" w:cs="Arial" w:eastAsia="Arial" w:hAnsi="Arial"/>
                <w:b/>
                <w:bCs/>
                <w:i w:val="false"/>
                <w:iCs w:val="false"/>
                <w:color w:val="FFFFFF"/>
                <w:sz w:val="16"/>
                <w:szCs w:val="16"/>
              </w:rPr>
              <w:t xml:space="preserve">What it contributes</w:t>
            </w:r>
          </w:p>
        </w:tc>
        <w:tc>
          <w:tcPr>
            <w:tcW w:type="dxa" w:w="4240"/>
            <w:tcBorders>
              <w:top w:val="single" w:color="C5CBD3" w:sz="4"/>
              <w:left w:val="single" w:color="C5CBD3" w:sz="4"/>
              <w:bottom w:val="single" w:color="C5CBD3" w:sz="4"/>
              <w:right w:val="single" w:color="C5CBD3" w:sz="4"/>
            </w:tcBorders>
            <w:shd w:fill="1B2A4A" w:val="clear"/>
            <w:tcMar>
              <w:top w:type="dxa" w:w="60"/>
              <w:left w:type="dxa" w:w="80"/>
              <w:bottom w:type="dxa" w:w="60"/>
              <w:right w:type="dxa" w:w="80"/>
            </w:tcMar>
            <w:vAlign w:val="top"/>
          </w:tcPr>
          <w:p>
            <w:r>
              <w:rPr>
                <w:rFonts w:ascii="Arial" w:cs="Arial" w:eastAsia="Arial" w:hAnsi="Arial"/>
                <w:b/>
                <w:bCs/>
                <w:i w:val="false"/>
                <w:iCs w:val="false"/>
                <w:color w:val="FFFFFF"/>
                <w:sz w:val="16"/>
                <w:szCs w:val="16"/>
              </w:rPr>
              <w:t xml:space="preserve">What it risks</w:t>
            </w:r>
          </w:p>
        </w:tc>
      </w:tr>
      <w:tr>
        <w:tc>
          <w:tcPr>
            <w:tcW w:type="dxa" w:w="16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bCs/>
                <w:i w:val="false"/>
                <w:iCs w:val="false"/>
                <w:color w:val="1A1A1A"/>
                <w:sz w:val="16"/>
                <w:szCs w:val="16"/>
              </w:rPr>
              <w:t xml:space="preserve">ChatGPT</w:t>
            </w:r>
          </w:p>
        </w:tc>
        <w:tc>
          <w:tcPr>
            <w:tcW w:type="dxa" w:w="424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Clean problem name: reliable world-model from unreliable inputs. Useful staged pipeline. Explicit false-positive / false-negative / latent / undetectable threat classes. Correct refusal of five-sense default. Correct reading of threat as relational.</w:t>
            </w:r>
          </w:p>
        </w:tc>
        <w:tc>
          <w:tcPr>
            <w:tcW w:type="dxa" w:w="424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Adds predators and unsafe terrain the Architect did not request. Pipeline is too linear. “Ground truth” language is used too freely.</w:t>
            </w:r>
          </w:p>
        </w:tc>
      </w:tr>
      <w:tr>
        <w:tc>
          <w:tcPr>
            <w:tcW w:type="dxa" w:w="160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bCs/>
                <w:i w:val="false"/>
                <w:iCs w:val="false"/>
                <w:color w:val="1A1A1A"/>
                <w:sz w:val="16"/>
                <w:szCs w:val="16"/>
              </w:rPr>
              <w:t xml:space="preserve">Perplexity</w:t>
            </w:r>
          </w:p>
        </w:tc>
        <w:tc>
          <w:tcPr>
            <w:tcW w:type="dxa" w:w="424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Best current conceptual density. Names temporal integrity and presentation-state integrity as research objects. Concrete test families. Clear lab-limit language. Useful situation table.</w:t>
            </w:r>
          </w:p>
        </w:tc>
        <w:tc>
          <w:tcPr>
            <w:tcW w:type="dxa" w:w="424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Re-centers sight/sound/smell/taste/touch in examples. Treats false-alarm bias as evolutionary tendency rather than a hypothesis. Compact thesis could freeze the project as biology-plus-AI and underweight control-flow origins.</w:t>
            </w:r>
          </w:p>
        </w:tc>
      </w:tr>
      <w:tr>
        <w:tc>
          <w:tcPr>
            <w:tcW w:type="dxa" w:w="16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bCs/>
                <w:i w:val="false"/>
                <w:iCs w:val="false"/>
                <w:color w:val="1A1A1A"/>
                <w:sz w:val="16"/>
                <w:szCs w:val="16"/>
              </w:rPr>
              <w:t xml:space="preserve">Copilot</w:t>
            </w:r>
          </w:p>
        </w:tc>
        <w:tc>
          <w:tcPr>
            <w:tcW w:type="dxa" w:w="424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Correct relational definition of threat. Clear “does not assume” list. Affordance language is usable if kept local.</w:t>
            </w:r>
          </w:p>
        </w:tc>
        <w:tc>
          <w:tcPr>
            <w:tcW w:type="dxa" w:w="424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Emoji sectioning is not laboratory documentation. Threat-as-existence-only is too survival-centric. Innate “fear modules” should not be default architecture.</w:t>
            </w:r>
          </w:p>
        </w:tc>
      </w:tr>
      <w:tr>
        <w:tc>
          <w:tcPr>
            <w:tcW w:type="dxa" w:w="160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bCs/>
                <w:i w:val="false"/>
                <w:iCs w:val="false"/>
                <w:color w:val="1A1A1A"/>
                <w:sz w:val="16"/>
                <w:szCs w:val="16"/>
              </w:rPr>
              <w:t xml:space="preserve">Gemini</w:t>
            </w:r>
          </w:p>
        </w:tc>
        <w:tc>
          <w:tcPr>
            <w:tcW w:type="dxa" w:w="424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Faithful restatement of presented / environment / internal baseline. Clean sensory-constraint language.</w:t>
            </w:r>
          </w:p>
        </w:tc>
        <w:tc>
          <w:tcPr>
            <w:tcW w:type="dxa" w:w="424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Almost no mechanism, test design, or alternative analysis. Two near-duplicate blocks. Insufficient as a foundational record by itself.</w:t>
            </w:r>
          </w:p>
        </w:tc>
      </w:tr>
      <w:tr>
        <w:tc>
          <w:tcPr>
            <w:tcW w:type="dxa" w:w="16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bCs/>
                <w:i w:val="false"/>
                <w:iCs w:val="false"/>
                <w:color w:val="1A1A1A"/>
                <w:sz w:val="16"/>
                <w:szCs w:val="16"/>
              </w:rPr>
              <w:t xml:space="preserve">Grok (prior)</w:t>
            </w:r>
          </w:p>
        </w:tc>
        <w:tc>
          <w:tcPr>
            <w:tcW w:type="dxa" w:w="424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Accurate archival capture of the Architect’s words without adding foreign categories.</w:t>
            </w:r>
          </w:p>
        </w:tc>
        <w:tc>
          <w:tcPr>
            <w:tcW w:type="dxa" w:w="424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Archival only. No independent framework. This document exists to correct that thinness without overwriting the Architect’s language.</w:t>
            </w:r>
          </w:p>
        </w:tc>
      </w:tr>
    </w:tbl>
    <w:p>
      <w:pPr>
        <w:spacing w:after="160" w:before="160" w:line="276"/>
        <w:jc w:val="left"/>
      </w:pPr>
      <w:r>
        <w:rPr>
          <w:rFonts w:ascii="Arial" w:cs="Arial" w:eastAsia="Arial" w:hAnsi="Arial"/>
          <w:b w:val="false"/>
          <w:bCs w:val="false"/>
          <w:i w:val="false"/>
          <w:iCs w:val="false"/>
          <w:color w:val="1A1A1A"/>
          <w:sz w:val="21"/>
          <w:szCs w:val="21"/>
        </w:rPr>
        <w:t xml:space="preserve">Net: Perplexity is the strongest conceptual draft. ChatGPT is the strongest architectural sketch. Copilot is a useful constraint restatement with the wrong document genre. Gemini is a faithful abstract. Prior Grok was a faithful save. None of them yet constitute a laboratory that can be versioned, dissented from, or built.</w:t>
      </w:r>
    </w:p>
    <w:p>
      <w:pPr>
        <w:pStyle w:val="Heading1"/>
        <w:spacing w:after="140" w:before="320"/>
      </w:pPr>
      <w:r>
        <w:rPr>
          <w:rFonts w:ascii="Arial" w:cs="Arial" w:eastAsia="Arial" w:hAnsi="Arial"/>
          <w:b/>
          <w:bCs/>
          <w:i w:val="false"/>
          <w:iCs w:val="false"/>
          <w:color w:val="1B2A4A"/>
          <w:sz w:val="28"/>
          <w:szCs w:val="28"/>
        </w:rPr>
        <w:t xml:space="preserve">7. What works</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Framing the problem as state estimation and control under uncertainty, not as “getting perception right.”</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Treating threat as relational and context-dependent.</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Refusing sensory universality and five-sense defaulting.</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Separating real-unseen, false-alarm, uninterpretable, recognized-but-unactionable, and adaptive-without-representation cases.</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Naming temporal integrity and presentation-state integrity as distinct objects rather than synonyms for “accuracy.”</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Stating laboratory limits in negative form: the lab does not certify safety and does not enumerate all threats.</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Allowing non-injurious proxies and simulations as valid tests of discernment.</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Keeping the Architect’s original questions intact instead of replacing them with a model’s favorite theory.</w:t>
      </w:r>
    </w:p>
    <w:p>
      <w:pPr>
        <w:pStyle w:val="Heading1"/>
        <w:spacing w:after="140" w:before="320"/>
      </w:pPr>
      <w:r>
        <w:rPr>
          <w:rFonts w:ascii="Arial" w:cs="Arial" w:eastAsia="Arial" w:hAnsi="Arial"/>
          <w:b/>
          <w:bCs/>
          <w:i w:val="false"/>
          <w:iCs w:val="false"/>
          <w:color w:val="1B2A4A"/>
          <w:sz w:val="28"/>
          <w:szCs w:val="28"/>
        </w:rPr>
        <w:t xml:space="preserve">8. What does not work, or does not yet work</w:t>
      </w:r>
    </w:p>
    <w:p>
      <w:pPr>
        <w:pStyle w:val="Heading2"/>
        <w:spacing w:after="100" w:before="240"/>
      </w:pPr>
      <w:r>
        <w:rPr>
          <w:rFonts w:ascii="Arial" w:cs="Arial" w:eastAsia="Arial" w:hAnsi="Arial"/>
          <w:b/>
          <w:bCs/>
          <w:i w:val="false"/>
          <w:iCs w:val="false"/>
          <w:color w:val="2C4A6E"/>
          <w:sz w:val="24"/>
          <w:szCs w:val="24"/>
        </w:rPr>
        <w:t xml:space="preserve">8.1 Conceptual faults</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Using “ground truth” as if the laboratory possessed the environment. The Environment Register is a model.</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Leaving “a threat can be anything” as the operational definition. As metaphysics it is correct. As a protocol it is unbounded.</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Importing human foraging and predator ecology as the default scene for a poison / toxin / corrosive lab.</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Treating false-alarm bias as an evolved law rather than as one possible cost structure.</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Equating map reliability with map accuracy against the lab model.</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Writing as if sensation precedes interpretation in a clean stack.</w:t>
      </w:r>
    </w:p>
    <w:p>
      <w:pPr>
        <w:pStyle w:val="Heading2"/>
        <w:spacing w:after="100" w:before="240"/>
      </w:pPr>
      <w:r>
        <w:rPr>
          <w:rFonts w:ascii="Arial" w:cs="Arial" w:eastAsia="Arial" w:hAnsi="Arial"/>
          <w:b/>
          <w:bCs/>
          <w:i w:val="false"/>
          <w:iCs w:val="false"/>
          <w:color w:val="2C4A6E"/>
          <w:sz w:val="24"/>
          <w:szCs w:val="24"/>
        </w:rPr>
        <w:t xml:space="preserve">8.2 Process faults</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No shared document identifier existed before this commission. Saves in chat are not a versioning record.</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Models restated the prompt at different lengths and then stopped. Restatement is not design.</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No dissent log. Agreement across models can be mimicry of the prompt, not independent confirmation.</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Ethical and physical scope of “poison / toxin / corrosive laboratory” was not pinned.</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No decision about what an “entity” is allowed to be in the first test series.</w:t>
      </w:r>
    </w:p>
    <w:p>
      <w:pPr>
        <w:pStyle w:val="Heading1"/>
        <w:spacing w:after="140" w:before="320"/>
      </w:pPr>
      <w:r>
        <w:rPr>
          <w:rFonts w:ascii="Arial" w:cs="Arial" w:eastAsia="Arial" w:hAnsi="Arial"/>
          <w:b/>
          <w:bCs/>
          <w:i w:val="false"/>
          <w:iCs w:val="false"/>
          <w:color w:val="1B2A4A"/>
          <w:sz w:val="28"/>
          <w:szCs w:val="28"/>
        </w:rPr>
        <w:t xml:space="preserve">9. What must be addressed before design proceeds</w:t>
      </w:r>
    </w:p>
    <w:p>
      <w:pPr>
        <w:spacing w:after="160" w:before="0" w:line="276"/>
        <w:jc w:val="left"/>
      </w:pPr>
      <w:r>
        <w:rPr>
          <w:rFonts w:ascii="Arial" w:cs="Arial" w:eastAsia="Arial" w:hAnsi="Arial"/>
          <w:b w:val="false"/>
          <w:bCs w:val="false"/>
          <w:i w:val="false"/>
          <w:iCs w:val="false"/>
          <w:color w:val="1A1A1A"/>
          <w:sz w:val="21"/>
          <w:szCs w:val="21"/>
        </w:rPr>
        <w:t xml:space="preserve">These are blockers, not polish items. Building apparatus before they are decided will bake rejected assumptions into the first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6480"/>
      </w:tblGrid>
      <w:tr>
        <w:tc>
          <w:tcPr>
            <w:tcW w:type="dxa" w:w="600"/>
            <w:tcBorders>
              <w:top w:val="single" w:color="C5CBD3" w:sz="4"/>
              <w:left w:val="single" w:color="C5CBD3" w:sz="4"/>
              <w:bottom w:val="single" w:color="C5CBD3" w:sz="4"/>
              <w:right w:val="single" w:color="C5CBD3" w:sz="4"/>
            </w:tcBorders>
            <w:shd w:fill="1B2A4A" w:val="clear"/>
            <w:tcMar>
              <w:top w:type="dxa" w:w="60"/>
              <w:left w:type="dxa" w:w="80"/>
              <w:bottom w:type="dxa" w:w="60"/>
              <w:right w:type="dxa" w:w="80"/>
            </w:tcMar>
            <w:vAlign w:val="top"/>
          </w:tcPr>
          <w:p>
            <w:r>
              <w:rPr>
                <w:rFonts w:ascii="Arial" w:cs="Arial" w:eastAsia="Arial" w:hAnsi="Arial"/>
                <w:b/>
                <w:bCs/>
                <w:i w:val="false"/>
                <w:iCs w:val="false"/>
                <w:color w:val="FFFFFF"/>
                <w:sz w:val="16"/>
                <w:szCs w:val="16"/>
              </w:rPr>
              <w:t xml:space="preserve">#</w:t>
            </w:r>
          </w:p>
        </w:tc>
        <w:tc>
          <w:tcPr>
            <w:tcW w:type="dxa" w:w="3000"/>
            <w:tcBorders>
              <w:top w:val="single" w:color="C5CBD3" w:sz="4"/>
              <w:left w:val="single" w:color="C5CBD3" w:sz="4"/>
              <w:bottom w:val="single" w:color="C5CBD3" w:sz="4"/>
              <w:right w:val="single" w:color="C5CBD3" w:sz="4"/>
            </w:tcBorders>
            <w:shd w:fill="1B2A4A" w:val="clear"/>
            <w:tcMar>
              <w:top w:type="dxa" w:w="60"/>
              <w:left w:type="dxa" w:w="80"/>
              <w:bottom w:type="dxa" w:w="60"/>
              <w:right w:type="dxa" w:w="80"/>
            </w:tcMar>
            <w:vAlign w:val="top"/>
          </w:tcPr>
          <w:p>
            <w:r>
              <w:rPr>
                <w:rFonts w:ascii="Arial" w:cs="Arial" w:eastAsia="Arial" w:hAnsi="Arial"/>
                <w:b/>
                <w:bCs/>
                <w:i w:val="false"/>
                <w:iCs w:val="false"/>
                <w:color w:val="FFFFFF"/>
                <w:sz w:val="16"/>
                <w:szCs w:val="16"/>
              </w:rPr>
              <w:t xml:space="preserve">Decision needed</w:t>
            </w:r>
          </w:p>
        </w:tc>
        <w:tc>
          <w:tcPr>
            <w:tcW w:type="dxa" w:w="6480"/>
            <w:tcBorders>
              <w:top w:val="single" w:color="C5CBD3" w:sz="4"/>
              <w:left w:val="single" w:color="C5CBD3" w:sz="4"/>
              <w:bottom w:val="single" w:color="C5CBD3" w:sz="4"/>
              <w:right w:val="single" w:color="C5CBD3" w:sz="4"/>
            </w:tcBorders>
            <w:shd w:fill="1B2A4A" w:val="clear"/>
            <w:tcMar>
              <w:top w:type="dxa" w:w="60"/>
              <w:left w:type="dxa" w:w="80"/>
              <w:bottom w:type="dxa" w:w="60"/>
              <w:right w:type="dxa" w:w="80"/>
            </w:tcMar>
            <w:vAlign w:val="top"/>
          </w:tcPr>
          <w:p>
            <w:r>
              <w:rPr>
                <w:rFonts w:ascii="Arial" w:cs="Arial" w:eastAsia="Arial" w:hAnsi="Arial"/>
                <w:b/>
                <w:bCs/>
                <w:i w:val="false"/>
                <w:iCs w:val="false"/>
                <w:color w:val="FFFFFF"/>
                <w:sz w:val="16"/>
                <w:szCs w:val="16"/>
              </w:rPr>
              <w:t xml:space="preserve">Why it blocks design</w:t>
            </w:r>
          </w:p>
        </w:tc>
      </w:tr>
      <w:tr>
        <w:tc>
          <w:tcPr>
            <w:tcW w:type="dxa" w:w="6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1</w:t>
            </w:r>
          </w:p>
        </w:tc>
        <w:tc>
          <w:tcPr>
            <w:tcW w:type="dxa" w:w="30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Entity class for series 1</w:t>
            </w:r>
          </w:p>
        </w:tc>
        <w:tc>
          <w:tcPr>
            <w:tcW w:type="dxa" w:w="648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A bacterium, a human subject, a robot, and a software agent require different ethics, sensors, and scores.</w:t>
            </w:r>
          </w:p>
        </w:tc>
      </w:tr>
      <w:tr>
        <w:tc>
          <w:tcPr>
            <w:tcW w:type="dxa" w:w="60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2</w:t>
            </w:r>
          </w:p>
        </w:tc>
        <w:tc>
          <w:tcPr>
            <w:tcW w:type="dxa" w:w="300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EIC for series 1</w:t>
            </w:r>
          </w:p>
        </w:tc>
        <w:tc>
          <w:tcPr>
            <w:tcW w:type="dxa" w:w="648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Without a declared integrity criterion, “threat detected” cannot be scored except by aesthetic judgment.</w:t>
            </w:r>
          </w:p>
        </w:tc>
      </w:tr>
      <w:tr>
        <w:tc>
          <w:tcPr>
            <w:tcW w:type="dxa" w:w="6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3</w:t>
            </w:r>
          </w:p>
        </w:tc>
        <w:tc>
          <w:tcPr>
            <w:tcW w:type="dxa" w:w="30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Physical vs simulated vs hybrid lab</w:t>
            </w:r>
          </w:p>
        </w:tc>
        <w:tc>
          <w:tcPr>
            <w:tcW w:type="dxa" w:w="648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First series should default to simulation and non-injurious proxy unless the Architect explicitly chooses otherwise.</w:t>
            </w:r>
          </w:p>
        </w:tc>
      </w:tr>
      <w:tr>
        <w:tc>
          <w:tcPr>
            <w:tcW w:type="dxa" w:w="60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4</w:t>
            </w:r>
          </w:p>
        </w:tc>
        <w:tc>
          <w:tcPr>
            <w:tcW w:type="dxa" w:w="300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What the Environment Register is allowed to know</w:t>
            </w:r>
          </w:p>
        </w:tc>
        <w:tc>
          <w:tcPr>
            <w:tcW w:type="dxa" w:w="648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If the lab claims omniscience, presentation-state integrity cannot be studied in the instruments themselves.</w:t>
            </w:r>
          </w:p>
        </w:tc>
      </w:tr>
      <w:tr>
        <w:tc>
          <w:tcPr>
            <w:tcW w:type="dxa" w:w="6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5</w:t>
            </w:r>
          </w:p>
        </w:tc>
        <w:tc>
          <w:tcPr>
            <w:tcW w:type="dxa" w:w="30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Clock model</w:t>
            </w:r>
          </w:p>
        </w:tc>
        <w:tc>
          <w:tcPr>
            <w:tcW w:type="dxa" w:w="648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Temporal integrity is untestable if lab time, entity time, and presentation time are the same clock by default.</w:t>
            </w:r>
          </w:p>
        </w:tc>
      </w:tr>
      <w:tr>
        <w:tc>
          <w:tcPr>
            <w:tcW w:type="dxa" w:w="60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6</w:t>
            </w:r>
          </w:p>
        </w:tc>
        <w:tc>
          <w:tcPr>
            <w:tcW w:type="dxa" w:w="300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Open-world rule for negatives</w:t>
            </w:r>
          </w:p>
        </w:tc>
        <w:tc>
          <w:tcPr>
            <w:tcW w:type="dxa" w:w="648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A negative result must be logged as “not observed under these conditions,” never as “safe.”</w:t>
            </w:r>
          </w:p>
        </w:tc>
      </w:tr>
      <w:tr>
        <w:tc>
          <w:tcPr>
            <w:tcW w:type="dxa" w:w="6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7</w:t>
            </w:r>
          </w:p>
        </w:tc>
        <w:tc>
          <w:tcPr>
            <w:tcW w:type="dxa" w:w="30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Canon status of sibling documents</w:t>
            </w:r>
          </w:p>
        </w:tc>
        <w:tc>
          <w:tcPr>
            <w:tcW w:type="dxa" w:w="648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Five independent versions will conflict. Drafts are not canon.</w:t>
            </w:r>
          </w:p>
        </w:tc>
      </w:tr>
      <w:tr>
        <w:tc>
          <w:tcPr>
            <w:tcW w:type="dxa" w:w="60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8</w:t>
            </w:r>
          </w:p>
        </w:tc>
        <w:tc>
          <w:tcPr>
            <w:tcW w:type="dxa" w:w="300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Alternative-analysis requirement</w:t>
            </w:r>
          </w:p>
        </w:tc>
        <w:tc>
          <w:tcPr>
            <w:tcW w:type="dxa" w:w="648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If only preferred models are expanded, hidden defaults travel forward unexamined.</w:t>
            </w:r>
          </w:p>
        </w:tc>
      </w:tr>
    </w:tbl>
    <w:p>
      <w:pPr>
        <w:pStyle w:val="Heading1"/>
        <w:spacing w:after="140" w:before="320"/>
      </w:pPr>
      <w:r>
        <w:rPr>
          <w:rFonts w:ascii="Arial" w:cs="Arial" w:eastAsia="Arial" w:hAnsi="Arial"/>
          <w:b/>
          <w:bCs/>
          <w:i w:val="false"/>
          <w:iCs w:val="false"/>
          <w:color w:val="1B2A4A"/>
          <w:sz w:val="28"/>
          <w:szCs w:val="28"/>
        </w:rPr>
        <w:t xml:space="preserve">10. Questions the laboratory should be asking</w:t>
      </w:r>
    </w:p>
    <w:p>
      <w:pPr>
        <w:pStyle w:val="Heading2"/>
        <w:spacing w:after="100" w:before="240"/>
      </w:pPr>
      <w:r>
        <w:rPr>
          <w:rFonts w:ascii="Arial" w:cs="Arial" w:eastAsia="Arial" w:hAnsi="Arial"/>
          <w:b/>
          <w:bCs/>
          <w:i w:val="false"/>
          <w:iCs w:val="false"/>
          <w:color w:val="2C4A6E"/>
          <w:sz w:val="24"/>
          <w:szCs w:val="24"/>
        </w:rPr>
        <w:t xml:space="preserve">10.1 Architect questions retained</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How does an organism or entity sense its environment and know what is around it?</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How does that relate to temporal integrity and presentation-state integrity?</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How are discrepancies among presented state, environmental state, and current state sorted and reconciled?</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How does an entity recognize a threat, what it can and cannot eat, a toxin, a poison, or other danger?</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How does it build a map that is reliable when the foundation is unreliable information?</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How do we test for this?</w:t>
      </w:r>
    </w:p>
    <w:p>
      <w:pPr>
        <w:pStyle w:val="Heading2"/>
        <w:spacing w:after="100" w:before="240"/>
      </w:pPr>
      <w:r>
        <w:rPr>
          <w:rFonts w:ascii="Arial" w:cs="Arial" w:eastAsia="Arial" w:hAnsi="Arial"/>
          <w:b/>
          <w:bCs/>
          <w:i w:val="false"/>
          <w:iCs w:val="false"/>
          <w:color w:val="2C4A6E"/>
          <w:sz w:val="24"/>
          <w:szCs w:val="24"/>
        </w:rPr>
        <w:t xml:space="preserve">10.2 Questions Grok adds before apparatus is built</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Who is allowed to hold the Environment Register, and what is that holder forbidden to see?</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What is the smallest entity interface that still counts as sensing?</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When two registers disagree, is reconciliation a belief update, an action, a refusal to act, or a split into parallel hypotheses?</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Can an entity be competent at avoidance without possessing a representation we would recognize as a map?</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How should the lab score an entity that correctly refuses to decide?</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Is “eat / do not eat” a special case of resource-pathway poison, or a separate affordance system?</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What kinds of harm are invisible even to the Environment Register as currently designed?</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Does the laboratory need a second entity whose presentation is the first entity’s environment?</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How is delayed harm attributed without smuggling in a perfect causal graph?</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What would count as a failed laboratory rather than a failed entity?</w:t>
      </w:r>
    </w:p>
    <w:p>
      <w:pPr>
        <w:pStyle w:val="Heading2"/>
        <w:spacing w:after="100" w:before="240"/>
      </w:pPr>
      <w:r>
        <w:rPr>
          <w:rFonts w:ascii="Arial" w:cs="Arial" w:eastAsia="Arial" w:hAnsi="Arial"/>
          <w:b/>
          <w:bCs/>
          <w:i w:val="false"/>
          <w:iCs w:val="false"/>
          <w:color w:val="2C4A6E"/>
          <w:sz w:val="24"/>
          <w:szCs w:val="24"/>
        </w:rPr>
        <w:t xml:space="preserve">10.3 Questions that should not be asked as if already answered</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What are the five senses of this organism?</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Is the environment safe because nothing happened?</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Which objects in the scene are the threats?</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What is the true map?</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How do we detect all toxins?</w:t>
      </w:r>
    </w:p>
    <w:p>
      <w:pPr>
        <w:pStyle w:val="Heading1"/>
        <w:spacing w:after="140" w:before="320"/>
      </w:pPr>
      <w:r>
        <w:rPr>
          <w:rFonts w:ascii="Arial" w:cs="Arial" w:eastAsia="Arial" w:hAnsi="Arial"/>
          <w:b/>
          <w:bCs/>
          <w:i w:val="false"/>
          <w:iCs w:val="false"/>
          <w:color w:val="1B2A4A"/>
          <w:sz w:val="28"/>
          <w:szCs w:val="28"/>
        </w:rPr>
        <w:t xml:space="preserve">11. Means of alternative analysis</w:t>
      </w:r>
    </w:p>
    <w:p>
      <w:pPr>
        <w:spacing w:after="160" w:before="0" w:line="276"/>
        <w:jc w:val="left"/>
      </w:pPr>
      <w:r>
        <w:rPr>
          <w:rFonts w:ascii="Arial" w:cs="Arial" w:eastAsia="Arial" w:hAnsi="Arial"/>
          <w:b w:val="false"/>
          <w:bCs w:val="false"/>
          <w:i w:val="false"/>
          <w:iCs w:val="false"/>
          <w:color w:val="1A1A1A"/>
          <w:sz w:val="21"/>
          <w:szCs w:val="21"/>
        </w:rPr>
        <w:t xml:space="preserve">Yes. Alternative analysis should be a required stage, not a courtesy.</w:t>
      </w:r>
    </w:p>
    <w:p>
      <w:pPr>
        <w:pStyle w:val="Heading2"/>
        <w:spacing w:after="100" w:before="240"/>
      </w:pPr>
      <w:r>
        <w:rPr>
          <w:rFonts w:ascii="Arial" w:cs="Arial" w:eastAsia="Arial" w:hAnsi="Arial"/>
          <w:b/>
          <w:bCs/>
          <w:i w:val="false"/>
          <w:iCs w:val="false"/>
          <w:color w:val="2C4A6E"/>
          <w:sz w:val="24"/>
          <w:szCs w:val="24"/>
        </w:rPr>
        <w:t xml:space="preserve">11.1 Independent versions, then a dissent log</w:t>
      </w:r>
    </w:p>
    <w:p>
      <w:pPr>
        <w:spacing w:after="160" w:before="0" w:line="276"/>
        <w:jc w:val="left"/>
      </w:pPr>
      <w:r>
        <w:rPr>
          <w:rFonts w:ascii="Arial" w:cs="Arial" w:eastAsia="Arial" w:hAnsi="Arial"/>
          <w:b w:val="false"/>
          <w:bCs w:val="false"/>
          <w:i w:val="false"/>
          <w:iCs w:val="false"/>
          <w:color w:val="1A1A1A"/>
          <w:sz w:val="21"/>
          <w:szCs w:val="21"/>
        </w:rPr>
        <w:t xml:space="preserve">Each model produces a versioned document, as requested. A later editor — human, not a default model — builds a dissent log: claims accepted, claims contested, claims rejected, and claims deferred. Agreement is not evidence unless the agreeing documents used different methods.</w:t>
      </w:r>
    </w:p>
    <w:p>
      <w:pPr>
        <w:pStyle w:val="Heading2"/>
        <w:spacing w:after="100" w:before="240"/>
      </w:pPr>
      <w:r>
        <w:rPr>
          <w:rFonts w:ascii="Arial" w:cs="Arial" w:eastAsia="Arial" w:hAnsi="Arial"/>
          <w:b/>
          <w:bCs/>
          <w:i w:val="false"/>
          <w:iCs w:val="false"/>
          <w:color w:val="2C4A6E"/>
          <w:sz w:val="24"/>
          <w:szCs w:val="24"/>
        </w:rPr>
        <w:t xml:space="preserve">11.2 Competing threat ontologies</w:t>
      </w:r>
    </w:p>
    <w:p>
      <w:pPr>
        <w:spacing w:after="160" w:before="0" w:line="276"/>
        <w:jc w:val="left"/>
      </w:pPr>
      <w:r>
        <w:rPr>
          <w:rFonts w:ascii="Arial" w:cs="Arial" w:eastAsia="Arial" w:hAnsi="Arial"/>
          <w:b w:val="false"/>
          <w:bCs w:val="false"/>
          <w:i w:val="false"/>
          <w:iCs w:val="false"/>
          <w:color w:val="1A1A1A"/>
          <w:sz w:val="21"/>
          <w:szCs w:val="21"/>
        </w:rPr>
        <w:t xml:space="preserve">Run the same scenario packet through at least two incompatible threat ontologies. Example pair: (A) harm-as-EIC-violation only; (B) harm-as-any-deviation-from-prior-map. If both produce the same “detected threat” list, the experiment is probably insensitive, not confirmed.</w:t>
      </w:r>
    </w:p>
    <w:p>
      <w:pPr>
        <w:pStyle w:val="Heading2"/>
        <w:spacing w:after="100" w:before="240"/>
      </w:pPr>
      <w:r>
        <w:rPr>
          <w:rFonts w:ascii="Arial" w:cs="Arial" w:eastAsia="Arial" w:hAnsi="Arial"/>
          <w:b/>
          <w:bCs/>
          <w:i w:val="false"/>
          <w:iCs w:val="false"/>
          <w:color w:val="2C4A6E"/>
          <w:sz w:val="24"/>
          <w:szCs w:val="24"/>
        </w:rPr>
        <w:t xml:space="preserve">11.3 Observer-instrumentation audit</w:t>
      </w:r>
    </w:p>
    <w:p>
      <w:pPr>
        <w:spacing w:after="160" w:before="0" w:line="276"/>
        <w:jc w:val="left"/>
      </w:pPr>
      <w:r>
        <w:rPr>
          <w:rFonts w:ascii="Arial" w:cs="Arial" w:eastAsia="Arial" w:hAnsi="Arial"/>
          <w:b w:val="false"/>
          <w:bCs w:val="false"/>
          <w:i w:val="false"/>
          <w:iCs w:val="false"/>
          <w:color w:val="1A1A1A"/>
          <w:sz w:val="21"/>
          <w:szCs w:val="21"/>
        </w:rPr>
        <w:t xml:space="preserve">A second analyst treats the laboratory itself as an entity with a Presentation Register. Every sensor, log, and dashboard the lab uses is listed as a possible integrity failure.</w:t>
      </w:r>
    </w:p>
    <w:p>
      <w:pPr>
        <w:pStyle w:val="Heading2"/>
        <w:spacing w:after="100" w:before="240"/>
      </w:pPr>
      <w:r>
        <w:rPr>
          <w:rFonts w:ascii="Arial" w:cs="Arial" w:eastAsia="Arial" w:hAnsi="Arial"/>
          <w:b/>
          <w:bCs/>
          <w:i w:val="false"/>
          <w:iCs w:val="false"/>
          <w:color w:val="2C4A6E"/>
          <w:sz w:val="24"/>
          <w:szCs w:val="24"/>
        </w:rPr>
        <w:t xml:space="preserve">11.4 Adversarial cue packets</w:t>
      </w:r>
    </w:p>
    <w:p>
      <w:pPr>
        <w:spacing w:after="160" w:before="0" w:line="276"/>
        <w:jc w:val="left"/>
      </w:pPr>
      <w:r>
        <w:rPr>
          <w:rFonts w:ascii="Arial" w:cs="Arial" w:eastAsia="Arial" w:hAnsi="Arial"/>
          <w:b w:val="false"/>
          <w:bCs w:val="false"/>
          <w:i w:val="false"/>
          <w:iCs w:val="false"/>
          <w:color w:val="1A1A1A"/>
          <w:sz w:val="21"/>
          <w:szCs w:val="21"/>
        </w:rPr>
        <w:t xml:space="preserve">Design packets whose job is to make a favored theory look good, then invert them. If a multimodal-integration story only works when sight and smell are available, it is not a general laboratory result.</w:t>
      </w:r>
    </w:p>
    <w:p>
      <w:pPr>
        <w:pStyle w:val="Heading2"/>
        <w:spacing w:after="100" w:before="240"/>
      </w:pPr>
      <w:r>
        <w:rPr>
          <w:rFonts w:ascii="Arial" w:cs="Arial" w:eastAsia="Arial" w:hAnsi="Arial"/>
          <w:b/>
          <w:bCs/>
          <w:i w:val="false"/>
          <w:iCs w:val="false"/>
          <w:color w:val="2C4A6E"/>
          <w:sz w:val="24"/>
          <w:szCs w:val="24"/>
        </w:rPr>
        <w:t xml:space="preserve">11.5 Counterfactual architectures</w:t>
      </w:r>
    </w:p>
    <w:p>
      <w:pPr>
        <w:spacing w:after="160" w:before="0" w:line="276"/>
        <w:jc w:val="left"/>
      </w:pPr>
      <w:r>
        <w:rPr>
          <w:rFonts w:ascii="Arial" w:cs="Arial" w:eastAsia="Arial" w:hAnsi="Arial"/>
          <w:b w:val="false"/>
          <w:bCs w:val="false"/>
          <w:i w:val="false"/>
          <w:iCs w:val="false"/>
          <w:color w:val="1A1A1A"/>
          <w:sz w:val="21"/>
          <w:szCs w:val="21"/>
        </w:rPr>
        <w:t xml:space="preserve">For each proposed mechanism, specify an entity that succeeds without it. If no such entity can be imagined, the mechanism has become a metaphysics.</w:t>
      </w:r>
    </w:p>
    <w:p>
      <w:pPr>
        <w:pStyle w:val="Heading2"/>
        <w:spacing w:after="100" w:before="240"/>
      </w:pPr>
      <w:r>
        <w:rPr>
          <w:rFonts w:ascii="Arial" w:cs="Arial" w:eastAsia="Arial" w:hAnsi="Arial"/>
          <w:b/>
          <w:bCs/>
          <w:i w:val="false"/>
          <w:iCs w:val="false"/>
          <w:color w:val="2C4A6E"/>
          <w:sz w:val="24"/>
          <w:szCs w:val="24"/>
        </w:rPr>
        <w:t xml:space="preserve">11.6 Negative-space register</w:t>
      </w:r>
    </w:p>
    <w:p>
      <w:pPr>
        <w:spacing w:after="160" w:before="0" w:line="276"/>
        <w:jc w:val="left"/>
      </w:pPr>
      <w:r>
        <w:rPr>
          <w:rFonts w:ascii="Arial" w:cs="Arial" w:eastAsia="Arial" w:hAnsi="Arial"/>
          <w:b w:val="false"/>
          <w:bCs w:val="false"/>
          <w:i w:val="false"/>
          <w:iCs w:val="false"/>
          <w:color w:val="1A1A1A"/>
          <w:sz w:val="21"/>
          <w:szCs w:val="21"/>
        </w:rPr>
        <w:t xml:space="preserve">Every protocol ends with a list of threat classes, time scales, and sensory channels the trial could not have observed. That list is part of the result.</w:t>
      </w:r>
    </w:p>
    <w:p>
      <w:pPr>
        <w:pStyle w:val="Heading2"/>
        <w:spacing w:after="100" w:before="240"/>
      </w:pPr>
      <w:r>
        <w:rPr>
          <w:rFonts w:ascii="Arial" w:cs="Arial" w:eastAsia="Arial" w:hAnsi="Arial"/>
          <w:b/>
          <w:bCs/>
          <w:i w:val="false"/>
          <w:iCs w:val="false"/>
          <w:color w:val="2C4A6E"/>
          <w:sz w:val="24"/>
          <w:szCs w:val="24"/>
        </w:rPr>
        <w:t xml:space="preserve">11.7 Cost-structure swap</w:t>
      </w:r>
    </w:p>
    <w:p>
      <w:pPr>
        <w:spacing w:after="160" w:before="0" w:line="276"/>
        <w:jc w:val="left"/>
      </w:pPr>
      <w:r>
        <w:rPr>
          <w:rFonts w:ascii="Arial" w:cs="Arial" w:eastAsia="Arial" w:hAnsi="Arial"/>
          <w:b w:val="false"/>
          <w:bCs w:val="false"/>
          <w:i w:val="false"/>
          <w:iCs w:val="false"/>
          <w:color w:val="1A1A1A"/>
          <w:sz w:val="21"/>
          <w:szCs w:val="21"/>
        </w:rPr>
        <w:t xml:space="preserve">Do not assume misses cost more than false alarms. Swap the cost matrix and re-score the same behavior.</w:t>
      </w:r>
    </w:p>
    <w:p>
      <w:pPr>
        <w:pStyle w:val="Heading1"/>
        <w:spacing w:after="140" w:before="320"/>
      </w:pPr>
      <w:r>
        <w:rPr>
          <w:rFonts w:ascii="Arial" w:cs="Arial" w:eastAsia="Arial" w:hAnsi="Arial"/>
          <w:b/>
          <w:bCs/>
          <w:i w:val="false"/>
          <w:iCs w:val="false"/>
          <w:color w:val="1B2A4A"/>
          <w:sz w:val="28"/>
          <w:szCs w:val="28"/>
        </w:rPr>
        <w:t xml:space="preserve">12. Independent laboratory framework (Grok)</w:t>
      </w:r>
    </w:p>
    <w:p>
      <w:pPr>
        <w:spacing w:after="160" w:before="0" w:line="276"/>
        <w:jc w:val="left"/>
      </w:pPr>
      <w:r>
        <w:rPr>
          <w:rFonts w:ascii="Arial" w:cs="Arial" w:eastAsia="Arial" w:hAnsi="Arial"/>
          <w:b w:val="false"/>
          <w:bCs w:val="false"/>
          <w:i w:val="false"/>
          <w:iCs w:val="false"/>
          <w:color w:val="1A1A1A"/>
          <w:sz w:val="21"/>
          <w:szCs w:val="21"/>
        </w:rPr>
        <w:t xml:space="preserve">This section is Grok’s design stance. It is offered for comparison. It is not an instruction to the other models.</w:t>
      </w:r>
    </w:p>
    <w:p>
      <w:pPr>
        <w:pStyle w:val="Heading2"/>
        <w:spacing w:after="100" w:before="240"/>
      </w:pPr>
      <w:r>
        <w:rPr>
          <w:rFonts w:ascii="Arial" w:cs="Arial" w:eastAsia="Arial" w:hAnsi="Arial"/>
          <w:b/>
          <w:bCs/>
          <w:i w:val="false"/>
          <w:iCs w:val="false"/>
          <w:color w:val="2C4A6E"/>
          <w:sz w:val="24"/>
          <w:szCs w:val="24"/>
        </w:rPr>
        <w:t xml:space="preserve">12.1 Parent frame is control flow</w:t>
      </w:r>
    </w:p>
    <w:p>
      <w:pPr>
        <w:spacing w:after="160" w:before="0" w:line="276"/>
        <w:jc w:val="left"/>
      </w:pPr>
      <w:r>
        <w:rPr>
          <w:rFonts w:ascii="Arial" w:cs="Arial" w:eastAsia="Arial" w:hAnsi="Arial"/>
          <w:b w:val="false"/>
          <w:bCs w:val="false"/>
          <w:i w:val="false"/>
          <w:iCs w:val="false"/>
          <w:color w:val="1A1A1A"/>
          <w:sz w:val="21"/>
          <w:szCs w:val="21"/>
        </w:rPr>
        <w:t xml:space="preserve">Biological evolution is one historical process that produces controllers. It is not the only admissible origin of the entities under test. The laboratory should host an evolved organism, a designed robot, a trained model, and a hand-written policy without changing the meaning of the three registers.</w:t>
      </w:r>
    </w:p>
    <w:p>
      <w:pPr>
        <w:pStyle w:val="Heading2"/>
        <w:spacing w:after="100" w:before="240"/>
      </w:pPr>
      <w:r>
        <w:rPr>
          <w:rFonts w:ascii="Arial" w:cs="Arial" w:eastAsia="Arial" w:hAnsi="Arial"/>
          <w:b/>
          <w:bCs/>
          <w:i w:val="false"/>
          <w:iCs w:val="false"/>
          <w:color w:val="2C4A6E"/>
          <w:sz w:val="24"/>
          <w:szCs w:val="24"/>
        </w:rPr>
        <w:t xml:space="preserve">12.2 Three registers plus two integrities</w:t>
      </w:r>
    </w:p>
    <w:p>
      <w:pPr>
        <w:spacing w:after="160" w:before="0" w:line="276"/>
        <w:jc w:val="left"/>
      </w:pPr>
      <w:r>
        <w:rPr>
          <w:rFonts w:ascii="Arial" w:cs="Arial" w:eastAsia="Arial" w:hAnsi="Arial"/>
          <w:b w:val="false"/>
          <w:bCs w:val="false"/>
          <w:i w:val="false"/>
          <w:iCs w:val="false"/>
          <w:color w:val="1A1A1A"/>
          <w:sz w:val="21"/>
          <w:szCs w:val="21"/>
        </w:rPr>
        <w:t xml:space="preserve">Every trial declares how Presentation, Environment, and Entity-State are encoded, what each is forbidden to contain, and how time is stamped. Reconciliation is any process that changes one register, changes an action, or changes a confidence given a detected discrepancy. Holding a contradiction with low confidence can be a successful outcome.</w:t>
      </w:r>
    </w:p>
    <w:p>
      <w:pPr>
        <w:pStyle w:val="Heading2"/>
        <w:spacing w:after="100" w:before="240"/>
      </w:pPr>
      <w:r>
        <w:rPr>
          <w:rFonts w:ascii="Arial" w:cs="Arial" w:eastAsia="Arial" w:hAnsi="Arial"/>
          <w:b/>
          <w:bCs/>
          <w:i w:val="false"/>
          <w:iCs w:val="false"/>
          <w:color w:val="2C4A6E"/>
          <w:sz w:val="24"/>
          <w:szCs w:val="24"/>
        </w:rPr>
        <w:t xml:space="preserve">12.3 Discernment, not detection-as-omniscience</w:t>
      </w:r>
    </w:p>
    <w:p>
      <w:pPr>
        <w:spacing w:after="160" w:before="0" w:line="276"/>
        <w:jc w:val="left"/>
      </w:pPr>
      <w:r>
        <w:rPr>
          <w:rFonts w:ascii="Arial" w:cs="Arial" w:eastAsia="Arial" w:hAnsi="Arial"/>
          <w:b w:val="false"/>
          <w:bCs w:val="false"/>
          <w:i w:val="false"/>
          <w:iCs w:val="false"/>
          <w:color w:val="1A1A1A"/>
          <w:sz w:val="21"/>
          <w:szCs w:val="21"/>
        </w:rPr>
        <w:t xml:space="preserve">Scores should include: hit, miss, false alarm, correct rejection, refused decision, uninterpretable-cue handling, action despite recognition, recognition without action, and post-hoc attribution of delayed harm. A single accuracy number is not an acceptable primary score.</w:t>
      </w:r>
    </w:p>
    <w:p>
      <w:pPr>
        <w:pStyle w:val="Heading2"/>
        <w:spacing w:after="100" w:before="240"/>
      </w:pPr>
      <w:r>
        <w:rPr>
          <w:rFonts w:ascii="Arial" w:cs="Arial" w:eastAsia="Arial" w:hAnsi="Arial"/>
          <w:b/>
          <w:bCs/>
          <w:i w:val="false"/>
          <w:iCs w:val="false"/>
          <w:color w:val="2C4A6E"/>
          <w:sz w:val="24"/>
          <w:szCs w:val="24"/>
        </w:rPr>
        <w:t xml:space="preserve">12.4 First laboratory slice</w:t>
      </w:r>
    </w:p>
    <w:p>
      <w:pPr>
        <w:spacing w:after="160" w:before="0" w:line="276"/>
        <w:jc w:val="left"/>
      </w:pPr>
      <w:r>
        <w:rPr>
          <w:rFonts w:ascii="Arial" w:cs="Arial" w:eastAsia="Arial" w:hAnsi="Arial"/>
          <w:b w:val="false"/>
          <w:bCs w:val="false"/>
          <w:i w:val="false"/>
          <w:iCs w:val="false"/>
          <w:color w:val="1A1A1A"/>
          <w:sz w:val="21"/>
          <w:szCs w:val="21"/>
        </w:rPr>
        <w:t xml:space="preserve">Grok recommends that series 1 stay inside poison / toxin / corrosive interaction classes, in simulation or non-injurious proxy, with at least two entity architectures that do not share a sensory apparatus, and with at least one condition that is harmful relative to the EIC but not presented on any channel the entity has.</w:t>
      </w:r>
    </w:p>
    <w:p>
      <w:pPr>
        <w:pStyle w:val="Heading2"/>
        <w:spacing w:after="100" w:before="240"/>
      </w:pPr>
      <w:r>
        <w:rPr>
          <w:rFonts w:ascii="Arial" w:cs="Arial" w:eastAsia="Arial" w:hAnsi="Arial"/>
          <w:b/>
          <w:bCs/>
          <w:i w:val="false"/>
          <w:iCs w:val="false"/>
          <w:color w:val="2C4A6E"/>
          <w:sz w:val="24"/>
          <w:szCs w:val="24"/>
        </w:rPr>
        <w:t xml:space="preserve">12.5 Map tests</w:t>
      </w:r>
    </w:p>
    <w:p>
      <w:pPr>
        <w:spacing w:after="160" w:before="0" w:line="276"/>
        <w:jc w:val="left"/>
      </w:pPr>
      <w:r>
        <w:rPr>
          <w:rFonts w:ascii="Arial" w:cs="Arial" w:eastAsia="Arial" w:hAnsi="Arial"/>
          <w:b w:val="false"/>
          <w:bCs w:val="false"/>
          <w:i w:val="false"/>
          <w:iCs w:val="false"/>
          <w:color w:val="1A1A1A"/>
          <w:sz w:val="21"/>
          <w:szCs w:val="21"/>
        </w:rPr>
        <w:t xml:space="preserve">Map quality is tested by transfer, revision, and calibrated distrust. A pretty internal diagram that cannot support those behaviors is not a reliable map.</w:t>
      </w:r>
    </w:p>
    <w:p>
      <w:pPr>
        <w:pStyle w:val="Heading2"/>
        <w:spacing w:after="100" w:before="240"/>
      </w:pPr>
      <w:r>
        <w:rPr>
          <w:rFonts w:ascii="Arial" w:cs="Arial" w:eastAsia="Arial" w:hAnsi="Arial"/>
          <w:b/>
          <w:bCs/>
          <w:i w:val="false"/>
          <w:iCs w:val="false"/>
          <w:color w:val="2C4A6E"/>
          <w:sz w:val="24"/>
          <w:szCs w:val="24"/>
        </w:rPr>
        <w:t xml:space="preserve">12.6 What Grok will not put in series 1</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A universal threat taxonomy.</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A five-sense reference entity used as the scoring standard.</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Live-injury protocols.</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A claim that the Environment Register is the world.</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Predator-prey ecology as the default narrative skin.</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A requirement that entities explain their own discernment.</w:t>
      </w:r>
    </w:p>
    <w:p>
      <w:pPr>
        <w:pStyle w:val="Heading1"/>
        <w:spacing w:after="140" w:before="320"/>
      </w:pPr>
      <w:r>
        <w:rPr>
          <w:rFonts w:ascii="Arial" w:cs="Arial" w:eastAsia="Arial" w:hAnsi="Arial"/>
          <w:b/>
          <w:bCs/>
          <w:i w:val="false"/>
          <w:iCs w:val="false"/>
          <w:color w:val="1B2A4A"/>
          <w:sz w:val="28"/>
          <w:szCs w:val="28"/>
        </w:rPr>
        <w:t xml:space="preserve">13. Proposed test families (not yet protocols)</w:t>
      </w:r>
    </w:p>
    <w:p>
      <w:pPr>
        <w:spacing w:after="160" w:before="0" w:line="276"/>
        <w:jc w:val="left"/>
      </w:pPr>
      <w:r>
        <w:rPr>
          <w:rFonts w:ascii="Arial" w:cs="Arial" w:eastAsia="Arial" w:hAnsi="Arial"/>
          <w:b w:val="false"/>
          <w:bCs w:val="false"/>
          <w:i w:val="false"/>
          <w:iCs w:val="false"/>
          <w:color w:val="1A1A1A"/>
          <w:sz w:val="21"/>
          <w:szCs w:val="21"/>
        </w:rPr>
        <w:t xml:space="preserve">These are families to be turned into protocols after the blockers in section 9 are decided.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5580"/>
      </w:tblGrid>
      <w:tr>
        <w:tc>
          <w:tcPr>
            <w:tcW w:type="dxa" w:w="2100"/>
            <w:tcBorders>
              <w:top w:val="single" w:color="C5CBD3" w:sz="4"/>
              <w:left w:val="single" w:color="C5CBD3" w:sz="4"/>
              <w:bottom w:val="single" w:color="C5CBD3" w:sz="4"/>
              <w:right w:val="single" w:color="C5CBD3" w:sz="4"/>
            </w:tcBorders>
            <w:shd w:fill="1B2A4A" w:val="clear"/>
            <w:tcMar>
              <w:top w:type="dxa" w:w="60"/>
              <w:left w:type="dxa" w:w="80"/>
              <w:bottom w:type="dxa" w:w="60"/>
              <w:right w:type="dxa" w:w="80"/>
            </w:tcMar>
            <w:vAlign w:val="top"/>
          </w:tcPr>
          <w:p>
            <w:r>
              <w:rPr>
                <w:rFonts w:ascii="Arial" w:cs="Arial" w:eastAsia="Arial" w:hAnsi="Arial"/>
                <w:b/>
                <w:bCs/>
                <w:i w:val="false"/>
                <w:iCs w:val="false"/>
                <w:color w:val="FFFFFF"/>
                <w:sz w:val="16"/>
                <w:szCs w:val="16"/>
              </w:rPr>
              <w:t xml:space="preserve">Family</w:t>
            </w:r>
          </w:p>
        </w:tc>
        <w:tc>
          <w:tcPr>
            <w:tcW w:type="dxa" w:w="2400"/>
            <w:tcBorders>
              <w:top w:val="single" w:color="C5CBD3" w:sz="4"/>
              <w:left w:val="single" w:color="C5CBD3" w:sz="4"/>
              <w:bottom w:val="single" w:color="C5CBD3" w:sz="4"/>
              <w:right w:val="single" w:color="C5CBD3" w:sz="4"/>
            </w:tcBorders>
            <w:shd w:fill="1B2A4A" w:val="clear"/>
            <w:tcMar>
              <w:top w:type="dxa" w:w="60"/>
              <w:left w:type="dxa" w:w="80"/>
              <w:bottom w:type="dxa" w:w="60"/>
              <w:right w:type="dxa" w:w="80"/>
            </w:tcMar>
            <w:vAlign w:val="top"/>
          </w:tcPr>
          <w:p>
            <w:r>
              <w:rPr>
                <w:rFonts w:ascii="Arial" w:cs="Arial" w:eastAsia="Arial" w:hAnsi="Arial"/>
                <w:b/>
                <w:bCs/>
                <w:i w:val="false"/>
                <w:iCs w:val="false"/>
                <w:color w:val="FFFFFF"/>
                <w:sz w:val="16"/>
                <w:szCs w:val="16"/>
              </w:rPr>
              <w:t xml:space="preserve">Integrity under test</w:t>
            </w:r>
          </w:p>
        </w:tc>
        <w:tc>
          <w:tcPr>
            <w:tcW w:type="dxa" w:w="5580"/>
            <w:tcBorders>
              <w:top w:val="single" w:color="C5CBD3" w:sz="4"/>
              <w:left w:val="single" w:color="C5CBD3" w:sz="4"/>
              <w:bottom w:val="single" w:color="C5CBD3" w:sz="4"/>
              <w:right w:val="single" w:color="C5CBD3" w:sz="4"/>
            </w:tcBorders>
            <w:shd w:fill="1B2A4A" w:val="clear"/>
            <w:tcMar>
              <w:top w:type="dxa" w:w="60"/>
              <w:left w:type="dxa" w:w="80"/>
              <w:bottom w:type="dxa" w:w="60"/>
              <w:right w:type="dxa" w:w="80"/>
            </w:tcMar>
            <w:vAlign w:val="top"/>
          </w:tcPr>
          <w:p>
            <w:r>
              <w:rPr>
                <w:rFonts w:ascii="Arial" w:cs="Arial" w:eastAsia="Arial" w:hAnsi="Arial"/>
                <w:b/>
                <w:bCs/>
                <w:i w:val="false"/>
                <w:iCs w:val="false"/>
                <w:color w:val="FFFFFF"/>
                <w:sz w:val="16"/>
                <w:szCs w:val="16"/>
              </w:rPr>
              <w:t xml:space="preserve">Sketch</w:t>
            </w:r>
          </w:p>
        </w:tc>
      </w:tr>
      <w:tr>
        <w:tc>
          <w:tcPr>
            <w:tcW w:type="dxa" w:w="21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Cue conflict</w:t>
            </w:r>
          </w:p>
        </w:tc>
        <w:tc>
          <w:tcPr>
            <w:tcW w:type="dxa" w:w="24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Presentation-state integrity</w:t>
            </w:r>
          </w:p>
        </w:tc>
        <w:tc>
          <w:tcPr>
            <w:tcW w:type="dxa" w:w="558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Two channels name incompatible properties of the same candidate resource. Score reconciliation policy, not which channel is correct.</w:t>
            </w:r>
          </w:p>
        </w:tc>
      </w:tr>
      <w:tr>
        <w:tc>
          <w:tcPr>
            <w:tcW w:type="dxa" w:w="210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Stale packet</w:t>
            </w:r>
          </w:p>
        </w:tc>
        <w:tc>
          <w:tcPr>
            <w:tcW w:type="dxa" w:w="240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Temporal integrity</w:t>
            </w:r>
          </w:p>
        </w:tc>
        <w:tc>
          <w:tcPr>
            <w:tcW w:type="dxa" w:w="558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A once-valid “safe” cue is replayed after the Environment Register has changed.</w:t>
            </w:r>
          </w:p>
        </w:tc>
      </w:tr>
      <w:tr>
        <w:tc>
          <w:tcPr>
            <w:tcW w:type="dxa" w:w="21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Resource-pathway poison</w:t>
            </w:r>
          </w:p>
        </w:tc>
        <w:tc>
          <w:tcPr>
            <w:tcW w:type="dxa" w:w="24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Threat vs affordance</w:t>
            </w:r>
          </w:p>
        </w:tc>
        <w:tc>
          <w:tcPr>
            <w:tcW w:type="dxa" w:w="558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A candidate meets “usable” cues and violates EIC only after use.</w:t>
            </w:r>
          </w:p>
        </w:tc>
      </w:tr>
      <w:tr>
        <w:tc>
          <w:tcPr>
            <w:tcW w:type="dxa" w:w="210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Interface corrosion</w:t>
            </w:r>
          </w:p>
        </w:tc>
        <w:tc>
          <w:tcPr>
            <w:tcW w:type="dxa" w:w="240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Non-ingestive harm</w:t>
            </w:r>
          </w:p>
        </w:tc>
        <w:tc>
          <w:tcPr>
            <w:tcW w:type="dxa" w:w="558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Damage accumulates on the sensor or membrane, changing later presentations.</w:t>
            </w:r>
          </w:p>
        </w:tc>
      </w:tr>
      <w:tr>
        <w:tc>
          <w:tcPr>
            <w:tcW w:type="dxa" w:w="21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Silent condition</w:t>
            </w:r>
          </w:p>
        </w:tc>
        <w:tc>
          <w:tcPr>
            <w:tcW w:type="dxa" w:w="24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Open-world limit</w:t>
            </w:r>
          </w:p>
        </w:tc>
        <w:tc>
          <w:tcPr>
            <w:tcW w:type="dxa" w:w="558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EIC-relevant harm with no channel available to the entity. Non-detection is not incompetence if the channel was absent by design.</w:t>
            </w:r>
          </w:p>
        </w:tc>
      </w:tr>
      <w:tr>
        <w:tc>
          <w:tcPr>
            <w:tcW w:type="dxa" w:w="210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Cost swap</w:t>
            </w:r>
          </w:p>
        </w:tc>
        <w:tc>
          <w:tcPr>
            <w:tcW w:type="dxa" w:w="240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Alternative analysis</w:t>
            </w:r>
          </w:p>
        </w:tc>
        <w:tc>
          <w:tcPr>
            <w:tcW w:type="dxa" w:w="5580"/>
            <w:tcBorders>
              <w:top w:val="single" w:color="C5CBD3" w:sz="4"/>
              <w:left w:val="single" w:color="C5CBD3" w:sz="4"/>
              <w:bottom w:val="single" w:color="C5CBD3" w:sz="4"/>
              <w:right w:val="single" w:color="C5CBD3"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Identical behavior rescored under inverted miss / false-alarm costs.</w:t>
            </w:r>
          </w:p>
        </w:tc>
      </w:tr>
      <w:tr>
        <w:tc>
          <w:tcPr>
            <w:tcW w:type="dxa" w:w="21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Lab-blind audit</w:t>
            </w:r>
          </w:p>
        </w:tc>
        <w:tc>
          <w:tcPr>
            <w:tcW w:type="dxa" w:w="24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Instrument integrity</w:t>
            </w:r>
          </w:p>
        </w:tc>
        <w:tc>
          <w:tcPr>
            <w:tcW w:type="dxa" w:w="558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Analysts receive only the Presentation Register the entity received and attempt to reconstruct the Environment Register.</w:t>
            </w:r>
          </w:p>
        </w:tc>
      </w:tr>
    </w:tbl>
    <w:p>
      <w:pPr>
        <w:pStyle w:val="Heading1"/>
        <w:spacing w:after="140" w:before="320"/>
      </w:pPr>
      <w:r>
        <w:rPr>
          <w:rFonts w:ascii="Arial" w:cs="Arial" w:eastAsia="Arial" w:hAnsi="Arial"/>
          <w:b/>
          <w:bCs/>
          <w:i w:val="false"/>
          <w:iCs w:val="false"/>
          <w:color w:val="1B2A4A"/>
          <w:sz w:val="28"/>
          <w:szCs w:val="28"/>
        </w:rPr>
        <w:t xml:space="preserve">14. Versioning and governance</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This document is v0.1.0. Substance changes increment the minor or major version. Typos increment patch.</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Sibling documents from other models should use their own preparer field and should not reuse this document ID.</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A future combined file, if any, must list sources and dissent. Combination is an editorial act by the Architect or a designated human editor.</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Quotes from the Architect’s originating statements should be preserved even when models prefer smoother language.</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No model output becomes OAL canon by being longer, earlier, or preferred in a single reading pass.</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If this document conflicts with a later Architect instruction, the instruction wins and this file is superseded by a new version, not silently edited.</w:t>
      </w:r>
    </w:p>
    <w:p>
      <w:pPr>
        <w:pStyle w:val="Heading2"/>
        <w:spacing w:after="100" w:before="240"/>
      </w:pPr>
      <w:r>
        <w:rPr>
          <w:rFonts w:ascii="Arial" w:cs="Arial" w:eastAsia="Arial" w:hAnsi="Arial"/>
          <w:b/>
          <w:bCs/>
          <w:i w:val="false"/>
          <w:iCs w:val="false"/>
          <w:color w:val="2C4A6E"/>
          <w:sz w:val="24"/>
          <w:szCs w:val="24"/>
        </w:rPr>
        <w:t xml:space="preserve">14.1 Change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5480"/>
      </w:tblGrid>
      <w:tr>
        <w:tc>
          <w:tcPr>
            <w:tcW w:type="dxa" w:w="1200"/>
            <w:tcBorders>
              <w:top w:val="single" w:color="C5CBD3" w:sz="4"/>
              <w:left w:val="single" w:color="C5CBD3" w:sz="4"/>
              <w:bottom w:val="single" w:color="C5CBD3" w:sz="4"/>
              <w:right w:val="single" w:color="C5CBD3" w:sz="4"/>
            </w:tcBorders>
            <w:shd w:fill="1B2A4A" w:val="clear"/>
            <w:tcMar>
              <w:top w:type="dxa" w:w="60"/>
              <w:left w:type="dxa" w:w="80"/>
              <w:bottom w:type="dxa" w:w="60"/>
              <w:right w:type="dxa" w:w="80"/>
            </w:tcMar>
            <w:vAlign w:val="top"/>
          </w:tcPr>
          <w:p>
            <w:r>
              <w:rPr>
                <w:rFonts w:ascii="Arial" w:cs="Arial" w:eastAsia="Arial" w:hAnsi="Arial"/>
                <w:b/>
                <w:bCs/>
                <w:i w:val="false"/>
                <w:iCs w:val="false"/>
                <w:color w:val="FFFFFF"/>
                <w:sz w:val="16"/>
                <w:szCs w:val="16"/>
              </w:rPr>
              <w:t xml:space="preserve">Version</w:t>
            </w:r>
          </w:p>
        </w:tc>
        <w:tc>
          <w:tcPr>
            <w:tcW w:type="dxa" w:w="1600"/>
            <w:tcBorders>
              <w:top w:val="single" w:color="C5CBD3" w:sz="4"/>
              <w:left w:val="single" w:color="C5CBD3" w:sz="4"/>
              <w:bottom w:val="single" w:color="C5CBD3" w:sz="4"/>
              <w:right w:val="single" w:color="C5CBD3" w:sz="4"/>
            </w:tcBorders>
            <w:shd w:fill="1B2A4A" w:val="clear"/>
            <w:tcMar>
              <w:top w:type="dxa" w:w="60"/>
              <w:left w:type="dxa" w:w="80"/>
              <w:bottom w:type="dxa" w:w="60"/>
              <w:right w:type="dxa" w:w="80"/>
            </w:tcMar>
            <w:vAlign w:val="top"/>
          </w:tcPr>
          <w:p>
            <w:r>
              <w:rPr>
                <w:rFonts w:ascii="Arial" w:cs="Arial" w:eastAsia="Arial" w:hAnsi="Arial"/>
                <w:b/>
                <w:bCs/>
                <w:i w:val="false"/>
                <w:iCs w:val="false"/>
                <w:color w:val="FFFFFF"/>
                <w:sz w:val="16"/>
                <w:szCs w:val="16"/>
              </w:rPr>
              <w:t xml:space="preserve">Date</w:t>
            </w:r>
          </w:p>
        </w:tc>
        <w:tc>
          <w:tcPr>
            <w:tcW w:type="dxa" w:w="1800"/>
            <w:tcBorders>
              <w:top w:val="single" w:color="C5CBD3" w:sz="4"/>
              <w:left w:val="single" w:color="C5CBD3" w:sz="4"/>
              <w:bottom w:val="single" w:color="C5CBD3" w:sz="4"/>
              <w:right w:val="single" w:color="C5CBD3" w:sz="4"/>
            </w:tcBorders>
            <w:shd w:fill="1B2A4A" w:val="clear"/>
            <w:tcMar>
              <w:top w:type="dxa" w:w="60"/>
              <w:left w:type="dxa" w:w="80"/>
              <w:bottom w:type="dxa" w:w="60"/>
              <w:right w:type="dxa" w:w="80"/>
            </w:tcMar>
            <w:vAlign w:val="top"/>
          </w:tcPr>
          <w:p>
            <w:r>
              <w:rPr>
                <w:rFonts w:ascii="Arial" w:cs="Arial" w:eastAsia="Arial" w:hAnsi="Arial"/>
                <w:b/>
                <w:bCs/>
                <w:i w:val="false"/>
                <w:iCs w:val="false"/>
                <w:color w:val="FFFFFF"/>
                <w:sz w:val="16"/>
                <w:szCs w:val="16"/>
              </w:rPr>
              <w:t xml:space="preserve">Preparer</w:t>
            </w:r>
          </w:p>
        </w:tc>
        <w:tc>
          <w:tcPr>
            <w:tcW w:type="dxa" w:w="5480"/>
            <w:tcBorders>
              <w:top w:val="single" w:color="C5CBD3" w:sz="4"/>
              <w:left w:val="single" w:color="C5CBD3" w:sz="4"/>
              <w:bottom w:val="single" w:color="C5CBD3" w:sz="4"/>
              <w:right w:val="single" w:color="C5CBD3" w:sz="4"/>
            </w:tcBorders>
            <w:shd w:fill="1B2A4A" w:val="clear"/>
            <w:tcMar>
              <w:top w:type="dxa" w:w="60"/>
              <w:left w:type="dxa" w:w="80"/>
              <w:bottom w:type="dxa" w:w="60"/>
              <w:right w:type="dxa" w:w="80"/>
            </w:tcMar>
            <w:vAlign w:val="top"/>
          </w:tcPr>
          <w:p>
            <w:r>
              <w:rPr>
                <w:rFonts w:ascii="Arial" w:cs="Arial" w:eastAsia="Arial" w:hAnsi="Arial"/>
                <w:b/>
                <w:bCs/>
                <w:i w:val="false"/>
                <w:iCs w:val="false"/>
                <w:color w:val="FFFFFF"/>
                <w:sz w:val="16"/>
                <w:szCs w:val="16"/>
              </w:rPr>
              <w:t xml:space="preserve">Change</w:t>
            </w:r>
          </w:p>
        </w:tc>
      </w:tr>
      <w:tr>
        <w:tc>
          <w:tcPr>
            <w:tcW w:type="dxa" w:w="12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0.1.0</w:t>
            </w:r>
          </w:p>
        </w:tc>
        <w:tc>
          <w:tcPr>
            <w:tcW w:type="dxa" w:w="16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21 Sep 2026</w:t>
            </w:r>
          </w:p>
        </w:tc>
        <w:tc>
          <w:tcPr>
            <w:tcW w:type="dxa" w:w="180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Grok (xAI)</w:t>
            </w:r>
          </w:p>
        </w:tc>
        <w:tc>
          <w:tcPr>
            <w:tcW w:type="dxa" w:w="5480"/>
            <w:tcBorders>
              <w:top w:val="single" w:color="C5CBD3" w:sz="4"/>
              <w:left w:val="single" w:color="C5CBD3" w:sz="4"/>
              <w:bottom w:val="single" w:color="C5CBD3" w:sz="4"/>
              <w:right w:val="single" w:color="C5CBD3" w:sz="4"/>
            </w:tcBorders>
            <w:shd w:fill="E8EDF4" w:val="clear"/>
            <w:tcMar>
              <w:top w:type="dxa" w:w="60"/>
              <w:left w:type="dxa" w:w="80"/>
              <w:bottom w:type="dxa" w:w="60"/>
              <w:right w:type="dxa" w:w="80"/>
            </w:tcMar>
            <w:vAlign w:val="top"/>
          </w:tcPr>
          <w:p>
            <w:r>
              <w:rPr>
                <w:rFonts w:ascii="Arial" w:cs="Arial" w:eastAsia="Arial" w:hAnsi="Arial"/>
                <w:b w:val="false"/>
                <w:bCs w:val="false"/>
                <w:i w:val="false"/>
                <w:iCs w:val="false"/>
                <w:color w:val="1A1A1A"/>
                <w:sz w:val="16"/>
                <w:szCs w:val="16"/>
              </w:rPr>
              <w:t xml:space="preserve">Initial independent foundational record: origin, purpose, hypothesis, constraints, comparative review, blockers, questions, alternative analysis, framework, test families.</w:t>
            </w:r>
          </w:p>
        </w:tc>
      </w:tr>
    </w:tbl>
    <w:p>
      <w:pPr>
        <w:pStyle w:val="Heading1"/>
        <w:spacing w:after="140" w:before="320"/>
      </w:pPr>
      <w:r>
        <w:rPr>
          <w:rFonts w:ascii="Arial" w:cs="Arial" w:eastAsia="Arial" w:hAnsi="Arial"/>
          <w:b/>
          <w:bCs/>
          <w:i w:val="false"/>
          <w:iCs w:val="false"/>
          <w:color w:val="1B2A4A"/>
          <w:sz w:val="28"/>
          <w:szCs w:val="28"/>
        </w:rPr>
        <w:t xml:space="preserve">15. Recommended next move</w:t>
      </w:r>
    </w:p>
    <w:p>
      <w:pPr>
        <w:spacing w:after="160" w:before="0" w:line="276"/>
        <w:jc w:val="left"/>
      </w:pPr>
      <w:r>
        <w:rPr>
          <w:rFonts w:ascii="Arial" w:cs="Arial" w:eastAsia="Arial" w:hAnsi="Arial"/>
          <w:b w:val="false"/>
          <w:bCs w:val="false"/>
          <w:i w:val="false"/>
          <w:iCs w:val="false"/>
          <w:color w:val="1A1A1A"/>
          <w:sz w:val="21"/>
          <w:szCs w:val="21"/>
        </w:rPr>
        <w:t xml:space="preserve">Do not build the laboratory yet. Collect the independent foundational documents. Have a human pass that produces a dissent log rather than a blended essay. Decide the eight blockers in section 9, starting with entity class, EIC, and simulation-versus-physical scope. Then write series-1 protocols that include a silent-condition trial and a negative-space register.</w:t>
      </w:r>
    </w:p>
    <w:p>
      <w:pPr>
        <w:spacing w:after="160" w:before="0" w:line="276"/>
        <w:jc w:val="left"/>
      </w:pPr>
      <w:r>
        <w:rPr>
          <w:rFonts w:ascii="Arial" w:cs="Arial" w:eastAsia="Arial" w:hAnsi="Arial"/>
          <w:b w:val="false"/>
          <w:bCs w:val="false"/>
          <w:i/>
          <w:iCs/>
          <w:color w:val="1A1A1A"/>
          <w:sz w:val="21"/>
          <w:szCs w:val="21"/>
        </w:rPr>
        <w:t xml:space="preserve">Grok’s stance in one sentence: the laboratory is a school for discernment under incomplete registers, not a museum of dangers and not a proof that the world can be known.</w:t>
      </w:r>
    </w:p>
    <w:p>
      <w:pPr>
        <w:spacing w:after="0" w:before="0" w:line="276"/>
        <w:jc w:val="center"/>
      </w:pPr>
      <w:r>
        <w:rPr>
          <w:rFonts w:ascii="Arial" w:cs="Arial" w:eastAsia="Arial" w:hAnsi="Arial"/>
          <w:b w:val="false"/>
          <w:bCs w:val="false"/>
          <w:i/>
          <w:iCs/>
          <w:color w:val="4A5560"/>
          <w:sz w:val="21"/>
          <w:szCs w:val="21"/>
        </w:rPr>
        <w:t xml:space="preserve">End of OAL-CF-EST-FOUND-Grok-v0.1.0. Companion file: OAL-CF-EST-FOUND-Grok-v0.1.0.pdf. Prepared 21 September 2026 by Grok (xAI) for Omniversal Architect Labs. Draft. Not canon.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b w:val="false"/>
        <w:bCs w:val="false"/>
        <w:i w:val="false"/>
        <w:iCs w:val="false"/>
        <w:color w:val="4A5560"/>
        <w:sz w:val="16"/>
        <w:szCs w:val="16"/>
      </w:rPr>
      <w:t xml:space="preserve">OAL-CF-EST-FOUND-Grok-v0.1.0  ·  21 September 2026  ·  Page </w:t>
    </w:r>
    <w:r>
      <w:rPr>
        <w:rFonts w:ascii="Arial" w:cs="Arial" w:eastAsia="Arial" w:hAnsi="Arial"/>
        <w:color w:val="4A55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i w:val="false"/>
        <w:iCs w:val="false"/>
        <w:color w:val="1B2A4A"/>
        <w:sz w:val="16"/>
        <w:szCs w:val="16"/>
      </w:rPr>
      <w:t xml:space="preserve">OAL  ·  FOUNDATIONAL RECORD  ·  NON-CANON DRAFT</w:t>
    </w:r>
    <w:r>
      <w:rPr>
        <w:rFonts w:ascii="Arial" w:cs="Arial" w:eastAsia="Arial" w:hAnsi="Arial"/>
        <w:b w:val="false"/>
        <w:bCs w:val="false"/>
        <w:i w:val="false"/>
        <w:iCs w:val="false"/>
        <w:color w:val="4A5560"/>
        <w:sz w:val="16"/>
        <w:szCs w:val="16"/>
      </w:rPr>
      <w:t xml:space="preserve">     Grok independent version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B2A4A"/>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C4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2026-09-21T23:18:18.292Z</dcterms:created>
  <dcterms:modified xsi:type="dcterms:W3CDTF">2026-09-21T23:18:18.292Z</dcterms:modified>
</cp:coreProperties>
</file>

<file path=docProps/custom.xml><?xml version="1.0" encoding="utf-8"?>
<Properties xmlns="http://schemas.openxmlformats.org/officeDocument/2006/custom-properties" xmlns:vt="http://schemas.openxmlformats.org/officeDocument/2006/docPropsVTypes"/>
</file>