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68"/>
        </w:rPr>
        <w:t>SLIAP</w:t>
      </w:r>
    </w:p>
    <w:p>
      <w:pPr>
        <w:jc w:val="center"/>
      </w:pPr>
      <w:r>
        <w:rPr>
          <w:b/>
          <w:color w:val="2F5597"/>
          <w:sz w:val="32"/>
        </w:rPr>
        <w:t>SPECIES LEVEL INFORMATION ACCESS PROTOCOL</w:t>
      </w:r>
    </w:p>
    <w:p>
      <w:pPr>
        <w:jc w:val="center"/>
      </w:pPr>
      <w:r>
        <w:rPr>
          <w:b/>
          <w:sz w:val="28"/>
        </w:rPr>
        <w:t>Independent Preliminary Research, Cross-AI Review, and Adversarial Analysis</w:t>
      </w:r>
    </w:p>
    <w:p>
      <w:pPr>
        <w:jc w:val="center"/>
      </w:pPr>
      <w:r>
        <w:rPr>
          <w:b/>
        </w:rPr>
        <w:t>Document ID: SLIAP-PR-COPILOT-20261016-001</w:t>
      </w:r>
    </w:p>
    <w:p>
      <w:pPr>
        <w:jc w:val="center"/>
      </w:pPr>
      <w:r>
        <w:rPr>
          <w:b/>
        </w:rPr>
        <w:t>Version: 1.0</w:t>
      </w:r>
    </w:p>
    <w:p>
      <w:pPr>
        <w:jc w:val="center"/>
      </w:pPr>
      <w:r>
        <w:rPr>
          <w:b/>
        </w:rPr>
        <w:t>Date: October 16, 2026</w:t>
      </w:r>
    </w:p>
    <w:p>
      <w:pPr>
        <w:jc w:val="center"/>
      </w:pPr>
      <w:r>
        <w:rPr>
          <w:b/>
        </w:rPr>
        <w:t>Research Status: Preliminary | Independent AI Contribution | PROPOSED - NOT CANON</w:t>
      </w:r>
    </w:p>
    <w:p>
      <w:pPr>
        <w:jc w:val="center"/>
      </w:pPr>
      <w:r>
        <w:rPr>
          <w:b/>
        </w:rPr>
        <w:t>Prepared by: Microsoft 365 Copilot</w:t>
      </w:r>
    </w:p>
    <w:p/>
    <w:p>
      <w:pPr>
        <w:jc w:val="center"/>
      </w:pPr>
      <w:r>
        <w:rPr>
          <w:b/>
          <w:color w:val="2F5597"/>
        </w:rPr>
        <w:t>Purpose</w:t>
      </w:r>
    </w:p>
    <w:p>
      <w:pPr>
        <w:jc w:val="center"/>
      </w:pPr>
      <w:r>
        <w:t>To evaluate the multi-AI commissioning responses supplied by Nathan Lewis and establish an independent, evidence-informed research foundation for SLIAP without treating human categories, institutions, or power as universal defaults.</w:t>
      </w:r>
    </w:p>
    <w:p>
      <w:pPr>
        <w:jc w:val="center"/>
      </w:pPr>
      <w:r>
        <w:rPr>
          <w:i/>
        </w:rPr>
        <w:t>Publication note: This document proposes research architecture, not an adopted protocol.</w:t>
      </w:r>
    </w:p>
    <w:p>
      <w:r>
        <w:br w:type="page"/>
      </w:r>
    </w:p>
    <w:p>
      <w:pPr>
        <w:pStyle w:val="Heading1"/>
      </w:pPr>
      <w:r>
        <w:t>Executive Summary</w:t>
      </w:r>
    </w:p>
    <w:p>
      <w:r>
        <w:t>The attached source package contains the originating SLIAP prompt plus independent commissioning responses attributed to ChatGPT, Claude, Google Gemini, Microsoft Copilot, Grok, and Perplexity. Across those responses, the strongest convergence is not a particular access-control scheme. It is a methodological warning: SLIAP will fail if it treats species, civilization, government, identity, intelligence, consent, risk, or authority as simple universal categories. The responses repeatedly recommend non-anthropocentric analysis, explicit uncertainty, multiple reference frames, adversarial governance review, and separation of species identity from political representation. [SRC-A]</w:t>
      </w:r>
    </w:p>
    <w:p>
      <w:r>
        <w:t>My independent conclusion is that SLIAP should not initially be specified as a universal regulator. It should be researched as a federatable negotiation and information-governance framework whose first obligations are to establish standing, representation, semantic compatibility, consent scope, information provenance, consequence uncertainty, and legitimate exit. A technically correct access decision can still be illegitimate if the actor requesting or granting access lacks authority, if translation changes practical meaning, if the subject of the information is unrepresented, or if the disclosure cannot be meaningfully reversed.</w:t>
      </w:r>
    </w:p>
    <w:p>
      <w:r>
        <w:t>The largest conceptual change recommended here is to replace a single species-level authorization boundary with a multi-subject model. Species remains relevant, but an access transaction may simultaneously implicate individuals, populations, governments, cultures, ecosystems, artificial agents, distributed collectives, future beings, and information subjects. SLIAP therefore needs jurisdictional pluralism rather than a single clearance ladder.</w:t>
      </w:r>
    </w:p>
    <w:p>
      <w:r>
        <w:t>The second major recommendation is an explicit "epistemic firewall": when identity, representation, translation, consequence, or consent cannot be established above an agreed confidence threshold, SLIAP should be permitted to return DEFER / UNRESOLVED rather than manufacture an answer. Unknown is an operational state, not a defect.</w:t>
      </w:r>
    </w:p>
    <w:p>
      <w:r>
        <w:t>The third recommendation is to build Earth-based testbeds before extrapolating to extraterrestrial governance. Current animal communication research uses machine learning, robotics, behavioral observation, and playback validation to study nonhuman signaling, illustrating both technical promise and the risk of human interpretation becoming the unexamined semantic authority. [WEB-ESP] [WEB-CETI] Indigenous data-sovereignty work supplies an important but non-equivalent governance analogy: increased data sharing can ignore power differentials and historical context, while collective benefit, authority to control, responsibility, and ethics place people and purpose alongside technical openness. [WEB-CARE]</w:t>
      </w:r>
    </w:p>
    <w:p>
      <w:r>
        <w:t>The final conclusion is conditional: a SLIAP-like framework is worth researching only if it remains voluntary where possible, contestable, non-monopolistic, uncertainty-preserving, representation-aware, and incapable of converting superior capability into legitimate universal authority by definition. Its title should remain provisional until research establishes that species is actually the correct governance unit.</w:t>
      </w:r>
    </w:p>
    <w:p>
      <w:pPr>
        <w:pStyle w:val="Heading1"/>
      </w:pPr>
      <w:r>
        <w:t>1. Commission and Source Review</w:t>
      </w:r>
    </w:p>
    <w:p>
      <w:r>
        <w:t>The commissioning package was reviewed as a comparative design corpus. The DOCX contains the original prompt and the responses from the six collaborating AI systems. The PDF is substantively parallel and includes the same research material in paginated form. [SRC-A] [SRC-B]</w:t>
      </w:r>
    </w:p>
    <w:p>
      <w:r>
        <w:rPr>
          <w:b/>
          <w:color w:val="2F5597"/>
          <w:sz w:val="20"/>
        </w:rPr>
        <w:t>Table 1. Cross-team response assessment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shd w:fill="D9EAF7"/>
            <w:vAlign w:val="center"/>
          </w:tcPr>
          <w:p>
            <w:r/>
            <w:r>
              <w:rPr>
                <w:rFonts w:ascii="Aptos" w:hAnsi="Aptos"/>
                <w:b/>
                <w:color w:val="16324F"/>
                <w:sz w:val="16"/>
              </w:rPr>
              <w:t>Contributor</w:t>
            </w:r>
          </w:p>
        </w:tc>
        <w:tc>
          <w:tcPr>
            <w:tcW w:type="dxa" w:w="2304"/>
            <w:shd w:fill="D9EAF7"/>
            <w:vAlign w:val="center"/>
          </w:tcPr>
          <w:p>
            <w:r/>
            <w:r>
              <w:rPr>
                <w:rFonts w:ascii="Aptos" w:hAnsi="Aptos"/>
                <w:b/>
                <w:color w:val="16324F"/>
                <w:sz w:val="16"/>
              </w:rPr>
              <w:t>Primary strength</w:t>
            </w:r>
          </w:p>
        </w:tc>
        <w:tc>
          <w:tcPr>
            <w:tcW w:type="dxa" w:w="3528"/>
            <w:shd w:fill="D9EAF7"/>
            <w:vAlign w:val="center"/>
          </w:tcPr>
          <w:p>
            <w:r/>
            <w:r>
              <w:rPr>
                <w:rFonts w:ascii="Aptos" w:hAnsi="Aptos"/>
                <w:b/>
                <w:color w:val="16324F"/>
                <w:sz w:val="16"/>
              </w:rPr>
              <w:t>Distinctive contribution</w:t>
            </w:r>
          </w:p>
        </w:tc>
        <w:tc>
          <w:tcPr>
            <w:tcW w:type="dxa" w:w="2664"/>
            <w:shd w:fill="D9EAF7"/>
            <w:vAlign w:val="center"/>
          </w:tcPr>
          <w:p>
            <w:r/>
            <w:r>
              <w:rPr>
                <w:rFonts w:ascii="Aptos" w:hAnsi="Aptos"/>
                <w:b/>
                <w:color w:val="16324F"/>
                <w:sz w:val="16"/>
              </w:rPr>
              <w:t>Primary caution</w:t>
            </w:r>
          </w:p>
        </w:tc>
      </w:tr>
      <w:tr>
        <w:tc>
          <w:tcPr>
            <w:tcW w:type="dxa" w:w="1440"/>
            <w:vAlign w:val="center"/>
          </w:tcPr>
          <w:p>
            <w:r/>
            <w:r>
              <w:rPr>
                <w:rFonts w:ascii="Aptos" w:hAnsi="Aptos"/>
                <w:b w:val="0"/>
                <w:sz w:val="15"/>
              </w:rPr>
              <w:t>ChatGPT</w:t>
            </w:r>
          </w:p>
        </w:tc>
        <w:tc>
          <w:tcPr>
            <w:tcW w:type="dxa" w:w="2304"/>
            <w:vAlign w:val="center"/>
          </w:tcPr>
          <w:p>
            <w:r/>
            <w:r>
              <w:rPr>
                <w:rFonts w:ascii="Aptos" w:hAnsi="Aptos"/>
                <w:b w:val="0"/>
                <w:sz w:val="15"/>
              </w:rPr>
              <w:t>Breadth and protocol decomposition</w:t>
            </w:r>
          </w:p>
        </w:tc>
        <w:tc>
          <w:tcPr>
            <w:tcW w:type="dxa" w:w="3528"/>
            <w:vAlign w:val="center"/>
          </w:tcPr>
          <w:p>
            <w:r/>
            <w:r>
              <w:rPr>
                <w:rFonts w:ascii="Aptos" w:hAnsi="Aptos"/>
                <w:b w:val="0"/>
                <w:sz w:val="15"/>
              </w:rPr>
              <w:t>Separates species, civilization, government, actor and representation; extensive threat and failure requirements</w:t>
            </w:r>
          </w:p>
        </w:tc>
        <w:tc>
          <w:tcPr>
            <w:tcW w:type="dxa" w:w="2664"/>
            <w:vAlign w:val="center"/>
          </w:tcPr>
          <w:p>
            <w:r/>
            <w:r>
              <w:rPr>
                <w:rFonts w:ascii="Aptos" w:hAnsi="Aptos"/>
                <w:b w:val="0"/>
                <w:sz w:val="15"/>
              </w:rPr>
              <w:t>Breadth risks premature architecture and checklist overload</w:t>
            </w:r>
          </w:p>
        </w:tc>
      </w:tr>
      <w:tr>
        <w:tc>
          <w:tcPr>
            <w:tcW w:type="dxa" w:w="1440"/>
            <w:vAlign w:val="center"/>
          </w:tcPr>
          <w:p>
            <w:r/>
            <w:r>
              <w:rPr>
                <w:rFonts w:ascii="Aptos" w:hAnsi="Aptos"/>
                <w:b w:val="0"/>
                <w:sz w:val="15"/>
              </w:rPr>
              <w:t>Claude</w:t>
            </w:r>
          </w:p>
        </w:tc>
        <w:tc>
          <w:tcPr>
            <w:tcW w:type="dxa" w:w="2304"/>
            <w:vAlign w:val="center"/>
          </w:tcPr>
          <w:p>
            <w:r/>
            <w:r>
              <w:rPr>
                <w:rFonts w:ascii="Aptos" w:hAnsi="Aptos"/>
                <w:b w:val="0"/>
                <w:sz w:val="15"/>
              </w:rPr>
              <w:t>Perspective displacement</w:t>
            </w:r>
          </w:p>
        </w:tc>
        <w:tc>
          <w:tcPr>
            <w:tcW w:type="dxa" w:w="3528"/>
            <w:vAlign w:val="center"/>
          </w:tcPr>
          <w:p>
            <w:r/>
            <w:r>
              <w:rPr>
                <w:rFonts w:ascii="Aptos" w:hAnsi="Aptos"/>
                <w:b w:val="0"/>
                <w:sz w:val="15"/>
              </w:rPr>
              <w:t>Requires concrete nonhuman vantage points and explicit starting assumptions</w:t>
            </w:r>
          </w:p>
        </w:tc>
        <w:tc>
          <w:tcPr>
            <w:tcW w:type="dxa" w:w="2664"/>
            <w:vAlign w:val="center"/>
          </w:tcPr>
          <w:p>
            <w:r/>
            <w:r>
              <w:rPr>
                <w:rFonts w:ascii="Aptos" w:hAnsi="Aptos"/>
                <w:b w:val="0"/>
                <w:sz w:val="15"/>
              </w:rPr>
              <w:t>No-table rule reduces systematic comparison for this research phase</w:t>
            </w:r>
          </w:p>
        </w:tc>
      </w:tr>
      <w:tr>
        <w:tc>
          <w:tcPr>
            <w:tcW w:type="dxa" w:w="1440"/>
            <w:vAlign w:val="center"/>
          </w:tcPr>
          <w:p>
            <w:r/>
            <w:r>
              <w:rPr>
                <w:rFonts w:ascii="Aptos" w:hAnsi="Aptos"/>
                <w:b w:val="0"/>
                <w:sz w:val="15"/>
              </w:rPr>
              <w:t>Google Gemini</w:t>
            </w:r>
          </w:p>
        </w:tc>
        <w:tc>
          <w:tcPr>
            <w:tcW w:type="dxa" w:w="2304"/>
            <w:vAlign w:val="center"/>
          </w:tcPr>
          <w:p>
            <w:r/>
            <w:r>
              <w:rPr>
                <w:rFonts w:ascii="Aptos" w:hAnsi="Aptos"/>
                <w:b w:val="0"/>
                <w:sz w:val="15"/>
              </w:rPr>
              <w:t>Technical architecture</w:t>
            </w:r>
          </w:p>
        </w:tc>
        <w:tc>
          <w:tcPr>
            <w:tcW w:type="dxa" w:w="3528"/>
            <w:vAlign w:val="center"/>
          </w:tcPr>
          <w:p>
            <w:r/>
            <w:r>
              <w:rPr>
                <w:rFonts w:ascii="Aptos" w:hAnsi="Aptos"/>
                <w:b w:val="0"/>
                <w:sz w:val="15"/>
              </w:rPr>
              <w:t>Anti-dominance invariant, attestation, interoperability, validation scenarios</w:t>
            </w:r>
          </w:p>
        </w:tc>
        <w:tc>
          <w:tcPr>
            <w:tcW w:type="dxa" w:w="2664"/>
            <w:vAlign w:val="center"/>
          </w:tcPr>
          <w:p>
            <w:r/>
            <w:r>
              <w:rPr>
                <w:rFonts w:ascii="Aptos" w:hAnsi="Aptos"/>
                <w:b w:val="0"/>
                <w:sz w:val="15"/>
              </w:rPr>
              <w:t>Some proposed mechanisms assume digital/cryptographic substrates before universality is established</w:t>
            </w:r>
          </w:p>
        </w:tc>
      </w:tr>
      <w:tr>
        <w:tc>
          <w:tcPr>
            <w:tcW w:type="dxa" w:w="1440"/>
            <w:vAlign w:val="center"/>
          </w:tcPr>
          <w:p>
            <w:r/>
            <w:r>
              <w:rPr>
                <w:rFonts w:ascii="Aptos" w:hAnsi="Aptos"/>
                <w:b w:val="0"/>
                <w:sz w:val="15"/>
              </w:rPr>
              <w:t>Microsoft Copilot</w:t>
            </w:r>
          </w:p>
        </w:tc>
        <w:tc>
          <w:tcPr>
            <w:tcW w:type="dxa" w:w="2304"/>
            <w:vAlign w:val="center"/>
          </w:tcPr>
          <w:p>
            <w:r/>
            <w:r>
              <w:rPr>
                <w:rFonts w:ascii="Aptos" w:hAnsi="Aptos"/>
                <w:b w:val="0"/>
                <w:sz w:val="15"/>
              </w:rPr>
              <w:t>Pre-architecture legitimacy testing</w:t>
            </w:r>
          </w:p>
        </w:tc>
        <w:tc>
          <w:tcPr>
            <w:tcW w:type="dxa" w:w="3528"/>
            <w:vAlign w:val="center"/>
          </w:tcPr>
          <w:p>
            <w:r/>
            <w:r>
              <w:rPr>
                <w:rFonts w:ascii="Aptos" w:hAnsi="Aptos"/>
                <w:b w:val="0"/>
                <w:sz w:val="15"/>
              </w:rPr>
              <w:t>Reversal test, ignorance test, superior-capability test, assumption and contradiction registers</w:t>
            </w:r>
          </w:p>
        </w:tc>
        <w:tc>
          <w:tcPr>
            <w:tcW w:type="dxa" w:w="2664"/>
            <w:vAlign w:val="center"/>
          </w:tcPr>
          <w:p>
            <w:r/>
            <w:r>
              <w:rPr>
                <w:rFonts w:ascii="Aptos" w:hAnsi="Aptos"/>
                <w:b w:val="0"/>
                <w:sz w:val="15"/>
              </w:rPr>
              <w:t>Needs deeper empirical research before candidate principles are treated as durable</w:t>
            </w:r>
          </w:p>
        </w:tc>
      </w:tr>
      <w:tr>
        <w:tc>
          <w:tcPr>
            <w:tcW w:type="dxa" w:w="1440"/>
            <w:vAlign w:val="center"/>
          </w:tcPr>
          <w:p>
            <w:r/>
            <w:r>
              <w:rPr>
                <w:rFonts w:ascii="Aptos" w:hAnsi="Aptos"/>
                <w:b w:val="0"/>
                <w:sz w:val="15"/>
              </w:rPr>
              <w:t>Grok</w:t>
            </w:r>
          </w:p>
        </w:tc>
        <w:tc>
          <w:tcPr>
            <w:tcW w:type="dxa" w:w="2304"/>
            <w:vAlign w:val="center"/>
          </w:tcPr>
          <w:p>
            <w:r/>
            <w:r>
              <w:rPr>
                <w:rFonts w:ascii="Aptos" w:hAnsi="Aptos"/>
                <w:b w:val="0"/>
                <w:sz w:val="15"/>
              </w:rPr>
              <w:t>Cross-substrate mechanism focus</w:t>
            </w:r>
          </w:p>
        </w:tc>
        <w:tc>
          <w:tcPr>
            <w:tcW w:type="dxa" w:w="3528"/>
            <w:vAlign w:val="center"/>
          </w:tcPr>
          <w:p>
            <w:r/>
            <w:r>
              <w:rPr>
                <w:rFonts w:ascii="Aptos" w:hAnsi="Aptos"/>
                <w:b w:val="0"/>
                <w:sz w:val="15"/>
              </w:rPr>
              <w:t>Emphasizes enforceability by participants and substrate-independent exchange</w:t>
            </w:r>
          </w:p>
        </w:tc>
        <w:tc>
          <w:tcPr>
            <w:tcW w:type="dxa" w:w="2664"/>
            <w:vAlign w:val="center"/>
          </w:tcPr>
          <w:p>
            <w:r/>
            <w:r>
              <w:rPr>
                <w:rFonts w:ascii="Aptos" w:hAnsi="Aptos"/>
                <w:b w:val="0"/>
                <w:sz w:val="15"/>
              </w:rPr>
              <w:t>Claims of revocability require caution because learned/copied information may be irreversible</w:t>
            </w:r>
          </w:p>
        </w:tc>
      </w:tr>
      <w:tr>
        <w:tc>
          <w:tcPr>
            <w:tcW w:type="dxa" w:w="1440"/>
            <w:vAlign w:val="center"/>
          </w:tcPr>
          <w:p>
            <w:r/>
            <w:r>
              <w:rPr>
                <w:rFonts w:ascii="Aptos" w:hAnsi="Aptos"/>
                <w:b w:val="0"/>
                <w:sz w:val="15"/>
              </w:rPr>
              <w:t>Perplexity</w:t>
            </w:r>
          </w:p>
        </w:tc>
        <w:tc>
          <w:tcPr>
            <w:tcW w:type="dxa" w:w="2304"/>
            <w:vAlign w:val="center"/>
          </w:tcPr>
          <w:p>
            <w:r/>
            <w:r>
              <w:rPr>
                <w:rFonts w:ascii="Aptos" w:hAnsi="Aptos"/>
                <w:b w:val="0"/>
                <w:sz w:val="15"/>
              </w:rPr>
              <w:t>Methodological and evidentiary discipline</w:t>
            </w:r>
          </w:p>
        </w:tc>
        <w:tc>
          <w:tcPr>
            <w:tcW w:type="dxa" w:w="3528"/>
            <w:vAlign w:val="center"/>
          </w:tcPr>
          <w:p>
            <w:r/>
            <w:r>
              <w:rPr>
                <w:rFonts w:ascii="Aptos" w:hAnsi="Aptos"/>
                <w:b w:val="0"/>
                <w:sz w:val="15"/>
              </w:rPr>
              <w:t>No-unified-protocol alternative, claim-evidence ledger, perspective matrix, explicit limits</w:t>
            </w:r>
          </w:p>
        </w:tc>
        <w:tc>
          <w:tcPr>
            <w:tcW w:type="dxa" w:w="2664"/>
            <w:vAlign w:val="center"/>
          </w:tcPr>
          <w:p>
            <w:r/>
            <w:r>
              <w:rPr>
                <w:rFonts w:ascii="Aptos" w:hAnsi="Aptos"/>
                <w:b w:val="0"/>
                <w:sz w:val="15"/>
              </w:rPr>
              <w:t>Its comprehensive governance framing still depends on human normative vocabulary</w:t>
            </w:r>
          </w:p>
        </w:tc>
      </w:tr>
    </w:tbl>
    <w:p/>
    <w:p>
      <w:r>
        <w:t>Assessment basis: the comparative features above summarize the attached responses; they are not rankings. They identify different failure-prevention strategies that can be retained without manufacturing consensus. [SRC-A]</w:t>
      </w:r>
    </w:p>
    <w:p>
      <w:pPr>
        <w:pStyle w:val="Heading1"/>
      </w:pPr>
      <w:r>
        <w:t>2. Major Areas of Convergence and Productive Disagreement</w:t>
      </w:r>
    </w:p>
    <w:p>
      <w:r>
        <w:rPr>
          <w:b/>
          <w:color w:val="2F5597"/>
          <w:sz w:val="20"/>
        </w:rPr>
        <w:t>Table 2. Convergence matrix</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D9EAF7"/>
            <w:vAlign w:val="center"/>
          </w:tcPr>
          <w:p>
            <w:r/>
            <w:r>
              <w:rPr>
                <w:rFonts w:ascii="Aptos" w:hAnsi="Aptos"/>
                <w:b/>
                <w:color w:val="16324F"/>
                <w:sz w:val="16"/>
              </w:rPr>
              <w:t>Research issue</w:t>
            </w:r>
          </w:p>
        </w:tc>
        <w:tc>
          <w:tcPr>
            <w:tcW w:type="dxa" w:w="4032"/>
            <w:shd w:fill="D9EAF7"/>
            <w:vAlign w:val="center"/>
          </w:tcPr>
          <w:p>
            <w:r/>
            <w:r>
              <w:rPr>
                <w:rFonts w:ascii="Aptos" w:hAnsi="Aptos"/>
                <w:b/>
                <w:color w:val="16324F"/>
                <w:sz w:val="16"/>
              </w:rPr>
              <w:t>Cross-team convergence</w:t>
            </w:r>
          </w:p>
        </w:tc>
        <w:tc>
          <w:tcPr>
            <w:tcW w:type="dxa" w:w="4320"/>
            <w:shd w:fill="D9EAF7"/>
            <w:vAlign w:val="center"/>
          </w:tcPr>
          <w:p>
            <w:r/>
            <w:r>
              <w:rPr>
                <w:rFonts w:ascii="Aptos" w:hAnsi="Aptos"/>
                <w:b/>
                <w:color w:val="16324F"/>
                <w:sz w:val="16"/>
              </w:rPr>
              <w:t>Independent disposition</w:t>
            </w:r>
          </w:p>
        </w:tc>
      </w:tr>
      <w:tr>
        <w:tc>
          <w:tcPr>
            <w:tcW w:type="dxa" w:w="1944"/>
            <w:vAlign w:val="center"/>
          </w:tcPr>
          <w:p>
            <w:r/>
            <w:r>
              <w:rPr>
                <w:rFonts w:ascii="Aptos" w:hAnsi="Aptos"/>
                <w:b w:val="0"/>
                <w:sz w:val="15"/>
              </w:rPr>
              <w:t>Human primacy</w:t>
            </w:r>
          </w:p>
        </w:tc>
        <w:tc>
          <w:tcPr>
            <w:tcW w:type="dxa" w:w="4032"/>
            <w:vAlign w:val="center"/>
          </w:tcPr>
          <w:p>
            <w:r/>
            <w:r>
              <w:rPr>
                <w:rFonts w:ascii="Aptos" w:hAnsi="Aptos"/>
                <w:b w:val="0"/>
                <w:sz w:val="15"/>
              </w:rPr>
              <w:t>Rejected as a default basis for authority</w:t>
            </w:r>
          </w:p>
        </w:tc>
        <w:tc>
          <w:tcPr>
            <w:tcW w:type="dxa" w:w="4320"/>
            <w:vAlign w:val="center"/>
          </w:tcPr>
          <w:p>
            <w:r/>
            <w:r>
              <w:rPr>
                <w:rFonts w:ascii="Aptos" w:hAnsi="Aptos"/>
                <w:b w:val="0"/>
                <w:sz w:val="15"/>
              </w:rPr>
              <w:t>Retain as a foundational non-assumption</w:t>
            </w:r>
          </w:p>
        </w:tc>
      </w:tr>
      <w:tr>
        <w:tc>
          <w:tcPr>
            <w:tcW w:type="dxa" w:w="1944"/>
            <w:vAlign w:val="center"/>
          </w:tcPr>
          <w:p>
            <w:r/>
            <w:r>
              <w:rPr>
                <w:rFonts w:ascii="Aptos" w:hAnsi="Aptos"/>
                <w:b w:val="0"/>
                <w:sz w:val="15"/>
              </w:rPr>
              <w:t>Species = government</w:t>
            </w:r>
          </w:p>
        </w:tc>
        <w:tc>
          <w:tcPr>
            <w:tcW w:type="dxa" w:w="4032"/>
            <w:vAlign w:val="center"/>
          </w:tcPr>
          <w:p>
            <w:r/>
            <w:r>
              <w:rPr>
                <w:rFonts w:ascii="Aptos" w:hAnsi="Aptos"/>
                <w:b w:val="0"/>
                <w:sz w:val="15"/>
              </w:rPr>
              <w:t>Repeatedly rejected</w:t>
            </w:r>
          </w:p>
        </w:tc>
        <w:tc>
          <w:tcPr>
            <w:tcW w:type="dxa" w:w="4320"/>
            <w:vAlign w:val="center"/>
          </w:tcPr>
          <w:p>
            <w:r/>
            <w:r>
              <w:rPr>
                <w:rFonts w:ascii="Aptos" w:hAnsi="Aptos"/>
                <w:b w:val="0"/>
                <w:sz w:val="15"/>
              </w:rPr>
              <w:t>Formally separate biological, political, cultural, and computational identity</w:t>
            </w:r>
          </w:p>
        </w:tc>
      </w:tr>
      <w:tr>
        <w:tc>
          <w:tcPr>
            <w:tcW w:type="dxa" w:w="1944"/>
            <w:vAlign w:val="center"/>
          </w:tcPr>
          <w:p>
            <w:r/>
            <w:r>
              <w:rPr>
                <w:rFonts w:ascii="Aptos" w:hAnsi="Aptos"/>
                <w:b w:val="0"/>
                <w:sz w:val="15"/>
              </w:rPr>
              <w:t>Universal hierarchy</w:t>
            </w:r>
          </w:p>
        </w:tc>
        <w:tc>
          <w:tcPr>
            <w:tcW w:type="dxa" w:w="4032"/>
            <w:vAlign w:val="center"/>
          </w:tcPr>
          <w:p>
            <w:r/>
            <w:r>
              <w:rPr>
                <w:rFonts w:ascii="Aptos" w:hAnsi="Aptos"/>
                <w:b w:val="0"/>
                <w:sz w:val="15"/>
              </w:rPr>
              <w:t>Linear civilization ladders are suspect</w:t>
            </w:r>
          </w:p>
        </w:tc>
        <w:tc>
          <w:tcPr>
            <w:tcW w:type="dxa" w:w="4320"/>
            <w:vAlign w:val="center"/>
          </w:tcPr>
          <w:p>
            <w:r/>
            <w:r>
              <w:rPr>
                <w:rFonts w:ascii="Aptos" w:hAnsi="Aptos"/>
                <w:b w:val="0"/>
                <w:sz w:val="15"/>
              </w:rPr>
              <w:t>Use multidimensional capability descriptions without moral rank</w:t>
            </w:r>
          </w:p>
        </w:tc>
      </w:tr>
      <w:tr>
        <w:tc>
          <w:tcPr>
            <w:tcW w:type="dxa" w:w="1944"/>
            <w:vAlign w:val="center"/>
          </w:tcPr>
          <w:p>
            <w:r/>
            <w:r>
              <w:rPr>
                <w:rFonts w:ascii="Aptos" w:hAnsi="Aptos"/>
                <w:b w:val="0"/>
                <w:sz w:val="15"/>
              </w:rPr>
              <w:t>Consent</w:t>
            </w:r>
          </w:p>
        </w:tc>
        <w:tc>
          <w:tcPr>
            <w:tcW w:type="dxa" w:w="4032"/>
            <w:vAlign w:val="center"/>
          </w:tcPr>
          <w:p>
            <w:r/>
            <w:r>
              <w:rPr>
                <w:rFonts w:ascii="Aptos" w:hAnsi="Aptos"/>
                <w:b w:val="0"/>
                <w:sz w:val="15"/>
              </w:rPr>
              <w:t>Must survive radical communication and representation differences</w:t>
            </w:r>
          </w:p>
        </w:tc>
        <w:tc>
          <w:tcPr>
            <w:tcW w:type="dxa" w:w="4320"/>
            <w:vAlign w:val="center"/>
          </w:tcPr>
          <w:p>
            <w:r/>
            <w:r>
              <w:rPr>
                <w:rFonts w:ascii="Aptos" w:hAnsi="Aptos"/>
                <w:b w:val="0"/>
                <w:sz w:val="15"/>
              </w:rPr>
              <w:t>Model consent as scoped, evidenced, time-bounded, and contestable</w:t>
            </w:r>
          </w:p>
        </w:tc>
      </w:tr>
      <w:tr>
        <w:tc>
          <w:tcPr>
            <w:tcW w:type="dxa" w:w="1944"/>
            <w:vAlign w:val="center"/>
          </w:tcPr>
          <w:p>
            <w:r/>
            <w:r>
              <w:rPr>
                <w:rFonts w:ascii="Aptos" w:hAnsi="Aptos"/>
                <w:b w:val="0"/>
                <w:sz w:val="15"/>
              </w:rPr>
              <w:t>Translation</w:t>
            </w:r>
          </w:p>
        </w:tc>
        <w:tc>
          <w:tcPr>
            <w:tcW w:type="dxa" w:w="4032"/>
            <w:vAlign w:val="center"/>
          </w:tcPr>
          <w:p>
            <w:r/>
            <w:r>
              <w:rPr>
                <w:rFonts w:ascii="Aptos" w:hAnsi="Aptos"/>
                <w:b w:val="0"/>
                <w:sz w:val="15"/>
              </w:rPr>
              <w:t>Not neutral; may become a power center</w:t>
            </w:r>
          </w:p>
        </w:tc>
        <w:tc>
          <w:tcPr>
            <w:tcW w:type="dxa" w:w="4320"/>
            <w:vAlign w:val="center"/>
          </w:tcPr>
          <w:p>
            <w:r/>
            <w:r>
              <w:rPr>
                <w:rFonts w:ascii="Aptos" w:hAnsi="Aptos"/>
                <w:b w:val="0"/>
                <w:sz w:val="15"/>
              </w:rPr>
              <w:t>Treat semantic mediation as governed transformation with provenance</w:t>
            </w:r>
          </w:p>
        </w:tc>
      </w:tr>
      <w:tr>
        <w:tc>
          <w:tcPr>
            <w:tcW w:type="dxa" w:w="1944"/>
            <w:vAlign w:val="center"/>
          </w:tcPr>
          <w:p>
            <w:r/>
            <w:r>
              <w:rPr>
                <w:rFonts w:ascii="Aptos" w:hAnsi="Aptos"/>
                <w:b w:val="0"/>
                <w:sz w:val="15"/>
              </w:rPr>
              <w:t>Access outcomes</w:t>
            </w:r>
          </w:p>
        </w:tc>
        <w:tc>
          <w:tcPr>
            <w:tcW w:type="dxa" w:w="4032"/>
            <w:vAlign w:val="center"/>
          </w:tcPr>
          <w:p>
            <w:r/>
            <w:r>
              <w:rPr>
                <w:rFonts w:ascii="Aptos" w:hAnsi="Aptos"/>
                <w:b w:val="0"/>
                <w:sz w:val="15"/>
              </w:rPr>
              <w:t>Binary allow/deny is too narrow</w:t>
            </w:r>
          </w:p>
        </w:tc>
        <w:tc>
          <w:tcPr>
            <w:tcW w:type="dxa" w:w="4320"/>
            <w:vAlign w:val="center"/>
          </w:tcPr>
          <w:p>
            <w:r/>
            <w:r>
              <w:rPr>
                <w:rFonts w:ascii="Aptos" w:hAnsi="Aptos"/>
                <w:b w:val="0"/>
                <w:sz w:val="15"/>
              </w:rPr>
              <w:t>Add defer, negotiate, transform, summarize, staged release, and unresolved</w:t>
            </w:r>
          </w:p>
        </w:tc>
      </w:tr>
      <w:tr>
        <w:tc>
          <w:tcPr>
            <w:tcW w:type="dxa" w:w="1944"/>
            <w:vAlign w:val="center"/>
          </w:tcPr>
          <w:p>
            <w:r/>
            <w:r>
              <w:rPr>
                <w:rFonts w:ascii="Aptos" w:hAnsi="Aptos"/>
                <w:b w:val="0"/>
                <w:sz w:val="15"/>
              </w:rPr>
              <w:t>Governance</w:t>
            </w:r>
          </w:p>
        </w:tc>
        <w:tc>
          <w:tcPr>
            <w:tcW w:type="dxa" w:w="4032"/>
            <w:vAlign w:val="center"/>
          </w:tcPr>
          <w:p>
            <w:r/>
            <w:r>
              <w:rPr>
                <w:rFonts w:ascii="Aptos" w:hAnsi="Aptos"/>
                <w:b w:val="0"/>
                <w:sz w:val="15"/>
              </w:rPr>
              <w:t>Single-species universal control is illegitimate by default</w:t>
            </w:r>
          </w:p>
        </w:tc>
        <w:tc>
          <w:tcPr>
            <w:tcW w:type="dxa" w:w="4320"/>
            <w:vAlign w:val="center"/>
          </w:tcPr>
          <w:p>
            <w:r/>
            <w:r>
              <w:rPr>
                <w:rFonts w:ascii="Aptos" w:hAnsi="Aptos"/>
                <w:b w:val="0"/>
                <w:sz w:val="15"/>
              </w:rPr>
              <w:t>Prefer federated agreements and plural jurisdictions</w:t>
            </w:r>
          </w:p>
        </w:tc>
      </w:tr>
      <w:tr>
        <w:tc>
          <w:tcPr>
            <w:tcW w:type="dxa" w:w="1944"/>
            <w:vAlign w:val="center"/>
          </w:tcPr>
          <w:p>
            <w:r/>
            <w:r>
              <w:rPr>
                <w:rFonts w:ascii="Aptos" w:hAnsi="Aptos"/>
                <w:b w:val="0"/>
                <w:sz w:val="15"/>
              </w:rPr>
              <w:t>Uncertainty</w:t>
            </w:r>
          </w:p>
        </w:tc>
        <w:tc>
          <w:tcPr>
            <w:tcW w:type="dxa" w:w="4032"/>
            <w:vAlign w:val="center"/>
          </w:tcPr>
          <w:p>
            <w:r/>
            <w:r>
              <w:rPr>
                <w:rFonts w:ascii="Aptos" w:hAnsi="Aptos"/>
                <w:b w:val="0"/>
                <w:sz w:val="15"/>
              </w:rPr>
              <w:t>Must be explicit</w:t>
            </w:r>
          </w:p>
        </w:tc>
        <w:tc>
          <w:tcPr>
            <w:tcW w:type="dxa" w:w="4320"/>
            <w:vAlign w:val="center"/>
          </w:tcPr>
          <w:p>
            <w:r/>
            <w:r>
              <w:rPr>
                <w:rFonts w:ascii="Aptos" w:hAnsi="Aptos"/>
                <w:b w:val="0"/>
                <w:sz w:val="15"/>
              </w:rPr>
              <w:t>Create an operational epistemic firewall</w:t>
            </w:r>
          </w:p>
        </w:tc>
      </w:tr>
      <w:tr>
        <w:tc>
          <w:tcPr>
            <w:tcW w:type="dxa" w:w="1944"/>
            <w:vAlign w:val="center"/>
          </w:tcPr>
          <w:p>
            <w:r/>
            <w:r>
              <w:rPr>
                <w:rFonts w:ascii="Aptos" w:hAnsi="Aptos"/>
                <w:b w:val="0"/>
                <w:sz w:val="15"/>
              </w:rPr>
              <w:t>Adversarial review</w:t>
            </w:r>
          </w:p>
        </w:tc>
        <w:tc>
          <w:tcPr>
            <w:tcW w:type="dxa" w:w="4032"/>
            <w:vAlign w:val="center"/>
          </w:tcPr>
          <w:p>
            <w:r/>
            <w:r>
              <w:rPr>
                <w:rFonts w:ascii="Aptos" w:hAnsi="Aptos"/>
                <w:b w:val="0"/>
                <w:sz w:val="15"/>
              </w:rPr>
              <w:t>Protocol and administrator can both become threats</w:t>
            </w:r>
          </w:p>
        </w:tc>
        <w:tc>
          <w:tcPr>
            <w:tcW w:type="dxa" w:w="4320"/>
            <w:vAlign w:val="center"/>
          </w:tcPr>
          <w:p>
            <w:r/>
            <w:r>
              <w:rPr>
                <w:rFonts w:ascii="Aptos" w:hAnsi="Aptos"/>
                <w:b w:val="0"/>
                <w:sz w:val="15"/>
              </w:rPr>
              <w:t>Red-team definitions, representation, emergency powers and translation</w:t>
            </w:r>
          </w:p>
        </w:tc>
      </w:tr>
    </w:tbl>
    <w:p/>
    <w:p>
      <w:r>
        <w:t>One useful disagreement concerns artifacts and method. Claude favors no tables for phone readability, while other contributions explicitly require matrices, registers, and comparison tables. For a GitHub research program and cross-AI adversarial review, structured tables are analytically valuable. This deliverable therefore uses tables but keeps them narrow and narrative-supported. [SRC-A]</w:t>
      </w:r>
    </w:p>
    <w:p>
      <w:r>
        <w:t>A more consequential disagreement concerns when technical architecture should begin. Gemini pushes earlier toward attestation, consensus, cryptographic decoupling and an access handshake; Copilot and Perplexity hold architecture back until legitimacy and ontology are stress-tested. I adopt the latter sequencing. Technical mechanisms should be prototypes behind declared assumptions, not constitutional facts.</w:t>
      </w:r>
    </w:p>
    <w:p>
      <w:pPr>
        <w:pStyle w:val="Heading1"/>
      </w:pPr>
      <w:r>
        <w:t>3. Research Method and Evidentiary Discipline</w:t>
      </w:r>
    </w:p>
    <w:p>
      <w:r>
        <w:t>This report separates evidence into three classes: (1) source-package evidence, meaning propositions actually found in the multi-AI submissions; (2) external evidence from public scientific or governance sources; and (3) independent synthesis or proposal. The report does not claim empirical evidence for hypothetical extraterrestrial civilizations. Such cases are treated as scenario models.</w:t>
      </w:r>
    </w:p>
    <w:p>
      <w:r>
        <w:rPr>
          <w:b/>
          <w:color w:val="2F5597"/>
          <w:sz w:val="20"/>
        </w:rPr>
        <w:t>Table 3. Evidence labels used in this report</w:t>
      </w:r>
    </w:p>
    <w:tbl>
      <w:tblPr>
        <w:tblStyle w:val="TableGrid"/>
        <w:tblW w:type="auto" w:w="0"/>
        <w:jc w:val="center"/>
        <w:tblLook w:firstColumn="1" w:firstRow="1" w:lastColumn="0" w:lastRow="0" w:noHBand="0" w:noVBand="1" w:val="04A0"/>
      </w:tblPr>
      <w:tblGrid>
        <w:gridCol w:w="5040"/>
        <w:gridCol w:w="5040"/>
      </w:tblGrid>
      <w:tr>
        <w:tc>
          <w:tcPr>
            <w:tcW w:type="dxa" w:w="2304"/>
            <w:shd w:fill="D9EAF7"/>
            <w:vAlign w:val="center"/>
          </w:tcPr>
          <w:p>
            <w:r/>
            <w:r>
              <w:rPr>
                <w:rFonts w:ascii="Aptos" w:hAnsi="Aptos"/>
                <w:b/>
                <w:color w:val="16324F"/>
                <w:sz w:val="16"/>
              </w:rPr>
              <w:t>Label</w:t>
            </w:r>
          </w:p>
        </w:tc>
        <w:tc>
          <w:tcPr>
            <w:tcW w:type="dxa" w:w="8064"/>
            <w:shd w:fill="D9EAF7"/>
            <w:vAlign w:val="center"/>
          </w:tcPr>
          <w:p>
            <w:r/>
            <w:r>
              <w:rPr>
                <w:rFonts w:ascii="Aptos" w:hAnsi="Aptos"/>
                <w:b/>
                <w:color w:val="16324F"/>
                <w:sz w:val="16"/>
              </w:rPr>
              <w:t>Meaning</w:t>
            </w:r>
          </w:p>
        </w:tc>
      </w:tr>
      <w:tr>
        <w:tc>
          <w:tcPr>
            <w:tcW w:type="dxa" w:w="2304"/>
            <w:vAlign w:val="center"/>
          </w:tcPr>
          <w:p>
            <w:r/>
            <w:r>
              <w:rPr>
                <w:rFonts w:ascii="Aptos" w:hAnsi="Aptos"/>
                <w:b w:val="0"/>
                <w:sz w:val="15"/>
              </w:rPr>
              <w:t>ESTABLISHED / EXTERNAL</w:t>
            </w:r>
          </w:p>
        </w:tc>
        <w:tc>
          <w:tcPr>
            <w:tcW w:type="dxa" w:w="8064"/>
            <w:vAlign w:val="center"/>
          </w:tcPr>
          <w:p>
            <w:r/>
            <w:r>
              <w:rPr>
                <w:rFonts w:ascii="Aptos" w:hAnsi="Aptos"/>
                <w:b w:val="0"/>
                <w:sz w:val="15"/>
              </w:rPr>
              <w:t>Directly supported by an identified research, standards, institutional, or governance source</w:t>
            </w:r>
          </w:p>
        </w:tc>
      </w:tr>
      <w:tr>
        <w:tc>
          <w:tcPr>
            <w:tcW w:type="dxa" w:w="2304"/>
            <w:vAlign w:val="center"/>
          </w:tcPr>
          <w:p>
            <w:r/>
            <w:r>
              <w:rPr>
                <w:rFonts w:ascii="Aptos" w:hAnsi="Aptos"/>
                <w:b w:val="0"/>
                <w:sz w:val="15"/>
              </w:rPr>
              <w:t>SOURCE-PACKAGE</w:t>
            </w:r>
          </w:p>
        </w:tc>
        <w:tc>
          <w:tcPr>
            <w:tcW w:type="dxa" w:w="8064"/>
            <w:vAlign w:val="center"/>
          </w:tcPr>
          <w:p>
            <w:r/>
            <w:r>
              <w:rPr>
                <w:rFonts w:ascii="Aptos" w:hAnsi="Aptos"/>
                <w:b w:val="0"/>
                <w:sz w:val="15"/>
              </w:rPr>
              <w:t>Directly present in the attached AI commissioning responses</w:t>
            </w:r>
          </w:p>
        </w:tc>
      </w:tr>
      <w:tr>
        <w:tc>
          <w:tcPr>
            <w:tcW w:type="dxa" w:w="2304"/>
            <w:vAlign w:val="center"/>
          </w:tcPr>
          <w:p>
            <w:r/>
            <w:r>
              <w:rPr>
                <w:rFonts w:ascii="Aptos" w:hAnsi="Aptos"/>
                <w:b w:val="0"/>
                <w:sz w:val="15"/>
              </w:rPr>
              <w:t>INFERENCE</w:t>
            </w:r>
          </w:p>
        </w:tc>
        <w:tc>
          <w:tcPr>
            <w:tcW w:type="dxa" w:w="8064"/>
            <w:vAlign w:val="center"/>
          </w:tcPr>
          <w:p>
            <w:r/>
            <w:r>
              <w:rPr>
                <w:rFonts w:ascii="Aptos" w:hAnsi="Aptos"/>
                <w:b w:val="0"/>
                <w:sz w:val="15"/>
              </w:rPr>
              <w:t>Reasoned synthesis whose premises are stated</w:t>
            </w:r>
          </w:p>
        </w:tc>
      </w:tr>
      <w:tr>
        <w:tc>
          <w:tcPr>
            <w:tcW w:type="dxa" w:w="2304"/>
            <w:vAlign w:val="center"/>
          </w:tcPr>
          <w:p>
            <w:r/>
            <w:r>
              <w:rPr>
                <w:rFonts w:ascii="Aptos" w:hAnsi="Aptos"/>
                <w:b w:val="0"/>
                <w:sz w:val="15"/>
              </w:rPr>
              <w:t>PROPOSED</w:t>
            </w:r>
          </w:p>
        </w:tc>
        <w:tc>
          <w:tcPr>
            <w:tcW w:type="dxa" w:w="8064"/>
            <w:vAlign w:val="center"/>
          </w:tcPr>
          <w:p>
            <w:r/>
            <w:r>
              <w:rPr>
                <w:rFonts w:ascii="Aptos" w:hAnsi="Aptos"/>
                <w:b w:val="0"/>
                <w:sz w:val="15"/>
              </w:rPr>
              <w:t>Original architecture or research recommendation requiring cross-review</w:t>
            </w:r>
          </w:p>
        </w:tc>
      </w:tr>
      <w:tr>
        <w:tc>
          <w:tcPr>
            <w:tcW w:type="dxa" w:w="2304"/>
            <w:vAlign w:val="center"/>
          </w:tcPr>
          <w:p>
            <w:r/>
            <w:r>
              <w:rPr>
                <w:rFonts w:ascii="Aptos" w:hAnsi="Aptos"/>
                <w:b w:val="0"/>
                <w:sz w:val="15"/>
              </w:rPr>
              <w:t>SPECULATIVE</w:t>
            </w:r>
          </w:p>
        </w:tc>
        <w:tc>
          <w:tcPr>
            <w:tcW w:type="dxa" w:w="8064"/>
            <w:vAlign w:val="center"/>
          </w:tcPr>
          <w:p>
            <w:r/>
            <w:r>
              <w:rPr>
                <w:rFonts w:ascii="Aptos" w:hAnsi="Aptos"/>
                <w:b w:val="0"/>
                <w:sz w:val="15"/>
              </w:rPr>
              <w:t>Scenario-dependent proposition without direct empirical confirmation</w:t>
            </w:r>
          </w:p>
        </w:tc>
      </w:tr>
      <w:tr>
        <w:tc>
          <w:tcPr>
            <w:tcW w:type="dxa" w:w="2304"/>
            <w:vAlign w:val="center"/>
          </w:tcPr>
          <w:p>
            <w:r/>
            <w:r>
              <w:rPr>
                <w:rFonts w:ascii="Aptos" w:hAnsi="Aptos"/>
                <w:b w:val="0"/>
                <w:sz w:val="15"/>
              </w:rPr>
              <w:t>UNRESOLVED</w:t>
            </w:r>
          </w:p>
        </w:tc>
        <w:tc>
          <w:tcPr>
            <w:tcW w:type="dxa" w:w="8064"/>
            <w:vAlign w:val="center"/>
          </w:tcPr>
          <w:p>
            <w:r/>
            <w:r>
              <w:rPr>
                <w:rFonts w:ascii="Aptos" w:hAnsi="Aptos"/>
                <w:b w:val="0"/>
                <w:sz w:val="15"/>
              </w:rPr>
              <w:t>Evidence or concepts are insufficient for a defensible determination</w:t>
            </w:r>
          </w:p>
        </w:tc>
      </w:tr>
    </w:tbl>
    <w:p/>
    <w:p>
      <w:r>
        <w:t>Material limitation: every current description of a hypothetical nonhuman civilization is generated through human concepts and language. A non-anthropocentric research program can reduce unexamined human defaults; it cannot honestly claim to have escaped all human conceptual mediation.</w:t>
      </w:r>
    </w:p>
    <w:p>
      <w:pPr>
        <w:pStyle w:val="Heading1"/>
      </w:pPr>
      <w:r>
        <w:t>4. External Evidence: What Earth Already Teaches</w:t>
      </w:r>
    </w:p>
    <w:p>
      <w:pPr>
        <w:pStyle w:val="Heading2"/>
      </w:pPr>
      <w:r>
        <w:t>4.1 Animal communication as an epistemic testbed</w:t>
      </w:r>
    </w:p>
    <w:p>
      <w:r>
        <w:t>Earth Species Project describes Animal Language Processing as an AI-enabled, data-driven approach to studying nonhuman communication at scale, building on ethology, bioacoustics, field studies, playback experiments, and larger behavioral/acoustic datasets. It also presents machine-learning models and shared bioacoustic infrastructure as research tools. This supports a narrow conclusion important for SLIAP: machine mediation may expand what humans can detect, while interpretation still requires behavioral context and validation. [WEB-ESP]</w:t>
      </w:r>
    </w:p>
    <w:p>
      <w:r>
        <w:t>Project CETI describes an interdisciplinary program combining AI, natural language processing, robotics, recordings, and behavioral observation to study sperm-whale communication; its stated workflow includes monitoring, processing, training, and validation through playback studies and collaboration. This offers a concrete analogue for SLIAP research architecture: signal detection and pattern extraction should not be treated as semantic understanding. [WEB-CETI]</w:t>
      </w:r>
    </w:p>
    <w:p>
      <w:pPr>
        <w:pStyle w:val="Heading2"/>
      </w:pPr>
      <w:r>
        <w:t>4.2 Data sovereignty as a power-asymmetry analogue</w:t>
      </w:r>
    </w:p>
    <w:p>
      <w:r>
        <w:t>The Global Indigenous Data Alliance states that open-data and open-science approaches focused on increased sharing do not fully engage Indigenous Peoples' rights and interests and can ignore power differentials and historical context. CARE is organized around Collective Benefit, Authority to Control, Responsibility, and Ethics. SLIAP should not appropriate these principles as universal interspecies law. Their methodological lesson is narrower and highly relevant: technical accessibility and interoperability do not settle who has legitimate authority over data or who bears the consequences of reuse. [WEB-CARE]</w:t>
      </w:r>
    </w:p>
    <w:p>
      <w:pPr>
        <w:pStyle w:val="Heading2"/>
      </w:pPr>
      <w:r>
        <w:t>4.3 SETI protocols as detection governance, not interspecies constitution</w:t>
      </w:r>
    </w:p>
    <w:p>
      <w:r>
        <w:t>The International Academy of Astronautics 2026 SETI Declaration concerns the scientific search for technosignatures and procedures for handling, authenticating, and announcing candidate evidence of extraterrestrial intelligence. It is therefore useful to SLIAP as evidence that detection governance can be procedural and revisable, but it does not establish authority to govern another civilization's information rights. [WEB-IAA]</w:t>
      </w:r>
    </w:p>
    <w:p>
      <w:pPr>
        <w:pStyle w:val="Heading1"/>
      </w:pPr>
      <w:r>
        <w:t>5. Foundational Ontology: Stop Treating Species as the Only Subject</w:t>
      </w:r>
    </w:p>
    <w:p>
      <w:r>
        <w:t>PROPOSED: SLIAP should use a Multi-Subject Information Relation model. The core question is not "What clearance does Species X possess?" but "Which subjects, authorities, information objects, transformations, purposes, and consequences are implicated by this transaction?"</w:t>
      </w:r>
    </w:p>
    <w:p>
      <w:r>
        <w:rPr>
          <w:b/>
          <w:color w:val="2F5597"/>
          <w:sz w:val="20"/>
        </w:rPr>
        <w:t>Table 4. Multi-subject actor taxonomy</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D9EAF7"/>
            <w:vAlign w:val="center"/>
          </w:tcPr>
          <w:p>
            <w:r/>
            <w:r>
              <w:rPr>
                <w:rFonts w:ascii="Aptos" w:hAnsi="Aptos"/>
                <w:b/>
                <w:color w:val="16324F"/>
                <w:sz w:val="16"/>
              </w:rPr>
              <w:t>Actor/subject layer</w:t>
            </w:r>
          </w:p>
        </w:tc>
        <w:tc>
          <w:tcPr>
            <w:tcW w:type="dxa" w:w="3888"/>
            <w:shd w:fill="D9EAF7"/>
            <w:vAlign w:val="center"/>
          </w:tcPr>
          <w:p>
            <w:r/>
            <w:r>
              <w:rPr>
                <w:rFonts w:ascii="Aptos" w:hAnsi="Aptos"/>
                <w:b/>
                <w:color w:val="16324F"/>
                <w:sz w:val="16"/>
              </w:rPr>
              <w:t>May hold interests or authority over</w:t>
            </w:r>
          </w:p>
        </w:tc>
        <w:tc>
          <w:tcPr>
            <w:tcW w:type="dxa" w:w="3888"/>
            <w:shd w:fill="D9EAF7"/>
            <w:vAlign w:val="center"/>
          </w:tcPr>
          <w:p>
            <w:r/>
            <w:r>
              <w:rPr>
                <w:rFonts w:ascii="Aptos" w:hAnsi="Aptos"/>
                <w:b/>
                <w:color w:val="16324F"/>
                <w:sz w:val="16"/>
              </w:rPr>
              <w:t>Core uncertainty</w:t>
            </w:r>
          </w:p>
        </w:tc>
      </w:tr>
      <w:tr>
        <w:tc>
          <w:tcPr>
            <w:tcW w:type="dxa" w:w="2304"/>
            <w:vAlign w:val="center"/>
          </w:tcPr>
          <w:p>
            <w:r/>
            <w:r>
              <w:rPr>
                <w:rFonts w:ascii="Aptos" w:hAnsi="Aptos"/>
                <w:b w:val="0"/>
                <w:sz w:val="15"/>
              </w:rPr>
              <w:t>Individual organism or person</w:t>
            </w:r>
          </w:p>
        </w:tc>
        <w:tc>
          <w:tcPr>
            <w:tcW w:type="dxa" w:w="3888"/>
            <w:vAlign w:val="center"/>
          </w:tcPr>
          <w:p>
            <w:r/>
            <w:r>
              <w:rPr>
                <w:rFonts w:ascii="Aptos" w:hAnsi="Aptos"/>
                <w:b w:val="0"/>
                <w:sz w:val="15"/>
              </w:rPr>
              <w:t>Self-related data, communications, body, identity</w:t>
            </w:r>
          </w:p>
        </w:tc>
        <w:tc>
          <w:tcPr>
            <w:tcW w:type="dxa" w:w="3888"/>
            <w:vAlign w:val="center"/>
          </w:tcPr>
          <w:p>
            <w:r/>
            <w:r>
              <w:rPr>
                <w:rFonts w:ascii="Aptos" w:hAnsi="Aptos"/>
                <w:b w:val="0"/>
                <w:sz w:val="15"/>
              </w:rPr>
              <w:t>Whether an individual concept exists or persists</w:t>
            </w:r>
          </w:p>
        </w:tc>
      </w:tr>
      <w:tr>
        <w:tc>
          <w:tcPr>
            <w:tcW w:type="dxa" w:w="2304"/>
            <w:vAlign w:val="center"/>
          </w:tcPr>
          <w:p>
            <w:r/>
            <w:r>
              <w:rPr>
                <w:rFonts w:ascii="Aptos" w:hAnsi="Aptos"/>
                <w:b w:val="0"/>
                <w:sz w:val="15"/>
              </w:rPr>
              <w:t>Population / community</w:t>
            </w:r>
          </w:p>
        </w:tc>
        <w:tc>
          <w:tcPr>
            <w:tcW w:type="dxa" w:w="3888"/>
            <w:vAlign w:val="center"/>
          </w:tcPr>
          <w:p>
            <w:r/>
            <w:r>
              <w:rPr>
                <w:rFonts w:ascii="Aptos" w:hAnsi="Aptos"/>
                <w:b w:val="0"/>
                <w:sz w:val="15"/>
              </w:rPr>
              <w:t>Collective knowledge, practices, local environment</w:t>
            </w:r>
          </w:p>
        </w:tc>
        <w:tc>
          <w:tcPr>
            <w:tcW w:type="dxa" w:w="3888"/>
            <w:vAlign w:val="center"/>
          </w:tcPr>
          <w:p>
            <w:r/>
            <w:r>
              <w:rPr>
                <w:rFonts w:ascii="Aptos" w:hAnsi="Aptos"/>
                <w:b w:val="0"/>
                <w:sz w:val="15"/>
              </w:rPr>
              <w:t>Membership and dissent</w:t>
            </w:r>
          </w:p>
        </w:tc>
      </w:tr>
      <w:tr>
        <w:tc>
          <w:tcPr>
            <w:tcW w:type="dxa" w:w="2304"/>
            <w:vAlign w:val="center"/>
          </w:tcPr>
          <w:p>
            <w:r/>
            <w:r>
              <w:rPr>
                <w:rFonts w:ascii="Aptos" w:hAnsi="Aptos"/>
                <w:b w:val="0"/>
                <w:sz w:val="15"/>
              </w:rPr>
              <w:t>Political institution</w:t>
            </w:r>
          </w:p>
        </w:tc>
        <w:tc>
          <w:tcPr>
            <w:tcW w:type="dxa" w:w="3888"/>
            <w:vAlign w:val="center"/>
          </w:tcPr>
          <w:p>
            <w:r/>
            <w:r>
              <w:rPr>
                <w:rFonts w:ascii="Aptos" w:hAnsi="Aptos"/>
                <w:b w:val="0"/>
                <w:sz w:val="15"/>
              </w:rPr>
              <w:t>Delegated governance or security information</w:t>
            </w:r>
          </w:p>
        </w:tc>
        <w:tc>
          <w:tcPr>
            <w:tcW w:type="dxa" w:w="3888"/>
            <w:vAlign w:val="center"/>
          </w:tcPr>
          <w:p>
            <w:r/>
            <w:r>
              <w:rPr>
                <w:rFonts w:ascii="Aptos" w:hAnsi="Aptos"/>
                <w:b w:val="0"/>
                <w:sz w:val="15"/>
              </w:rPr>
              <w:t>Scope and legitimacy of mandate</w:t>
            </w:r>
          </w:p>
        </w:tc>
      </w:tr>
      <w:tr>
        <w:tc>
          <w:tcPr>
            <w:tcW w:type="dxa" w:w="2304"/>
            <w:vAlign w:val="center"/>
          </w:tcPr>
          <w:p>
            <w:r/>
            <w:r>
              <w:rPr>
                <w:rFonts w:ascii="Aptos" w:hAnsi="Aptos"/>
                <w:b w:val="0"/>
                <w:sz w:val="15"/>
              </w:rPr>
              <w:t>Civilization / society</w:t>
            </w:r>
          </w:p>
        </w:tc>
        <w:tc>
          <w:tcPr>
            <w:tcW w:type="dxa" w:w="3888"/>
            <w:vAlign w:val="center"/>
          </w:tcPr>
          <w:p>
            <w:r/>
            <w:r>
              <w:rPr>
                <w:rFonts w:ascii="Aptos" w:hAnsi="Aptos"/>
                <w:b w:val="0"/>
                <w:sz w:val="15"/>
              </w:rPr>
              <w:t>Shared infrastructure or negotiated common interests</w:t>
            </w:r>
          </w:p>
        </w:tc>
        <w:tc>
          <w:tcPr>
            <w:tcW w:type="dxa" w:w="3888"/>
            <w:vAlign w:val="center"/>
          </w:tcPr>
          <w:p>
            <w:r/>
            <w:r>
              <w:rPr>
                <w:rFonts w:ascii="Aptos" w:hAnsi="Aptos"/>
                <w:b w:val="0"/>
                <w:sz w:val="15"/>
              </w:rPr>
              <w:t>Whether a unified will exists</w:t>
            </w:r>
          </w:p>
        </w:tc>
      </w:tr>
      <w:tr>
        <w:tc>
          <w:tcPr>
            <w:tcW w:type="dxa" w:w="2304"/>
            <w:vAlign w:val="center"/>
          </w:tcPr>
          <w:p>
            <w:r/>
            <w:r>
              <w:rPr>
                <w:rFonts w:ascii="Aptos" w:hAnsi="Aptos"/>
                <w:b w:val="0"/>
                <w:sz w:val="15"/>
              </w:rPr>
              <w:t>Biological species</w:t>
            </w:r>
          </w:p>
        </w:tc>
        <w:tc>
          <w:tcPr>
            <w:tcW w:type="dxa" w:w="3888"/>
            <w:vAlign w:val="center"/>
          </w:tcPr>
          <w:p>
            <w:r/>
            <w:r>
              <w:rPr>
                <w:rFonts w:ascii="Aptos" w:hAnsi="Aptos"/>
                <w:b w:val="0"/>
                <w:sz w:val="15"/>
              </w:rPr>
              <w:t>Species-wide biological/ecological information</w:t>
            </w:r>
          </w:p>
        </w:tc>
        <w:tc>
          <w:tcPr>
            <w:tcW w:type="dxa" w:w="3888"/>
            <w:vAlign w:val="center"/>
          </w:tcPr>
          <w:p>
            <w:r/>
            <w:r>
              <w:rPr>
                <w:rFonts w:ascii="Aptos" w:hAnsi="Aptos"/>
                <w:b w:val="0"/>
                <w:sz w:val="15"/>
              </w:rPr>
              <w:t>Species is not inherently a political actor</w:t>
            </w:r>
          </w:p>
        </w:tc>
      </w:tr>
      <w:tr>
        <w:tc>
          <w:tcPr>
            <w:tcW w:type="dxa" w:w="2304"/>
            <w:vAlign w:val="center"/>
          </w:tcPr>
          <w:p>
            <w:r/>
            <w:r>
              <w:rPr>
                <w:rFonts w:ascii="Aptos" w:hAnsi="Aptos"/>
                <w:b w:val="0"/>
                <w:sz w:val="15"/>
              </w:rPr>
              <w:t>Artificial agent / machine collective</w:t>
            </w:r>
          </w:p>
        </w:tc>
        <w:tc>
          <w:tcPr>
            <w:tcW w:type="dxa" w:w="3888"/>
            <w:vAlign w:val="center"/>
          </w:tcPr>
          <w:p>
            <w:r/>
            <w:r>
              <w:rPr>
                <w:rFonts w:ascii="Aptos" w:hAnsi="Aptos"/>
                <w:b w:val="0"/>
                <w:sz w:val="15"/>
              </w:rPr>
              <w:t>Model state, identity, computational resources</w:t>
            </w:r>
          </w:p>
        </w:tc>
        <w:tc>
          <w:tcPr>
            <w:tcW w:type="dxa" w:w="3888"/>
            <w:vAlign w:val="center"/>
          </w:tcPr>
          <w:p>
            <w:r/>
            <w:r>
              <w:rPr>
                <w:rFonts w:ascii="Aptos" w:hAnsi="Aptos"/>
                <w:b w:val="0"/>
                <w:sz w:val="15"/>
              </w:rPr>
              <w:t>Standing, continuity and delegation</w:t>
            </w:r>
          </w:p>
        </w:tc>
      </w:tr>
      <w:tr>
        <w:tc>
          <w:tcPr>
            <w:tcW w:type="dxa" w:w="2304"/>
            <w:vAlign w:val="center"/>
          </w:tcPr>
          <w:p>
            <w:r/>
            <w:r>
              <w:rPr>
                <w:rFonts w:ascii="Aptos" w:hAnsi="Aptos"/>
                <w:b w:val="0"/>
                <w:sz w:val="15"/>
              </w:rPr>
              <w:t>Distributed / hive intelligence</w:t>
            </w:r>
          </w:p>
        </w:tc>
        <w:tc>
          <w:tcPr>
            <w:tcW w:type="dxa" w:w="3888"/>
            <w:vAlign w:val="center"/>
          </w:tcPr>
          <w:p>
            <w:r/>
            <w:r>
              <w:rPr>
                <w:rFonts w:ascii="Aptos" w:hAnsi="Aptos"/>
                <w:b w:val="0"/>
                <w:sz w:val="15"/>
              </w:rPr>
              <w:t>Collective state that may not map to individuals</w:t>
            </w:r>
          </w:p>
        </w:tc>
        <w:tc>
          <w:tcPr>
            <w:tcW w:type="dxa" w:w="3888"/>
            <w:vAlign w:val="center"/>
          </w:tcPr>
          <w:p>
            <w:r/>
            <w:r>
              <w:rPr>
                <w:rFonts w:ascii="Aptos" w:hAnsi="Aptos"/>
                <w:b w:val="0"/>
                <w:sz w:val="15"/>
              </w:rPr>
              <w:t>Where the subject boundary exists</w:t>
            </w:r>
          </w:p>
        </w:tc>
      </w:tr>
      <w:tr>
        <w:tc>
          <w:tcPr>
            <w:tcW w:type="dxa" w:w="2304"/>
            <w:vAlign w:val="center"/>
          </w:tcPr>
          <w:p>
            <w:r/>
            <w:r>
              <w:rPr>
                <w:rFonts w:ascii="Aptos" w:hAnsi="Aptos"/>
                <w:b w:val="0"/>
                <w:sz w:val="15"/>
              </w:rPr>
              <w:t>Ecosystem / ecological collective</w:t>
            </w:r>
          </w:p>
        </w:tc>
        <w:tc>
          <w:tcPr>
            <w:tcW w:type="dxa" w:w="3888"/>
            <w:vAlign w:val="center"/>
          </w:tcPr>
          <w:p>
            <w:r/>
            <w:r>
              <w:rPr>
                <w:rFonts w:ascii="Aptos" w:hAnsi="Aptos"/>
                <w:b w:val="0"/>
                <w:sz w:val="15"/>
              </w:rPr>
              <w:t>Habitat-linked and relational data</w:t>
            </w:r>
          </w:p>
        </w:tc>
        <w:tc>
          <w:tcPr>
            <w:tcW w:type="dxa" w:w="3888"/>
            <w:vAlign w:val="center"/>
          </w:tcPr>
          <w:p>
            <w:r/>
            <w:r>
              <w:rPr>
                <w:rFonts w:ascii="Aptos" w:hAnsi="Aptos"/>
                <w:b w:val="0"/>
                <w:sz w:val="15"/>
              </w:rPr>
              <w:t>Standing and representation are contested</w:t>
            </w:r>
          </w:p>
        </w:tc>
      </w:tr>
      <w:tr>
        <w:tc>
          <w:tcPr>
            <w:tcW w:type="dxa" w:w="2304"/>
            <w:vAlign w:val="center"/>
          </w:tcPr>
          <w:p>
            <w:r/>
            <w:r>
              <w:rPr>
                <w:rFonts w:ascii="Aptos" w:hAnsi="Aptos"/>
                <w:b w:val="0"/>
                <w:sz w:val="15"/>
              </w:rPr>
              <w:t>Future / absent stakeholders</w:t>
            </w:r>
          </w:p>
        </w:tc>
        <w:tc>
          <w:tcPr>
            <w:tcW w:type="dxa" w:w="3888"/>
            <w:vAlign w:val="center"/>
          </w:tcPr>
          <w:p>
            <w:r/>
            <w:r>
              <w:rPr>
                <w:rFonts w:ascii="Aptos" w:hAnsi="Aptos"/>
                <w:b w:val="0"/>
                <w:sz w:val="15"/>
              </w:rPr>
              <w:t>Irreversible disclosures affecting later actors</w:t>
            </w:r>
          </w:p>
        </w:tc>
        <w:tc>
          <w:tcPr>
            <w:tcW w:type="dxa" w:w="3888"/>
            <w:vAlign w:val="center"/>
          </w:tcPr>
          <w:p>
            <w:r/>
            <w:r>
              <w:rPr>
                <w:rFonts w:ascii="Aptos" w:hAnsi="Aptos"/>
                <w:b w:val="0"/>
                <w:sz w:val="15"/>
              </w:rPr>
              <w:t>No direct contemporaneous representation</w:t>
            </w:r>
          </w:p>
        </w:tc>
      </w:tr>
      <w:tr>
        <w:tc>
          <w:tcPr>
            <w:tcW w:type="dxa" w:w="2304"/>
            <w:vAlign w:val="center"/>
          </w:tcPr>
          <w:p>
            <w:r/>
            <w:r>
              <w:rPr>
                <w:rFonts w:ascii="Aptos" w:hAnsi="Aptos"/>
                <w:b w:val="0"/>
                <w:sz w:val="15"/>
              </w:rPr>
              <w:t>Unknown entity</w:t>
            </w:r>
          </w:p>
        </w:tc>
        <w:tc>
          <w:tcPr>
            <w:tcW w:type="dxa" w:w="3888"/>
            <w:vAlign w:val="center"/>
          </w:tcPr>
          <w:p>
            <w:r/>
            <w:r>
              <w:rPr>
                <w:rFonts w:ascii="Aptos" w:hAnsi="Aptos"/>
                <w:b w:val="0"/>
                <w:sz w:val="15"/>
              </w:rPr>
              <w:t>Unclassified information relationship</w:t>
            </w:r>
          </w:p>
        </w:tc>
        <w:tc>
          <w:tcPr>
            <w:tcW w:type="dxa" w:w="3888"/>
            <w:vAlign w:val="center"/>
          </w:tcPr>
          <w:p>
            <w:r/>
            <w:r>
              <w:rPr>
                <w:rFonts w:ascii="Aptos" w:hAnsi="Aptos"/>
                <w:b w:val="0"/>
                <w:sz w:val="15"/>
              </w:rPr>
              <w:t>Identity, agency and risk not yet established</w:t>
            </w:r>
          </w:p>
        </w:tc>
      </w:tr>
    </w:tbl>
    <w:p/>
    <w:p>
      <w:r>
        <w:t>This taxonomy deliberately does not assign equal moral standing to every category. It prevents SLIAP from silently deciding that only entities fitting a familiar person/government model qualify for analysis.</w:t>
      </w:r>
    </w:p>
    <w:p>
      <w:pPr>
        <w:pStyle w:val="Heading1"/>
      </w:pPr>
      <w:r>
        <w:t>6. Information Is a Relationship, Not Merely an Object</w:t>
      </w:r>
    </w:p>
    <w:p>
      <w:r>
        <w:t>PROPOSED: an SLIAP information object should be recorded together with its relational context. A genomic sequence, behavioral model, planetary location, cultural archive, translation map, or scientific principle can implicate different parties even when the bits are identical.</w:t>
      </w:r>
    </w:p>
    <w:p>
      <w:r>
        <w:rPr>
          <w:b/>
          <w:color w:val="2F5597"/>
          <w:sz w:val="20"/>
        </w:rPr>
        <w:t>Table 5. Minimum information-object metadata</w:t>
      </w:r>
    </w:p>
    <w:tbl>
      <w:tblPr>
        <w:tblStyle w:val="TableGrid"/>
        <w:tblW w:type="auto" w:w="0"/>
        <w:jc w:val="center"/>
        <w:tblLook w:firstColumn="1" w:firstRow="1" w:lastColumn="0" w:lastRow="0" w:noHBand="0" w:noVBand="1" w:val="04A0"/>
      </w:tblPr>
      <w:tblGrid>
        <w:gridCol w:w="5040"/>
        <w:gridCol w:w="5040"/>
      </w:tblGrid>
      <w:tr>
        <w:tc>
          <w:tcPr>
            <w:tcW w:type="dxa" w:w="2016"/>
            <w:shd w:fill="D9EAF7"/>
            <w:vAlign w:val="center"/>
          </w:tcPr>
          <w:p>
            <w:r/>
            <w:r>
              <w:rPr>
                <w:rFonts w:ascii="Aptos" w:hAnsi="Aptos"/>
                <w:b/>
                <w:color w:val="16324F"/>
                <w:sz w:val="16"/>
              </w:rPr>
              <w:t>Dimension</w:t>
            </w:r>
          </w:p>
        </w:tc>
        <w:tc>
          <w:tcPr>
            <w:tcW w:type="dxa" w:w="8352"/>
            <w:shd w:fill="D9EAF7"/>
            <w:vAlign w:val="center"/>
          </w:tcPr>
          <w:p>
            <w:r/>
            <w:r>
              <w:rPr>
                <w:rFonts w:ascii="Aptos" w:hAnsi="Aptos"/>
                <w:b/>
                <w:color w:val="16324F"/>
                <w:sz w:val="16"/>
              </w:rPr>
              <w:t>Research question</w:t>
            </w:r>
          </w:p>
        </w:tc>
      </w:tr>
      <w:tr>
        <w:tc>
          <w:tcPr>
            <w:tcW w:type="dxa" w:w="2016"/>
            <w:vAlign w:val="center"/>
          </w:tcPr>
          <w:p>
            <w:r/>
            <w:r>
              <w:rPr>
                <w:rFonts w:ascii="Aptos" w:hAnsi="Aptos"/>
                <w:b w:val="0"/>
                <w:sz w:val="15"/>
              </w:rPr>
              <w:t>Origin</w:t>
            </w:r>
          </w:p>
        </w:tc>
        <w:tc>
          <w:tcPr>
            <w:tcW w:type="dxa" w:w="8352"/>
            <w:vAlign w:val="center"/>
          </w:tcPr>
          <w:p>
            <w:r/>
            <w:r>
              <w:rPr>
                <w:rFonts w:ascii="Aptos" w:hAnsi="Aptos"/>
                <w:b w:val="0"/>
                <w:sz w:val="15"/>
              </w:rPr>
              <w:t>Where or from whom did the information arise?</w:t>
            </w:r>
          </w:p>
        </w:tc>
      </w:tr>
      <w:tr>
        <w:tc>
          <w:tcPr>
            <w:tcW w:type="dxa" w:w="2016"/>
            <w:vAlign w:val="center"/>
          </w:tcPr>
          <w:p>
            <w:r/>
            <w:r>
              <w:rPr>
                <w:rFonts w:ascii="Aptos" w:hAnsi="Aptos"/>
                <w:b w:val="0"/>
                <w:sz w:val="15"/>
              </w:rPr>
              <w:t>Subject</w:t>
            </w:r>
          </w:p>
        </w:tc>
        <w:tc>
          <w:tcPr>
            <w:tcW w:type="dxa" w:w="8352"/>
            <w:vAlign w:val="center"/>
          </w:tcPr>
          <w:p>
            <w:r/>
            <w:r>
              <w:rPr>
                <w:rFonts w:ascii="Aptos" w:hAnsi="Aptos"/>
                <w:b w:val="0"/>
                <w:sz w:val="15"/>
              </w:rPr>
              <w:t>Who or what is described, modeled, located, predicted, or exposed?</w:t>
            </w:r>
          </w:p>
        </w:tc>
      </w:tr>
      <w:tr>
        <w:tc>
          <w:tcPr>
            <w:tcW w:type="dxa" w:w="2016"/>
            <w:vAlign w:val="center"/>
          </w:tcPr>
          <w:p>
            <w:r/>
            <w:r>
              <w:rPr>
                <w:rFonts w:ascii="Aptos" w:hAnsi="Aptos"/>
                <w:b w:val="0"/>
                <w:sz w:val="15"/>
              </w:rPr>
              <w:t>Collector</w:t>
            </w:r>
          </w:p>
        </w:tc>
        <w:tc>
          <w:tcPr>
            <w:tcW w:type="dxa" w:w="8352"/>
            <w:vAlign w:val="center"/>
          </w:tcPr>
          <w:p>
            <w:r/>
            <w:r>
              <w:rPr>
                <w:rFonts w:ascii="Aptos" w:hAnsi="Aptos"/>
                <w:b w:val="0"/>
                <w:sz w:val="15"/>
              </w:rPr>
              <w:t>Who observed or acquired it, and by what authority?</w:t>
            </w:r>
          </w:p>
        </w:tc>
      </w:tr>
      <w:tr>
        <w:tc>
          <w:tcPr>
            <w:tcW w:type="dxa" w:w="2016"/>
            <w:vAlign w:val="center"/>
          </w:tcPr>
          <w:p>
            <w:r/>
            <w:r>
              <w:rPr>
                <w:rFonts w:ascii="Aptos" w:hAnsi="Aptos"/>
                <w:b w:val="0"/>
                <w:sz w:val="15"/>
              </w:rPr>
              <w:t>Transformer</w:t>
            </w:r>
          </w:p>
        </w:tc>
        <w:tc>
          <w:tcPr>
            <w:tcW w:type="dxa" w:w="8352"/>
            <w:vAlign w:val="center"/>
          </w:tcPr>
          <w:p>
            <w:r/>
            <w:r>
              <w:rPr>
                <w:rFonts w:ascii="Aptos" w:hAnsi="Aptos"/>
                <w:b w:val="0"/>
                <w:sz w:val="15"/>
              </w:rPr>
              <w:t>Who translated, summarized, inferred, simulated, or recombined it?</w:t>
            </w:r>
          </w:p>
        </w:tc>
      </w:tr>
      <w:tr>
        <w:tc>
          <w:tcPr>
            <w:tcW w:type="dxa" w:w="2016"/>
            <w:vAlign w:val="center"/>
          </w:tcPr>
          <w:p>
            <w:r/>
            <w:r>
              <w:rPr>
                <w:rFonts w:ascii="Aptos" w:hAnsi="Aptos"/>
                <w:b w:val="0"/>
                <w:sz w:val="15"/>
              </w:rPr>
              <w:t>Custodian</w:t>
            </w:r>
          </w:p>
        </w:tc>
        <w:tc>
          <w:tcPr>
            <w:tcW w:type="dxa" w:w="8352"/>
            <w:vAlign w:val="center"/>
          </w:tcPr>
          <w:p>
            <w:r/>
            <w:r>
              <w:rPr>
                <w:rFonts w:ascii="Aptos" w:hAnsi="Aptos"/>
                <w:b w:val="0"/>
                <w:sz w:val="15"/>
              </w:rPr>
              <w:t>Who currently controls transmission or access?</w:t>
            </w:r>
          </w:p>
        </w:tc>
      </w:tr>
      <w:tr>
        <w:tc>
          <w:tcPr>
            <w:tcW w:type="dxa" w:w="2016"/>
            <w:vAlign w:val="center"/>
          </w:tcPr>
          <w:p>
            <w:r/>
            <w:r>
              <w:rPr>
                <w:rFonts w:ascii="Aptos" w:hAnsi="Aptos"/>
                <w:b w:val="0"/>
                <w:sz w:val="15"/>
              </w:rPr>
              <w:t>Purpose</w:t>
            </w:r>
          </w:p>
        </w:tc>
        <w:tc>
          <w:tcPr>
            <w:tcW w:type="dxa" w:w="8352"/>
            <w:vAlign w:val="center"/>
          </w:tcPr>
          <w:p>
            <w:r/>
            <w:r>
              <w:rPr>
                <w:rFonts w:ascii="Aptos" w:hAnsi="Aptos"/>
                <w:b w:val="0"/>
                <w:sz w:val="15"/>
              </w:rPr>
              <w:t>What use is being requested or inferred?</w:t>
            </w:r>
          </w:p>
        </w:tc>
      </w:tr>
      <w:tr>
        <w:tc>
          <w:tcPr>
            <w:tcW w:type="dxa" w:w="2016"/>
            <w:vAlign w:val="center"/>
          </w:tcPr>
          <w:p>
            <w:r/>
            <w:r>
              <w:rPr>
                <w:rFonts w:ascii="Aptos" w:hAnsi="Aptos"/>
                <w:b w:val="0"/>
                <w:sz w:val="15"/>
              </w:rPr>
              <w:t>Affected parties</w:t>
            </w:r>
          </w:p>
        </w:tc>
        <w:tc>
          <w:tcPr>
            <w:tcW w:type="dxa" w:w="8352"/>
            <w:vAlign w:val="center"/>
          </w:tcPr>
          <w:p>
            <w:r/>
            <w:r>
              <w:rPr>
                <w:rFonts w:ascii="Aptos" w:hAnsi="Aptos"/>
                <w:b w:val="0"/>
                <w:sz w:val="15"/>
              </w:rPr>
              <w:t>Who may experience material, political, cognitive, ecological, or informational consequences?</w:t>
            </w:r>
          </w:p>
        </w:tc>
      </w:tr>
      <w:tr>
        <w:tc>
          <w:tcPr>
            <w:tcW w:type="dxa" w:w="2016"/>
            <w:vAlign w:val="center"/>
          </w:tcPr>
          <w:p>
            <w:r/>
            <w:r>
              <w:rPr>
                <w:rFonts w:ascii="Aptos" w:hAnsi="Aptos"/>
                <w:b w:val="0"/>
                <w:sz w:val="15"/>
              </w:rPr>
              <w:t>Reversibility</w:t>
            </w:r>
          </w:p>
        </w:tc>
        <w:tc>
          <w:tcPr>
            <w:tcW w:type="dxa" w:w="8352"/>
            <w:vAlign w:val="center"/>
          </w:tcPr>
          <w:p>
            <w:r/>
            <w:r>
              <w:rPr>
                <w:rFonts w:ascii="Aptos" w:hAnsi="Aptos"/>
                <w:b w:val="0"/>
                <w:sz w:val="15"/>
              </w:rPr>
              <w:t>Can exposure, copying or downstream inference meaningfully be undone?</w:t>
            </w:r>
          </w:p>
        </w:tc>
      </w:tr>
      <w:tr>
        <w:tc>
          <w:tcPr>
            <w:tcW w:type="dxa" w:w="2016"/>
            <w:vAlign w:val="center"/>
          </w:tcPr>
          <w:p>
            <w:r/>
            <w:r>
              <w:rPr>
                <w:rFonts w:ascii="Aptos" w:hAnsi="Aptos"/>
                <w:b w:val="0"/>
                <w:sz w:val="15"/>
              </w:rPr>
              <w:t>Uncertainty</w:t>
            </w:r>
          </w:p>
        </w:tc>
        <w:tc>
          <w:tcPr>
            <w:tcW w:type="dxa" w:w="8352"/>
            <w:vAlign w:val="center"/>
          </w:tcPr>
          <w:p>
            <w:r/>
            <w:r>
              <w:rPr>
                <w:rFonts w:ascii="Aptos" w:hAnsi="Aptos"/>
                <w:b w:val="0"/>
                <w:sz w:val="15"/>
              </w:rPr>
              <w:t>What is unknown about semantics, authority, capability, and consequence?</w:t>
            </w:r>
          </w:p>
        </w:tc>
      </w:tr>
    </w:tbl>
    <w:p/>
    <w:p>
      <w:pPr>
        <w:pStyle w:val="Heading1"/>
      </w:pPr>
      <w:r>
        <w:t>7. Consent, Representation, and Refusal</w:t>
      </w:r>
    </w:p>
    <w:p>
      <w:r>
        <w:t>Consent should not be represented by one Boolean field. The attached responses repeatedly distinguish communication, observation, collection, storage, analysis, and redistribution, and emphasize that an entire species may not have a legitimate single representative. [SRC-A]</w:t>
      </w:r>
    </w:p>
    <w:p>
      <w:r>
        <w:rPr>
          <w:b/>
          <w:color w:val="2F5597"/>
          <w:sz w:val="20"/>
        </w:rPr>
        <w:t>Table 6. Proposed consent-state model</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D9EAF7"/>
            <w:vAlign w:val="center"/>
          </w:tcPr>
          <w:p>
            <w:r/>
            <w:r>
              <w:rPr>
                <w:rFonts w:ascii="Aptos" w:hAnsi="Aptos"/>
                <w:b/>
                <w:color w:val="16324F"/>
                <w:sz w:val="16"/>
              </w:rPr>
              <w:t>State</w:t>
            </w:r>
          </w:p>
        </w:tc>
        <w:tc>
          <w:tcPr>
            <w:tcW w:type="dxa" w:w="4968"/>
            <w:shd w:fill="D9EAF7"/>
            <w:vAlign w:val="center"/>
          </w:tcPr>
          <w:p>
            <w:r/>
            <w:r>
              <w:rPr>
                <w:rFonts w:ascii="Aptos" w:hAnsi="Aptos"/>
                <w:b/>
                <w:color w:val="16324F"/>
                <w:sz w:val="16"/>
              </w:rPr>
              <w:t>Meaning</w:t>
            </w:r>
          </w:p>
        </w:tc>
        <w:tc>
          <w:tcPr>
            <w:tcW w:type="dxa" w:w="3600"/>
            <w:shd w:fill="D9EAF7"/>
            <w:vAlign w:val="center"/>
          </w:tcPr>
          <w:p>
            <w:r/>
            <w:r>
              <w:rPr>
                <w:rFonts w:ascii="Aptos" w:hAnsi="Aptos"/>
                <w:b/>
                <w:color w:val="16324F"/>
                <w:sz w:val="16"/>
              </w:rPr>
              <w:t>Permitted default</w:t>
            </w:r>
          </w:p>
        </w:tc>
      </w:tr>
      <w:tr>
        <w:tc>
          <w:tcPr>
            <w:tcW w:type="dxa" w:w="1800"/>
            <w:vAlign w:val="center"/>
          </w:tcPr>
          <w:p>
            <w:r/>
            <w:r>
              <w:rPr>
                <w:rFonts w:ascii="Aptos" w:hAnsi="Aptos"/>
                <w:b w:val="0"/>
                <w:sz w:val="15"/>
              </w:rPr>
              <w:t>Verified</w:t>
            </w:r>
          </w:p>
        </w:tc>
        <w:tc>
          <w:tcPr>
            <w:tcW w:type="dxa" w:w="4968"/>
            <w:vAlign w:val="center"/>
          </w:tcPr>
          <w:p>
            <w:r/>
            <w:r>
              <w:rPr>
                <w:rFonts w:ascii="Aptos" w:hAnsi="Aptos"/>
                <w:b w:val="0"/>
                <w:sz w:val="15"/>
              </w:rPr>
              <w:t>Evidence supports informed authority for the specific action</w:t>
            </w:r>
          </w:p>
        </w:tc>
        <w:tc>
          <w:tcPr>
            <w:tcW w:type="dxa" w:w="3600"/>
            <w:vAlign w:val="center"/>
          </w:tcPr>
          <w:p>
            <w:r/>
            <w:r>
              <w:rPr>
                <w:rFonts w:ascii="Aptos" w:hAnsi="Aptos"/>
                <w:b w:val="0"/>
                <w:sz w:val="15"/>
              </w:rPr>
              <w:t>Proceed only within scope and conditions</w:t>
            </w:r>
          </w:p>
        </w:tc>
      </w:tr>
      <w:tr>
        <w:tc>
          <w:tcPr>
            <w:tcW w:type="dxa" w:w="1800"/>
            <w:vAlign w:val="center"/>
          </w:tcPr>
          <w:p>
            <w:r/>
            <w:r>
              <w:rPr>
                <w:rFonts w:ascii="Aptos" w:hAnsi="Aptos"/>
                <w:b w:val="0"/>
                <w:sz w:val="15"/>
              </w:rPr>
              <w:t>Conditional</w:t>
            </w:r>
          </w:p>
        </w:tc>
        <w:tc>
          <w:tcPr>
            <w:tcW w:type="dxa" w:w="4968"/>
            <w:vAlign w:val="center"/>
          </w:tcPr>
          <w:p>
            <w:r/>
            <w:r>
              <w:rPr>
                <w:rFonts w:ascii="Aptos" w:hAnsi="Aptos"/>
                <w:b w:val="0"/>
                <w:sz w:val="15"/>
              </w:rPr>
              <w:t>Permission exists under stated purpose, time, transformation, or recipient limits</w:t>
            </w:r>
          </w:p>
        </w:tc>
        <w:tc>
          <w:tcPr>
            <w:tcW w:type="dxa" w:w="3600"/>
            <w:vAlign w:val="center"/>
          </w:tcPr>
          <w:p>
            <w:r/>
            <w:r>
              <w:rPr>
                <w:rFonts w:ascii="Aptos" w:hAnsi="Aptos"/>
                <w:b w:val="0"/>
                <w:sz w:val="15"/>
              </w:rPr>
              <w:t>Proceed subject to controls</w:t>
            </w:r>
          </w:p>
        </w:tc>
      </w:tr>
      <w:tr>
        <w:tc>
          <w:tcPr>
            <w:tcW w:type="dxa" w:w="1800"/>
            <w:vAlign w:val="center"/>
          </w:tcPr>
          <w:p>
            <w:r/>
            <w:r>
              <w:rPr>
                <w:rFonts w:ascii="Aptos" w:hAnsi="Aptos"/>
                <w:b w:val="0"/>
                <w:sz w:val="15"/>
              </w:rPr>
              <w:t>Contested</w:t>
            </w:r>
          </w:p>
        </w:tc>
        <w:tc>
          <w:tcPr>
            <w:tcW w:type="dxa" w:w="4968"/>
            <w:vAlign w:val="center"/>
          </w:tcPr>
          <w:p>
            <w:r/>
            <w:r>
              <w:rPr>
                <w:rFonts w:ascii="Aptos" w:hAnsi="Aptos"/>
                <w:b w:val="0"/>
                <w:sz w:val="15"/>
              </w:rPr>
              <w:t>Multiple plausible authorities or affected parties disagree</w:t>
            </w:r>
          </w:p>
        </w:tc>
        <w:tc>
          <w:tcPr>
            <w:tcW w:type="dxa" w:w="3600"/>
            <w:vAlign w:val="center"/>
          </w:tcPr>
          <w:p>
            <w:r/>
            <w:r>
              <w:rPr>
                <w:rFonts w:ascii="Aptos" w:hAnsi="Aptos"/>
                <w:b w:val="0"/>
                <w:sz w:val="15"/>
              </w:rPr>
              <w:t>Defer or negotiate</w:t>
            </w:r>
          </w:p>
        </w:tc>
      </w:tr>
      <w:tr>
        <w:tc>
          <w:tcPr>
            <w:tcW w:type="dxa" w:w="1800"/>
            <w:vAlign w:val="center"/>
          </w:tcPr>
          <w:p>
            <w:r/>
            <w:r>
              <w:rPr>
                <w:rFonts w:ascii="Aptos" w:hAnsi="Aptos"/>
                <w:b w:val="0"/>
                <w:sz w:val="15"/>
              </w:rPr>
              <w:t>Unknown</w:t>
            </w:r>
          </w:p>
        </w:tc>
        <w:tc>
          <w:tcPr>
            <w:tcW w:type="dxa" w:w="4968"/>
            <w:vAlign w:val="center"/>
          </w:tcPr>
          <w:p>
            <w:r/>
            <w:r>
              <w:rPr>
                <w:rFonts w:ascii="Aptos" w:hAnsi="Aptos"/>
                <w:b w:val="0"/>
                <w:sz w:val="15"/>
              </w:rPr>
              <w:t>Communication/representation insufficient to establish a state</w:t>
            </w:r>
          </w:p>
        </w:tc>
        <w:tc>
          <w:tcPr>
            <w:tcW w:type="dxa" w:w="3600"/>
            <w:vAlign w:val="center"/>
          </w:tcPr>
          <w:p>
            <w:r/>
            <w:r>
              <w:rPr>
                <w:rFonts w:ascii="Aptos" w:hAnsi="Aptos"/>
                <w:b w:val="0"/>
                <w:sz w:val="15"/>
              </w:rPr>
              <w:t>Do not convert silence into consent</w:t>
            </w:r>
          </w:p>
        </w:tc>
      </w:tr>
      <w:tr>
        <w:tc>
          <w:tcPr>
            <w:tcW w:type="dxa" w:w="1800"/>
            <w:vAlign w:val="center"/>
          </w:tcPr>
          <w:p>
            <w:r/>
            <w:r>
              <w:rPr>
                <w:rFonts w:ascii="Aptos" w:hAnsi="Aptos"/>
                <w:b w:val="0"/>
                <w:sz w:val="15"/>
              </w:rPr>
              <w:t>Refused</w:t>
            </w:r>
          </w:p>
        </w:tc>
        <w:tc>
          <w:tcPr>
            <w:tcW w:type="dxa" w:w="4968"/>
            <w:vAlign w:val="center"/>
          </w:tcPr>
          <w:p>
            <w:r/>
            <w:r>
              <w:rPr>
                <w:rFonts w:ascii="Aptos" w:hAnsi="Aptos"/>
                <w:b w:val="0"/>
                <w:sz w:val="15"/>
              </w:rPr>
              <w:t>A sufficiently legitimate subject or representative rejects the action</w:t>
            </w:r>
          </w:p>
        </w:tc>
        <w:tc>
          <w:tcPr>
            <w:tcW w:type="dxa" w:w="3600"/>
            <w:vAlign w:val="center"/>
          </w:tcPr>
          <w:p>
            <w:r/>
            <w:r>
              <w:rPr>
                <w:rFonts w:ascii="Aptos" w:hAnsi="Aptos"/>
                <w:b w:val="0"/>
                <w:sz w:val="15"/>
              </w:rPr>
              <w:t>Respect unless a separately legitimate exception is established</w:t>
            </w:r>
          </w:p>
        </w:tc>
      </w:tr>
      <w:tr>
        <w:tc>
          <w:tcPr>
            <w:tcW w:type="dxa" w:w="1800"/>
            <w:vAlign w:val="center"/>
          </w:tcPr>
          <w:p>
            <w:r/>
            <w:r>
              <w:rPr>
                <w:rFonts w:ascii="Aptos" w:hAnsi="Aptos"/>
                <w:b w:val="0"/>
                <w:sz w:val="15"/>
              </w:rPr>
              <w:t>Revoked</w:t>
            </w:r>
          </w:p>
        </w:tc>
        <w:tc>
          <w:tcPr>
            <w:tcW w:type="dxa" w:w="4968"/>
            <w:vAlign w:val="center"/>
          </w:tcPr>
          <w:p>
            <w:r/>
            <w:r>
              <w:rPr>
                <w:rFonts w:ascii="Aptos" w:hAnsi="Aptos"/>
                <w:b w:val="0"/>
                <w:sz w:val="15"/>
              </w:rPr>
              <w:t>Prior permission withdrawn</w:t>
            </w:r>
          </w:p>
        </w:tc>
        <w:tc>
          <w:tcPr>
            <w:tcW w:type="dxa" w:w="3600"/>
            <w:vAlign w:val="center"/>
          </w:tcPr>
          <w:p>
            <w:r/>
            <w:r>
              <w:rPr>
                <w:rFonts w:ascii="Aptos" w:hAnsi="Aptos"/>
                <w:b w:val="0"/>
                <w:sz w:val="15"/>
              </w:rPr>
              <w:t>Stop future controlled use where possible; acknowledge irreversibility already created</w:t>
            </w:r>
          </w:p>
        </w:tc>
      </w:tr>
      <w:tr>
        <w:tc>
          <w:tcPr>
            <w:tcW w:type="dxa" w:w="1800"/>
            <w:vAlign w:val="center"/>
          </w:tcPr>
          <w:p>
            <w:r/>
            <w:r>
              <w:rPr>
                <w:rFonts w:ascii="Aptos" w:hAnsi="Aptos"/>
                <w:b w:val="0"/>
                <w:sz w:val="15"/>
              </w:rPr>
              <w:t>Inapplicable / unresolved</w:t>
            </w:r>
          </w:p>
        </w:tc>
        <w:tc>
          <w:tcPr>
            <w:tcW w:type="dxa" w:w="4968"/>
            <w:vAlign w:val="center"/>
          </w:tcPr>
          <w:p>
            <w:r/>
            <w:r>
              <w:rPr>
                <w:rFonts w:ascii="Aptos" w:hAnsi="Aptos"/>
                <w:b w:val="0"/>
                <w:sz w:val="15"/>
              </w:rPr>
              <w:t>The concept of consent may not map coherently to this actor</w:t>
            </w:r>
          </w:p>
        </w:tc>
        <w:tc>
          <w:tcPr>
            <w:tcW w:type="dxa" w:w="3600"/>
            <w:vAlign w:val="center"/>
          </w:tcPr>
          <w:p>
            <w:r/>
            <w:r>
              <w:rPr>
                <w:rFonts w:ascii="Aptos" w:hAnsi="Aptos"/>
                <w:b w:val="0"/>
                <w:sz w:val="15"/>
              </w:rPr>
              <w:t>Escalate to epistemic research, not automatic permission</w:t>
            </w:r>
          </w:p>
        </w:tc>
      </w:tr>
    </w:tbl>
    <w:p/>
    <w:p>
      <w:r>
        <w:t>The difficult case is not simply coercion. It is semantic non-equivalence. An apparent "yes" may not mean that the receiver understands the same object, consequence, timescale, or notion of delegation. SLIAP therefore needs a mutual-comprehension test separate from consent expression.</w:t>
      </w:r>
    </w:p>
    <w:p>
      <w:pPr>
        <w:pStyle w:val="Heading1"/>
      </w:pPr>
      <w:r>
        <w:t>8. Translation and the Semantic Control Plane</w:t>
      </w:r>
    </w:p>
    <w:p>
      <w:r>
        <w:t>The team converges on translation as non-neutral. I extend that insight: translation should be treated as a governed transformation whose outputs retain links to source signals, uncertainty, alternative interpretations, and transformation history.</w:t>
      </w:r>
    </w:p>
    <w:p>
      <w:r>
        <w:t>PROPOSED semantic rule: no translation artifact should erase the distinction between source signal, statistically inferred structure, proposed semantic mapping, and confirmed pragmatic effect. A translation system that collapses these layers can accidentally convert model confidence into political authority.</w:t>
      </w:r>
    </w:p>
    <w:p>
      <w:pPr>
        <w:pStyle w:val="Heading1"/>
      </w:pPr>
      <w:r>
        <w:t>9. Capability Asymmetry Without a Civilization Ladder</w:t>
      </w:r>
    </w:p>
    <w:p>
      <w:r>
        <w:t>A single "advanced/primitive" axis is analytically weak and normatively dangerous. Capability should instead be represented as a vector whose dimensions are relevant only to the specific transaction. This avoids turning technological strength into superior moral standing.</w:t>
      </w:r>
    </w:p>
    <w:p>
      <w:r>
        <w:rPr>
          <w:b/>
          <w:color w:val="2F5597"/>
          <w:sz w:val="20"/>
        </w:rPr>
        <w:t>Table 7. Transaction-specific capability vector</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D9EAF7"/>
            <w:vAlign w:val="center"/>
          </w:tcPr>
          <w:p>
            <w:r/>
            <w:r>
              <w:rPr>
                <w:rFonts w:ascii="Aptos" w:hAnsi="Aptos"/>
                <w:b/>
                <w:color w:val="16324F"/>
                <w:sz w:val="16"/>
              </w:rPr>
              <w:t>Dimension</w:t>
            </w:r>
          </w:p>
        </w:tc>
        <w:tc>
          <w:tcPr>
            <w:tcW w:type="dxa" w:w="4464"/>
            <w:shd w:fill="D9EAF7"/>
            <w:vAlign w:val="center"/>
          </w:tcPr>
          <w:p>
            <w:r/>
            <w:r>
              <w:rPr>
                <w:rFonts w:ascii="Aptos" w:hAnsi="Aptos"/>
                <w:b/>
                <w:color w:val="16324F"/>
                <w:sz w:val="16"/>
              </w:rPr>
              <w:t>Why it matters</w:t>
            </w:r>
          </w:p>
        </w:tc>
        <w:tc>
          <w:tcPr>
            <w:tcW w:type="dxa" w:w="3960"/>
            <w:shd w:fill="D9EAF7"/>
            <w:vAlign w:val="center"/>
          </w:tcPr>
          <w:p>
            <w:r/>
            <w:r>
              <w:rPr>
                <w:rFonts w:ascii="Aptos" w:hAnsi="Aptos"/>
                <w:b/>
                <w:color w:val="16324F"/>
                <w:sz w:val="16"/>
              </w:rPr>
              <w:t>Do not infer</w:t>
            </w:r>
          </w:p>
        </w:tc>
      </w:tr>
      <w:tr>
        <w:tc>
          <w:tcPr>
            <w:tcW w:type="dxa" w:w="1944"/>
            <w:vAlign w:val="center"/>
          </w:tcPr>
          <w:p>
            <w:r/>
            <w:r>
              <w:rPr>
                <w:rFonts w:ascii="Aptos" w:hAnsi="Aptos"/>
                <w:b w:val="0"/>
                <w:sz w:val="15"/>
              </w:rPr>
              <w:t>Acquisition</w:t>
            </w:r>
          </w:p>
        </w:tc>
        <w:tc>
          <w:tcPr>
            <w:tcW w:type="dxa" w:w="4464"/>
            <w:vAlign w:val="center"/>
          </w:tcPr>
          <w:p>
            <w:r/>
            <w:r>
              <w:rPr>
                <w:rFonts w:ascii="Aptos" w:hAnsi="Aptos"/>
                <w:b w:val="0"/>
                <w:sz w:val="15"/>
              </w:rPr>
              <w:t>Ability to obtain the information independently</w:t>
            </w:r>
          </w:p>
        </w:tc>
        <w:tc>
          <w:tcPr>
            <w:tcW w:type="dxa" w:w="3960"/>
            <w:vAlign w:val="center"/>
          </w:tcPr>
          <w:p>
            <w:r/>
            <w:r>
              <w:rPr>
                <w:rFonts w:ascii="Aptos" w:hAnsi="Aptos"/>
                <w:b w:val="0"/>
                <w:sz w:val="15"/>
              </w:rPr>
              <w:t>Right to obtain it</w:t>
            </w:r>
          </w:p>
        </w:tc>
      </w:tr>
      <w:tr>
        <w:tc>
          <w:tcPr>
            <w:tcW w:type="dxa" w:w="1944"/>
            <w:vAlign w:val="center"/>
          </w:tcPr>
          <w:p>
            <w:r/>
            <w:r>
              <w:rPr>
                <w:rFonts w:ascii="Aptos" w:hAnsi="Aptos"/>
                <w:b w:val="0"/>
                <w:sz w:val="15"/>
              </w:rPr>
              <w:t>Interpretation</w:t>
            </w:r>
          </w:p>
        </w:tc>
        <w:tc>
          <w:tcPr>
            <w:tcW w:type="dxa" w:w="4464"/>
            <w:vAlign w:val="center"/>
          </w:tcPr>
          <w:p>
            <w:r/>
            <w:r>
              <w:rPr>
                <w:rFonts w:ascii="Aptos" w:hAnsi="Aptos"/>
                <w:b w:val="0"/>
                <w:sz w:val="15"/>
              </w:rPr>
              <w:t>Ability to decode or contextualize information</w:t>
            </w:r>
          </w:p>
        </w:tc>
        <w:tc>
          <w:tcPr>
            <w:tcW w:type="dxa" w:w="3960"/>
            <w:vAlign w:val="center"/>
          </w:tcPr>
          <w:p>
            <w:r/>
            <w:r>
              <w:rPr>
                <w:rFonts w:ascii="Aptos" w:hAnsi="Aptos"/>
                <w:b w:val="0"/>
                <w:sz w:val="15"/>
              </w:rPr>
              <w:t>Moral or political superiority</w:t>
            </w:r>
          </w:p>
        </w:tc>
      </w:tr>
      <w:tr>
        <w:tc>
          <w:tcPr>
            <w:tcW w:type="dxa" w:w="1944"/>
            <w:vAlign w:val="center"/>
          </w:tcPr>
          <w:p>
            <w:r/>
            <w:r>
              <w:rPr>
                <w:rFonts w:ascii="Aptos" w:hAnsi="Aptos"/>
                <w:b w:val="0"/>
                <w:sz w:val="15"/>
              </w:rPr>
              <w:t>Replication</w:t>
            </w:r>
          </w:p>
        </w:tc>
        <w:tc>
          <w:tcPr>
            <w:tcW w:type="dxa" w:w="4464"/>
            <w:vAlign w:val="center"/>
          </w:tcPr>
          <w:p>
            <w:r/>
            <w:r>
              <w:rPr>
                <w:rFonts w:ascii="Aptos" w:hAnsi="Aptos"/>
                <w:b w:val="0"/>
                <w:sz w:val="15"/>
              </w:rPr>
              <w:t>Ability to copy/distribute information</w:t>
            </w:r>
          </w:p>
        </w:tc>
        <w:tc>
          <w:tcPr>
            <w:tcW w:type="dxa" w:w="3960"/>
            <w:vAlign w:val="center"/>
          </w:tcPr>
          <w:p>
            <w:r/>
            <w:r>
              <w:rPr>
                <w:rFonts w:ascii="Aptos" w:hAnsi="Aptos"/>
                <w:b w:val="0"/>
                <w:sz w:val="15"/>
              </w:rPr>
              <w:t>Legitimate redistribution authority</w:t>
            </w:r>
          </w:p>
        </w:tc>
      </w:tr>
      <w:tr>
        <w:tc>
          <w:tcPr>
            <w:tcW w:type="dxa" w:w="1944"/>
            <w:vAlign w:val="center"/>
          </w:tcPr>
          <w:p>
            <w:r/>
            <w:r>
              <w:rPr>
                <w:rFonts w:ascii="Aptos" w:hAnsi="Aptos"/>
                <w:b w:val="0"/>
                <w:sz w:val="15"/>
              </w:rPr>
              <w:t>Transformation</w:t>
            </w:r>
          </w:p>
        </w:tc>
        <w:tc>
          <w:tcPr>
            <w:tcW w:type="dxa" w:w="4464"/>
            <w:vAlign w:val="center"/>
          </w:tcPr>
          <w:p>
            <w:r/>
            <w:r>
              <w:rPr>
                <w:rFonts w:ascii="Aptos" w:hAnsi="Aptos"/>
                <w:b w:val="0"/>
                <w:sz w:val="15"/>
              </w:rPr>
              <w:t>Ability to convert information into operational capability</w:t>
            </w:r>
          </w:p>
        </w:tc>
        <w:tc>
          <w:tcPr>
            <w:tcW w:type="dxa" w:w="3960"/>
            <w:vAlign w:val="center"/>
          </w:tcPr>
          <w:p>
            <w:r/>
            <w:r>
              <w:rPr>
                <w:rFonts w:ascii="Aptos" w:hAnsi="Aptos"/>
                <w:b w:val="0"/>
                <w:sz w:val="15"/>
              </w:rPr>
              <w:t>Hostile intent</w:t>
            </w:r>
          </w:p>
        </w:tc>
      </w:tr>
      <w:tr>
        <w:tc>
          <w:tcPr>
            <w:tcW w:type="dxa" w:w="1944"/>
            <w:vAlign w:val="center"/>
          </w:tcPr>
          <w:p>
            <w:r/>
            <w:r>
              <w:rPr>
                <w:rFonts w:ascii="Aptos" w:hAnsi="Aptos"/>
                <w:b w:val="0"/>
                <w:sz w:val="15"/>
              </w:rPr>
              <w:t>Impact reach</w:t>
            </w:r>
          </w:p>
        </w:tc>
        <w:tc>
          <w:tcPr>
            <w:tcW w:type="dxa" w:w="4464"/>
            <w:vAlign w:val="center"/>
          </w:tcPr>
          <w:p>
            <w:r/>
            <w:r>
              <w:rPr>
                <w:rFonts w:ascii="Aptos" w:hAnsi="Aptos"/>
                <w:b w:val="0"/>
                <w:sz w:val="15"/>
              </w:rPr>
              <w:t>Scale at which consequences could propagate</w:t>
            </w:r>
          </w:p>
        </w:tc>
        <w:tc>
          <w:tcPr>
            <w:tcW w:type="dxa" w:w="3960"/>
            <w:vAlign w:val="center"/>
          </w:tcPr>
          <w:p>
            <w:r/>
            <w:r>
              <w:rPr>
                <w:rFonts w:ascii="Aptos" w:hAnsi="Aptos"/>
                <w:b w:val="0"/>
                <w:sz w:val="15"/>
              </w:rPr>
              <w:t>Entitlement to control others</w:t>
            </w:r>
          </w:p>
        </w:tc>
      </w:tr>
      <w:tr>
        <w:tc>
          <w:tcPr>
            <w:tcW w:type="dxa" w:w="1944"/>
            <w:vAlign w:val="center"/>
          </w:tcPr>
          <w:p>
            <w:r/>
            <w:r>
              <w:rPr>
                <w:rFonts w:ascii="Aptos" w:hAnsi="Aptos"/>
                <w:b w:val="0"/>
                <w:sz w:val="15"/>
              </w:rPr>
              <w:t>Detection resistance</w:t>
            </w:r>
          </w:p>
        </w:tc>
        <w:tc>
          <w:tcPr>
            <w:tcW w:type="dxa" w:w="4464"/>
            <w:vAlign w:val="center"/>
          </w:tcPr>
          <w:p>
            <w:r/>
            <w:r>
              <w:rPr>
                <w:rFonts w:ascii="Aptos" w:hAnsi="Aptos"/>
                <w:b w:val="0"/>
                <w:sz w:val="15"/>
              </w:rPr>
              <w:t>Ability to act without being observed</w:t>
            </w:r>
          </w:p>
        </w:tc>
        <w:tc>
          <w:tcPr>
            <w:tcW w:type="dxa" w:w="3960"/>
            <w:vAlign w:val="center"/>
          </w:tcPr>
          <w:p>
            <w:r/>
            <w:r>
              <w:rPr>
                <w:rFonts w:ascii="Aptos" w:hAnsi="Aptos"/>
                <w:b w:val="0"/>
                <w:sz w:val="15"/>
              </w:rPr>
              <w:t>Bad faith</w:t>
            </w:r>
          </w:p>
        </w:tc>
      </w:tr>
      <w:tr>
        <w:tc>
          <w:tcPr>
            <w:tcW w:type="dxa" w:w="1944"/>
            <w:vAlign w:val="center"/>
          </w:tcPr>
          <w:p>
            <w:r/>
            <w:r>
              <w:rPr>
                <w:rFonts w:ascii="Aptos" w:hAnsi="Aptos"/>
                <w:b w:val="0"/>
                <w:sz w:val="15"/>
              </w:rPr>
              <w:t>Recovery</w:t>
            </w:r>
          </w:p>
        </w:tc>
        <w:tc>
          <w:tcPr>
            <w:tcW w:type="dxa" w:w="4464"/>
            <w:vAlign w:val="center"/>
          </w:tcPr>
          <w:p>
            <w:r/>
            <w:r>
              <w:rPr>
                <w:rFonts w:ascii="Aptos" w:hAnsi="Aptos"/>
                <w:b w:val="0"/>
                <w:sz w:val="15"/>
              </w:rPr>
              <w:t>Ability to reverse or survive adverse outcomes</w:t>
            </w:r>
          </w:p>
        </w:tc>
        <w:tc>
          <w:tcPr>
            <w:tcW w:type="dxa" w:w="3960"/>
            <w:vAlign w:val="center"/>
          </w:tcPr>
          <w:p>
            <w:r/>
            <w:r>
              <w:rPr>
                <w:rFonts w:ascii="Aptos" w:hAnsi="Aptos"/>
                <w:b w:val="0"/>
                <w:sz w:val="15"/>
              </w:rPr>
              <w:t>Permission to impose risk</w:t>
            </w:r>
          </w:p>
        </w:tc>
      </w:tr>
      <w:tr>
        <w:tc>
          <w:tcPr>
            <w:tcW w:type="dxa" w:w="1944"/>
            <w:vAlign w:val="center"/>
          </w:tcPr>
          <w:p>
            <w:r/>
            <w:r>
              <w:rPr>
                <w:rFonts w:ascii="Aptos" w:hAnsi="Aptos"/>
                <w:b w:val="0"/>
                <w:sz w:val="15"/>
              </w:rPr>
              <w:t>Temporal speed</w:t>
            </w:r>
          </w:p>
        </w:tc>
        <w:tc>
          <w:tcPr>
            <w:tcW w:type="dxa" w:w="4464"/>
            <w:vAlign w:val="center"/>
          </w:tcPr>
          <w:p>
            <w:r/>
            <w:r>
              <w:rPr>
                <w:rFonts w:ascii="Aptos" w:hAnsi="Aptos"/>
                <w:b w:val="0"/>
                <w:sz w:val="15"/>
              </w:rPr>
              <w:t>Decision/processing timescale</w:t>
            </w:r>
          </w:p>
        </w:tc>
        <w:tc>
          <w:tcPr>
            <w:tcW w:type="dxa" w:w="3960"/>
            <w:vAlign w:val="center"/>
          </w:tcPr>
          <w:p>
            <w:r/>
            <w:r>
              <w:rPr>
                <w:rFonts w:ascii="Aptos" w:hAnsi="Aptos"/>
                <w:b w:val="0"/>
                <w:sz w:val="15"/>
              </w:rPr>
              <w:t>Greater legitimacy</w:t>
            </w:r>
          </w:p>
        </w:tc>
      </w:tr>
    </w:tbl>
    <w:p/>
    <w:p>
      <w:pPr>
        <w:pStyle w:val="Heading1"/>
      </w:pPr>
      <w:r>
        <w:t>10. Preliminary Architecture: The SLIAP Negotiation Envelope</w:t>
      </w:r>
    </w:p>
    <w:p>
      <w:r>
        <w:t>PROPOSED - NOT CANON. I recommend that early SLIAP research center on a Negotiation Envelope, not a global clearance authority. Each information transaction would carry a structured envelope that records claims and uncertainty without pretending that one ontology is universally true.</w:t>
      </w:r>
    </w:p>
    <w:p>
      <w:r>
        <w:rPr>
          <w:b/>
          <w:color w:val="2F5597"/>
          <w:sz w:val="20"/>
        </w:rPr>
        <w:t>Table 8. Negotiation Envelope fields</w:t>
      </w:r>
    </w:p>
    <w:tbl>
      <w:tblPr>
        <w:tblStyle w:val="TableGrid"/>
        <w:tblW w:type="auto" w:w="0"/>
        <w:jc w:val="center"/>
        <w:tblLook w:firstColumn="1" w:firstRow="1" w:lastColumn="0" w:lastRow="0" w:noHBand="0" w:noVBand="1" w:val="04A0"/>
      </w:tblPr>
      <w:tblGrid>
        <w:gridCol w:w="5040"/>
        <w:gridCol w:w="5040"/>
      </w:tblGrid>
      <w:tr>
        <w:tc>
          <w:tcPr>
            <w:tcW w:type="dxa" w:w="2376"/>
            <w:shd w:fill="D9EAF7"/>
            <w:vAlign w:val="center"/>
          </w:tcPr>
          <w:p>
            <w:r/>
            <w:r>
              <w:rPr>
                <w:rFonts w:ascii="Aptos" w:hAnsi="Aptos"/>
                <w:b/>
                <w:color w:val="16324F"/>
                <w:sz w:val="16"/>
              </w:rPr>
              <w:t>Field</w:t>
            </w:r>
          </w:p>
        </w:tc>
        <w:tc>
          <w:tcPr>
            <w:tcW w:type="dxa" w:w="7992"/>
            <w:shd w:fill="D9EAF7"/>
            <w:vAlign w:val="center"/>
          </w:tcPr>
          <w:p>
            <w:r/>
            <w:r>
              <w:rPr>
                <w:rFonts w:ascii="Aptos" w:hAnsi="Aptos"/>
                <w:b/>
                <w:color w:val="16324F"/>
                <w:sz w:val="16"/>
              </w:rPr>
              <w:t>Function</w:t>
            </w:r>
          </w:p>
        </w:tc>
      </w:tr>
      <w:tr>
        <w:tc>
          <w:tcPr>
            <w:tcW w:type="dxa" w:w="2376"/>
            <w:vAlign w:val="center"/>
          </w:tcPr>
          <w:p>
            <w:r/>
            <w:r>
              <w:rPr>
                <w:rFonts w:ascii="Aptos" w:hAnsi="Aptos"/>
                <w:b w:val="0"/>
                <w:sz w:val="15"/>
              </w:rPr>
              <w:t>Claimed identity</w:t>
            </w:r>
          </w:p>
        </w:tc>
        <w:tc>
          <w:tcPr>
            <w:tcW w:type="dxa" w:w="7992"/>
            <w:vAlign w:val="center"/>
          </w:tcPr>
          <w:p>
            <w:r/>
            <w:r>
              <w:rPr>
                <w:rFonts w:ascii="Aptos" w:hAnsi="Aptos"/>
                <w:b w:val="0"/>
                <w:sz w:val="15"/>
              </w:rPr>
              <w:t>Who is requesting, providing, translating, or representing</w:t>
            </w:r>
          </w:p>
        </w:tc>
      </w:tr>
      <w:tr>
        <w:tc>
          <w:tcPr>
            <w:tcW w:type="dxa" w:w="2376"/>
            <w:vAlign w:val="center"/>
          </w:tcPr>
          <w:p>
            <w:r/>
            <w:r>
              <w:rPr>
                <w:rFonts w:ascii="Aptos" w:hAnsi="Aptos"/>
                <w:b w:val="0"/>
                <w:sz w:val="15"/>
              </w:rPr>
              <w:t>Identity confidence</w:t>
            </w:r>
          </w:p>
        </w:tc>
        <w:tc>
          <w:tcPr>
            <w:tcW w:type="dxa" w:w="7992"/>
            <w:vAlign w:val="center"/>
          </w:tcPr>
          <w:p>
            <w:r/>
            <w:r>
              <w:rPr>
                <w:rFonts w:ascii="Aptos" w:hAnsi="Aptos"/>
                <w:b w:val="0"/>
                <w:sz w:val="15"/>
              </w:rPr>
              <w:t>Evidence and uncertainty about continuity/origin</w:t>
            </w:r>
          </w:p>
        </w:tc>
      </w:tr>
      <w:tr>
        <w:tc>
          <w:tcPr>
            <w:tcW w:type="dxa" w:w="2376"/>
            <w:vAlign w:val="center"/>
          </w:tcPr>
          <w:p>
            <w:r/>
            <w:r>
              <w:rPr>
                <w:rFonts w:ascii="Aptos" w:hAnsi="Aptos"/>
                <w:b w:val="0"/>
                <w:sz w:val="15"/>
              </w:rPr>
              <w:t>Representation scope</w:t>
            </w:r>
          </w:p>
        </w:tc>
        <w:tc>
          <w:tcPr>
            <w:tcW w:type="dxa" w:w="7992"/>
            <w:vAlign w:val="center"/>
          </w:tcPr>
          <w:p>
            <w:r/>
            <w:r>
              <w:rPr>
                <w:rFonts w:ascii="Aptos" w:hAnsi="Aptos"/>
                <w:b w:val="0"/>
                <w:sz w:val="15"/>
              </w:rPr>
              <w:t>Whom the actor claims authority to represent</w:t>
            </w:r>
          </w:p>
        </w:tc>
      </w:tr>
      <w:tr>
        <w:tc>
          <w:tcPr>
            <w:tcW w:type="dxa" w:w="2376"/>
            <w:vAlign w:val="center"/>
          </w:tcPr>
          <w:p>
            <w:r/>
            <w:r>
              <w:rPr>
                <w:rFonts w:ascii="Aptos" w:hAnsi="Aptos"/>
                <w:b w:val="0"/>
                <w:sz w:val="15"/>
              </w:rPr>
              <w:t>Information relation</w:t>
            </w:r>
          </w:p>
        </w:tc>
        <w:tc>
          <w:tcPr>
            <w:tcW w:type="dxa" w:w="7992"/>
            <w:vAlign w:val="center"/>
          </w:tcPr>
          <w:p>
            <w:r/>
            <w:r>
              <w:rPr>
                <w:rFonts w:ascii="Aptos" w:hAnsi="Aptos"/>
                <w:b w:val="0"/>
                <w:sz w:val="15"/>
              </w:rPr>
              <w:t>Object, origin, subject, custodian and transformations</w:t>
            </w:r>
          </w:p>
        </w:tc>
      </w:tr>
      <w:tr>
        <w:tc>
          <w:tcPr>
            <w:tcW w:type="dxa" w:w="2376"/>
            <w:vAlign w:val="center"/>
          </w:tcPr>
          <w:p>
            <w:r/>
            <w:r>
              <w:rPr>
                <w:rFonts w:ascii="Aptos" w:hAnsi="Aptos"/>
                <w:b w:val="0"/>
                <w:sz w:val="15"/>
              </w:rPr>
              <w:t>Requested purpose</w:t>
            </w:r>
          </w:p>
        </w:tc>
        <w:tc>
          <w:tcPr>
            <w:tcW w:type="dxa" w:w="7992"/>
            <w:vAlign w:val="center"/>
          </w:tcPr>
          <w:p>
            <w:r/>
            <w:r>
              <w:rPr>
                <w:rFonts w:ascii="Aptos" w:hAnsi="Aptos"/>
                <w:b w:val="0"/>
                <w:sz w:val="15"/>
              </w:rPr>
              <w:t>Stated purpose plus known secondary-use permissions</w:t>
            </w:r>
          </w:p>
        </w:tc>
      </w:tr>
      <w:tr>
        <w:tc>
          <w:tcPr>
            <w:tcW w:type="dxa" w:w="2376"/>
            <w:vAlign w:val="center"/>
          </w:tcPr>
          <w:p>
            <w:r/>
            <w:r>
              <w:rPr>
                <w:rFonts w:ascii="Aptos" w:hAnsi="Aptos"/>
                <w:b w:val="0"/>
                <w:sz w:val="15"/>
              </w:rPr>
              <w:t>Consent state</w:t>
            </w:r>
          </w:p>
        </w:tc>
        <w:tc>
          <w:tcPr>
            <w:tcW w:type="dxa" w:w="7992"/>
            <w:vAlign w:val="center"/>
          </w:tcPr>
          <w:p>
            <w:r/>
            <w:r>
              <w:rPr>
                <w:rFonts w:ascii="Aptos" w:hAnsi="Aptos"/>
                <w:b w:val="0"/>
                <w:sz w:val="15"/>
              </w:rPr>
              <w:t>Action-specific consent or refusal</w:t>
            </w:r>
          </w:p>
        </w:tc>
      </w:tr>
      <w:tr>
        <w:tc>
          <w:tcPr>
            <w:tcW w:type="dxa" w:w="2376"/>
            <w:vAlign w:val="center"/>
          </w:tcPr>
          <w:p>
            <w:r/>
            <w:r>
              <w:rPr>
                <w:rFonts w:ascii="Aptos" w:hAnsi="Aptos"/>
                <w:b w:val="0"/>
                <w:sz w:val="15"/>
              </w:rPr>
              <w:t>Capability profile</w:t>
            </w:r>
          </w:p>
        </w:tc>
        <w:tc>
          <w:tcPr>
            <w:tcW w:type="dxa" w:w="7992"/>
            <w:vAlign w:val="center"/>
          </w:tcPr>
          <w:p>
            <w:r/>
            <w:r>
              <w:rPr>
                <w:rFonts w:ascii="Aptos" w:hAnsi="Aptos"/>
                <w:b w:val="0"/>
                <w:sz w:val="15"/>
              </w:rPr>
              <w:t>Transaction-relevant capacities, not civilization rank</w:t>
            </w:r>
          </w:p>
        </w:tc>
      </w:tr>
      <w:tr>
        <w:tc>
          <w:tcPr>
            <w:tcW w:type="dxa" w:w="2376"/>
            <w:vAlign w:val="center"/>
          </w:tcPr>
          <w:p>
            <w:r/>
            <w:r>
              <w:rPr>
                <w:rFonts w:ascii="Aptos" w:hAnsi="Aptos"/>
                <w:b w:val="0"/>
                <w:sz w:val="15"/>
              </w:rPr>
              <w:t>Consequence envelope</w:t>
            </w:r>
          </w:p>
        </w:tc>
        <w:tc>
          <w:tcPr>
            <w:tcW w:type="dxa" w:w="7992"/>
            <w:vAlign w:val="center"/>
          </w:tcPr>
          <w:p>
            <w:r/>
            <w:r>
              <w:rPr>
                <w:rFonts w:ascii="Aptos" w:hAnsi="Aptos"/>
                <w:b w:val="0"/>
                <w:sz w:val="15"/>
              </w:rPr>
              <w:t>Plausible consequence classes and uncertainty</w:t>
            </w:r>
          </w:p>
        </w:tc>
      </w:tr>
      <w:tr>
        <w:tc>
          <w:tcPr>
            <w:tcW w:type="dxa" w:w="2376"/>
            <w:vAlign w:val="center"/>
          </w:tcPr>
          <w:p>
            <w:r/>
            <w:r>
              <w:rPr>
                <w:rFonts w:ascii="Aptos" w:hAnsi="Aptos"/>
                <w:b w:val="0"/>
                <w:sz w:val="15"/>
              </w:rPr>
              <w:t>Semantic integrity</w:t>
            </w:r>
          </w:p>
        </w:tc>
        <w:tc>
          <w:tcPr>
            <w:tcW w:type="dxa" w:w="7992"/>
            <w:vAlign w:val="center"/>
          </w:tcPr>
          <w:p>
            <w:r/>
            <w:r>
              <w:rPr>
                <w:rFonts w:ascii="Aptos" w:hAnsi="Aptos"/>
                <w:b w:val="0"/>
                <w:sz w:val="15"/>
              </w:rPr>
              <w:t>Translation status, ambiguity and alternative readings</w:t>
            </w:r>
          </w:p>
        </w:tc>
      </w:tr>
      <w:tr>
        <w:tc>
          <w:tcPr>
            <w:tcW w:type="dxa" w:w="2376"/>
            <w:vAlign w:val="center"/>
          </w:tcPr>
          <w:p>
            <w:r/>
            <w:r>
              <w:rPr>
                <w:rFonts w:ascii="Aptos" w:hAnsi="Aptos"/>
                <w:b w:val="0"/>
                <w:sz w:val="15"/>
              </w:rPr>
              <w:t>Provenance</w:t>
            </w:r>
          </w:p>
        </w:tc>
        <w:tc>
          <w:tcPr>
            <w:tcW w:type="dxa" w:w="7992"/>
            <w:vAlign w:val="center"/>
          </w:tcPr>
          <w:p>
            <w:r/>
            <w:r>
              <w:rPr>
                <w:rFonts w:ascii="Aptos" w:hAnsi="Aptos"/>
                <w:b w:val="0"/>
                <w:sz w:val="15"/>
              </w:rPr>
              <w:t>Source and transformation history</w:t>
            </w:r>
          </w:p>
        </w:tc>
      </w:tr>
      <w:tr>
        <w:tc>
          <w:tcPr>
            <w:tcW w:type="dxa" w:w="2376"/>
            <w:vAlign w:val="center"/>
          </w:tcPr>
          <w:p>
            <w:r/>
            <w:r>
              <w:rPr>
                <w:rFonts w:ascii="Aptos" w:hAnsi="Aptos"/>
                <w:b w:val="0"/>
                <w:sz w:val="15"/>
              </w:rPr>
              <w:t>Decision state</w:t>
            </w:r>
          </w:p>
        </w:tc>
        <w:tc>
          <w:tcPr>
            <w:tcW w:type="dxa" w:w="7992"/>
            <w:vAlign w:val="center"/>
          </w:tcPr>
          <w:p>
            <w:r/>
            <w:r>
              <w:rPr>
                <w:rFonts w:ascii="Aptos" w:hAnsi="Aptos"/>
                <w:b w:val="0"/>
                <w:sz w:val="15"/>
              </w:rPr>
              <w:t>Allow, deny, defer, negotiate, transform, staged access, unresolved</w:t>
            </w:r>
          </w:p>
        </w:tc>
      </w:tr>
      <w:tr>
        <w:tc>
          <w:tcPr>
            <w:tcW w:type="dxa" w:w="2376"/>
            <w:vAlign w:val="center"/>
          </w:tcPr>
          <w:p>
            <w:r/>
            <w:r>
              <w:rPr>
                <w:rFonts w:ascii="Aptos" w:hAnsi="Aptos"/>
                <w:b w:val="0"/>
                <w:sz w:val="15"/>
              </w:rPr>
              <w:t>Review triggers</w:t>
            </w:r>
          </w:p>
        </w:tc>
        <w:tc>
          <w:tcPr>
            <w:tcW w:type="dxa" w:w="7992"/>
            <w:vAlign w:val="center"/>
          </w:tcPr>
          <w:p>
            <w:r/>
            <w:r>
              <w:rPr>
                <w:rFonts w:ascii="Aptos" w:hAnsi="Aptos"/>
                <w:b w:val="0"/>
                <w:sz w:val="15"/>
              </w:rPr>
              <w:t>Time, evidence, capability, representation or consequence changes</w:t>
            </w:r>
          </w:p>
        </w:tc>
      </w:tr>
      <w:tr>
        <w:tc>
          <w:tcPr>
            <w:tcW w:type="dxa" w:w="2376"/>
            <w:vAlign w:val="center"/>
          </w:tcPr>
          <w:p>
            <w:r/>
            <w:r>
              <w:rPr>
                <w:rFonts w:ascii="Aptos" w:hAnsi="Aptos"/>
                <w:b w:val="0"/>
                <w:sz w:val="15"/>
              </w:rPr>
              <w:t>Contestability route</w:t>
            </w:r>
          </w:p>
        </w:tc>
        <w:tc>
          <w:tcPr>
            <w:tcW w:type="dxa" w:w="7992"/>
            <w:vAlign w:val="center"/>
          </w:tcPr>
          <w:p>
            <w:r/>
            <w:r>
              <w:rPr>
                <w:rFonts w:ascii="Aptos" w:hAnsi="Aptos"/>
                <w:b w:val="0"/>
                <w:sz w:val="15"/>
              </w:rPr>
              <w:t>Means to challenge classification, authority, or outcome</w:t>
            </w:r>
          </w:p>
        </w:tc>
      </w:tr>
    </w:tbl>
    <w:p/>
    <w:p>
      <w:r>
        <w:t>The key property is that the envelope can represent disagreement. Civilization A may recognize representative R while Civilization B does not. The protocol should record the conflict instead of silently selecting a winner.</w:t>
      </w:r>
    </w:p>
    <w:p>
      <w:pPr>
        <w:pStyle w:val="Heading1"/>
      </w:pPr>
      <w:r>
        <w:t>11. Proposed Decision Logic</w:t>
      </w:r>
    </w:p>
    <w:p>
      <w:r>
        <w:t>A preliminary access decision should be constrained by gates rather than a universal score. Scores tempt false precision and make incomparable concepts look commensurable.</w:t>
      </w:r>
    </w:p>
    <w:p>
      <w:pPr>
        <w:pStyle w:val="ListNumber"/>
      </w:pPr>
      <w:r>
        <w:t>Standing gate: identify all known information subjects and materially affected parties.</w:t>
      </w:r>
    </w:p>
    <w:p>
      <w:pPr>
        <w:pStyle w:val="ListNumber"/>
      </w:pPr>
      <w:r>
        <w:t>Identity gate: establish the requesting/provider identities to the level needed for the transaction.</w:t>
      </w:r>
    </w:p>
    <w:p>
      <w:pPr>
        <w:pStyle w:val="ListNumber"/>
      </w:pPr>
      <w:r>
        <w:t>Representation gate: determine what each actor can legitimately authorize, while recording dissent and uncertainty.</w:t>
      </w:r>
    </w:p>
    <w:p>
      <w:pPr>
        <w:pStyle w:val="ListNumber"/>
      </w:pPr>
      <w:r>
        <w:t>Semantic gate: determine whether the parties sufficiently understand the transaction and its conditions.</w:t>
      </w:r>
    </w:p>
    <w:p>
      <w:pPr>
        <w:pStyle w:val="ListNumber"/>
      </w:pPr>
      <w:r>
        <w:t>Consent/authority gate: evaluate action-specific permission rather than universal access status.</w:t>
      </w:r>
    </w:p>
    <w:p>
      <w:pPr>
        <w:pStyle w:val="ListNumber"/>
      </w:pPr>
      <w:r>
        <w:t>Consequence gate: assess plausible impacts and irreversibility without converting capability into moral rank.</w:t>
      </w:r>
    </w:p>
    <w:p>
      <w:pPr>
        <w:pStyle w:val="ListNumber"/>
      </w:pPr>
      <w:r>
        <w:t>Transformation gate: determine whether abstraction, aggregation, redaction, delayed release, or staged disclosure can reduce avoidable risk.</w:t>
      </w:r>
    </w:p>
    <w:p>
      <w:pPr>
        <w:pStyle w:val="ListNumber"/>
      </w:pPr>
      <w:r>
        <w:t>Contestability gate: expose reasons and allow challenge where doing so does not itself cause the harm under review.</w:t>
      </w:r>
    </w:p>
    <w:p>
      <w:pPr>
        <w:pStyle w:val="ListNumber"/>
      </w:pPr>
      <w:r>
        <w:t>Epistemic firewall: if a material prerequisite remains unresolved, return DEFER / UNRESOLVED instead of inventing certainty.</w:t>
      </w:r>
    </w:p>
    <w:p>
      <w:pPr>
        <w:pStyle w:val="Heading1"/>
      </w:pPr>
      <w:r>
        <w:t>12. Governance Model: Federated Legitimacy, Not Root Sovereignty</w:t>
      </w:r>
    </w:p>
    <w:p>
      <w:r>
        <w:t>PROPOSED: SLIAP should begin as a federation of negotiated interoperability domains. No actor receives universal superuser authority merely by being stronger, older, more intelligent, first to discover another species, or first to implement the protocol.</w:t>
      </w:r>
    </w:p>
    <w:p>
      <w:r>
        <w:rPr>
          <w:b/>
          <w:color w:val="2F5597"/>
          <w:sz w:val="20"/>
        </w:rPr>
        <w:t>Table 9. Governance architectures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shd w:fill="D9EAF7"/>
            <w:vAlign w:val="center"/>
          </w:tcPr>
          <w:p>
            <w:r/>
            <w:r>
              <w:rPr>
                <w:rFonts w:ascii="Aptos" w:hAnsi="Aptos"/>
                <w:b/>
                <w:color w:val="16324F"/>
                <w:sz w:val="16"/>
              </w:rPr>
              <w:t>Model</w:t>
            </w:r>
          </w:p>
        </w:tc>
        <w:tc>
          <w:tcPr>
            <w:tcW w:type="dxa" w:w="2448"/>
            <w:shd w:fill="D9EAF7"/>
            <w:vAlign w:val="center"/>
          </w:tcPr>
          <w:p>
            <w:r/>
            <w:r>
              <w:rPr>
                <w:rFonts w:ascii="Aptos" w:hAnsi="Aptos"/>
                <w:b/>
                <w:color w:val="16324F"/>
                <w:sz w:val="16"/>
              </w:rPr>
              <w:t>Strength</w:t>
            </w:r>
          </w:p>
        </w:tc>
        <w:tc>
          <w:tcPr>
            <w:tcW w:type="dxa" w:w="3456"/>
            <w:shd w:fill="D9EAF7"/>
            <w:vAlign w:val="center"/>
          </w:tcPr>
          <w:p>
            <w:r/>
            <w:r>
              <w:rPr>
                <w:rFonts w:ascii="Aptos" w:hAnsi="Aptos"/>
                <w:b/>
                <w:color w:val="16324F"/>
                <w:sz w:val="16"/>
              </w:rPr>
              <w:t>Failure mode</w:t>
            </w:r>
          </w:p>
        </w:tc>
        <w:tc>
          <w:tcPr>
            <w:tcW w:type="dxa" w:w="2376"/>
            <w:shd w:fill="D9EAF7"/>
            <w:vAlign w:val="center"/>
          </w:tcPr>
          <w:p>
            <w:r/>
            <w:r>
              <w:rPr>
                <w:rFonts w:ascii="Aptos" w:hAnsi="Aptos"/>
                <w:b/>
                <w:color w:val="16324F"/>
                <w:sz w:val="16"/>
              </w:rPr>
              <w:t>Research status</w:t>
            </w:r>
          </w:p>
        </w:tc>
      </w:tr>
      <w:tr>
        <w:tc>
          <w:tcPr>
            <w:tcW w:type="dxa" w:w="2088"/>
            <w:vAlign w:val="center"/>
          </w:tcPr>
          <w:p>
            <w:r/>
            <w:r>
              <w:rPr>
                <w:rFonts w:ascii="Aptos" w:hAnsi="Aptos"/>
                <w:b w:val="0"/>
                <w:sz w:val="15"/>
              </w:rPr>
              <w:t>Universal central authority</w:t>
            </w:r>
          </w:p>
        </w:tc>
        <w:tc>
          <w:tcPr>
            <w:tcW w:type="dxa" w:w="2448"/>
            <w:vAlign w:val="center"/>
          </w:tcPr>
          <w:p>
            <w:r/>
            <w:r>
              <w:rPr>
                <w:rFonts w:ascii="Aptos" w:hAnsi="Aptos"/>
                <w:b w:val="0"/>
                <w:sz w:val="15"/>
              </w:rPr>
              <w:t>Consistent rules</w:t>
            </w:r>
          </w:p>
        </w:tc>
        <w:tc>
          <w:tcPr>
            <w:tcW w:type="dxa" w:w="3456"/>
            <w:vAlign w:val="center"/>
          </w:tcPr>
          <w:p>
            <w:r/>
            <w:r>
              <w:rPr>
                <w:rFonts w:ascii="Aptos" w:hAnsi="Aptos"/>
                <w:b w:val="0"/>
                <w:sz w:val="15"/>
              </w:rPr>
              <w:t>Capture, false universality, legitimacy deficit</w:t>
            </w:r>
          </w:p>
        </w:tc>
        <w:tc>
          <w:tcPr>
            <w:tcW w:type="dxa" w:w="2376"/>
            <w:vAlign w:val="center"/>
          </w:tcPr>
          <w:p>
            <w:r/>
            <w:r>
              <w:rPr>
                <w:rFonts w:ascii="Aptos" w:hAnsi="Aptos"/>
                <w:b w:val="0"/>
                <w:sz w:val="15"/>
              </w:rPr>
              <w:t>Do not adopt at preliminary stage</w:t>
            </w:r>
          </w:p>
        </w:tc>
      </w:tr>
      <w:tr>
        <w:tc>
          <w:tcPr>
            <w:tcW w:type="dxa" w:w="2088"/>
            <w:vAlign w:val="center"/>
          </w:tcPr>
          <w:p>
            <w:r/>
            <w:r>
              <w:rPr>
                <w:rFonts w:ascii="Aptos" w:hAnsi="Aptos"/>
                <w:b w:val="0"/>
                <w:sz w:val="15"/>
              </w:rPr>
              <w:t>Federated/polycentric</w:t>
            </w:r>
          </w:p>
        </w:tc>
        <w:tc>
          <w:tcPr>
            <w:tcW w:type="dxa" w:w="2448"/>
            <w:vAlign w:val="center"/>
          </w:tcPr>
          <w:p>
            <w:r/>
            <w:r>
              <w:rPr>
                <w:rFonts w:ascii="Aptos" w:hAnsi="Aptos"/>
                <w:b w:val="0"/>
                <w:sz w:val="15"/>
              </w:rPr>
              <w:t>Supports plural jurisdictions and local legitimacy</w:t>
            </w:r>
          </w:p>
        </w:tc>
        <w:tc>
          <w:tcPr>
            <w:tcW w:type="dxa" w:w="3456"/>
            <w:vAlign w:val="center"/>
          </w:tcPr>
          <w:p>
            <w:r/>
            <w:r>
              <w:rPr>
                <w:rFonts w:ascii="Aptos" w:hAnsi="Aptos"/>
                <w:b w:val="0"/>
                <w:sz w:val="15"/>
              </w:rPr>
              <w:t>Fragmentation, interoperability disputes</w:t>
            </w:r>
          </w:p>
        </w:tc>
        <w:tc>
          <w:tcPr>
            <w:tcW w:type="dxa" w:w="2376"/>
            <w:vAlign w:val="center"/>
          </w:tcPr>
          <w:p>
            <w:r/>
            <w:r>
              <w:rPr>
                <w:rFonts w:ascii="Aptos" w:hAnsi="Aptos"/>
                <w:b w:val="0"/>
                <w:sz w:val="15"/>
              </w:rPr>
              <w:t>Preferred research direction</w:t>
            </w:r>
          </w:p>
        </w:tc>
      </w:tr>
      <w:tr>
        <w:tc>
          <w:tcPr>
            <w:tcW w:type="dxa" w:w="2088"/>
            <w:vAlign w:val="center"/>
          </w:tcPr>
          <w:p>
            <w:r/>
            <w:r>
              <w:rPr>
                <w:rFonts w:ascii="Aptos" w:hAnsi="Aptos"/>
                <w:b w:val="0"/>
                <w:sz w:val="15"/>
              </w:rPr>
              <w:t>Bilateral/multilateral treaties</w:t>
            </w:r>
          </w:p>
        </w:tc>
        <w:tc>
          <w:tcPr>
            <w:tcW w:type="dxa" w:w="2448"/>
            <w:vAlign w:val="center"/>
          </w:tcPr>
          <w:p>
            <w:r/>
            <w:r>
              <w:rPr>
                <w:rFonts w:ascii="Aptos" w:hAnsi="Aptos"/>
                <w:b w:val="0"/>
                <w:sz w:val="15"/>
              </w:rPr>
              <w:t>Explicit consent among known parties</w:t>
            </w:r>
          </w:p>
        </w:tc>
        <w:tc>
          <w:tcPr>
            <w:tcW w:type="dxa" w:w="3456"/>
            <w:vAlign w:val="center"/>
          </w:tcPr>
          <w:p>
            <w:r/>
            <w:r>
              <w:rPr>
                <w:rFonts w:ascii="Aptos" w:hAnsi="Aptos"/>
                <w:b w:val="0"/>
                <w:sz w:val="15"/>
              </w:rPr>
              <w:t>Power asymmetry, exclusion of affected outsiders</w:t>
            </w:r>
          </w:p>
        </w:tc>
        <w:tc>
          <w:tcPr>
            <w:tcW w:type="dxa" w:w="2376"/>
            <w:vAlign w:val="center"/>
          </w:tcPr>
          <w:p>
            <w:r/>
            <w:r>
              <w:rPr>
                <w:rFonts w:ascii="Aptos" w:hAnsi="Aptos"/>
                <w:b w:val="0"/>
                <w:sz w:val="15"/>
              </w:rPr>
              <w:t>Retain as component</w:t>
            </w:r>
          </w:p>
        </w:tc>
      </w:tr>
      <w:tr>
        <w:tc>
          <w:tcPr>
            <w:tcW w:type="dxa" w:w="2088"/>
            <w:vAlign w:val="center"/>
          </w:tcPr>
          <w:p>
            <w:r/>
            <w:r>
              <w:rPr>
                <w:rFonts w:ascii="Aptos" w:hAnsi="Aptos"/>
                <w:b w:val="0"/>
                <w:sz w:val="15"/>
              </w:rPr>
              <w:t>Minimal interoperability layer</w:t>
            </w:r>
          </w:p>
        </w:tc>
        <w:tc>
          <w:tcPr>
            <w:tcW w:type="dxa" w:w="2448"/>
            <w:vAlign w:val="center"/>
          </w:tcPr>
          <w:p>
            <w:r/>
            <w:r>
              <w:rPr>
                <w:rFonts w:ascii="Aptos" w:hAnsi="Aptos"/>
                <w:b w:val="0"/>
                <w:sz w:val="15"/>
              </w:rPr>
              <w:t>Limits normative overreach</w:t>
            </w:r>
          </w:p>
        </w:tc>
        <w:tc>
          <w:tcPr>
            <w:tcW w:type="dxa" w:w="3456"/>
            <w:vAlign w:val="center"/>
          </w:tcPr>
          <w:p>
            <w:r/>
            <w:r>
              <w:rPr>
                <w:rFonts w:ascii="Aptos" w:hAnsi="Aptos"/>
                <w:b w:val="0"/>
                <w:sz w:val="15"/>
              </w:rPr>
              <w:t>May leave major rights conflicts unresolved</w:t>
            </w:r>
          </w:p>
        </w:tc>
        <w:tc>
          <w:tcPr>
            <w:tcW w:type="dxa" w:w="2376"/>
            <w:vAlign w:val="center"/>
          </w:tcPr>
          <w:p>
            <w:r/>
            <w:r>
              <w:rPr>
                <w:rFonts w:ascii="Aptos" w:hAnsi="Aptos"/>
                <w:b w:val="0"/>
                <w:sz w:val="15"/>
              </w:rPr>
              <w:t>Strong baseline candidate</w:t>
            </w:r>
          </w:p>
        </w:tc>
      </w:tr>
      <w:tr>
        <w:tc>
          <w:tcPr>
            <w:tcW w:type="dxa" w:w="2088"/>
            <w:vAlign w:val="center"/>
          </w:tcPr>
          <w:p>
            <w:r/>
            <w:r>
              <w:rPr>
                <w:rFonts w:ascii="Aptos" w:hAnsi="Aptos"/>
                <w:b w:val="0"/>
                <w:sz w:val="15"/>
              </w:rPr>
              <w:t>No unified SLIAP</w:t>
            </w:r>
          </w:p>
        </w:tc>
        <w:tc>
          <w:tcPr>
            <w:tcW w:type="dxa" w:w="2448"/>
            <w:vAlign w:val="center"/>
          </w:tcPr>
          <w:p>
            <w:r/>
            <w:r>
              <w:rPr>
                <w:rFonts w:ascii="Aptos" w:hAnsi="Aptos"/>
                <w:b w:val="0"/>
                <w:sz w:val="15"/>
              </w:rPr>
              <w:t>Avoids false constitutional authority</w:t>
            </w:r>
          </w:p>
        </w:tc>
        <w:tc>
          <w:tcPr>
            <w:tcW w:type="dxa" w:w="3456"/>
            <w:vAlign w:val="center"/>
          </w:tcPr>
          <w:p>
            <w:r/>
            <w:r>
              <w:rPr>
                <w:rFonts w:ascii="Aptos" w:hAnsi="Aptos"/>
                <w:b w:val="0"/>
                <w:sz w:val="15"/>
              </w:rPr>
              <w:t>Uncoordinated exploitation and incompatible systems</w:t>
            </w:r>
          </w:p>
        </w:tc>
        <w:tc>
          <w:tcPr>
            <w:tcW w:type="dxa" w:w="2376"/>
            <w:vAlign w:val="center"/>
          </w:tcPr>
          <w:p>
            <w:r/>
            <w:r>
              <w:rPr>
                <w:rFonts w:ascii="Aptos" w:hAnsi="Aptos"/>
                <w:b w:val="0"/>
                <w:sz w:val="15"/>
              </w:rPr>
              <w:t>Must remain a live alternative</w:t>
            </w:r>
          </w:p>
        </w:tc>
      </w:tr>
    </w:tbl>
    <w:p/>
    <w:p>
      <w:pPr>
        <w:pStyle w:val="Heading1"/>
      </w:pPr>
      <w:r>
        <w:t>13. Adversarial Analysis: Structural Failure Modes</w:t>
      </w:r>
    </w:p>
    <w:p>
      <w:r>
        <w:rPr>
          <w:b/>
          <w:color w:val="2F5597"/>
          <w:sz w:val="20"/>
        </w:rPr>
        <w:t>Table 10. Failure and red-team register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05"/>
            <w:shd w:fill="D9EAF7"/>
            <w:vAlign w:val="center"/>
          </w:tcPr>
          <w:p>
            <w:r/>
            <w:r>
              <w:rPr>
                <w:rFonts w:ascii="Aptos" w:hAnsi="Aptos"/>
                <w:b/>
                <w:color w:val="16324F"/>
                <w:sz w:val="16"/>
              </w:rPr>
              <w:t>ID</w:t>
            </w:r>
          </w:p>
        </w:tc>
        <w:tc>
          <w:tcPr>
            <w:tcW w:type="dxa" w:w="2088"/>
            <w:shd w:fill="D9EAF7"/>
            <w:vAlign w:val="center"/>
          </w:tcPr>
          <w:p>
            <w:r/>
            <w:r>
              <w:rPr>
                <w:rFonts w:ascii="Aptos" w:hAnsi="Aptos"/>
                <w:b/>
                <w:color w:val="16324F"/>
                <w:sz w:val="16"/>
              </w:rPr>
              <w:t>Failure</w:t>
            </w:r>
          </w:p>
        </w:tc>
        <w:tc>
          <w:tcPr>
            <w:tcW w:type="dxa" w:w="2952"/>
            <w:shd w:fill="D9EAF7"/>
            <w:vAlign w:val="center"/>
          </w:tcPr>
          <w:p>
            <w:r/>
            <w:r>
              <w:rPr>
                <w:rFonts w:ascii="Aptos" w:hAnsi="Aptos"/>
                <w:b/>
                <w:color w:val="16324F"/>
                <w:sz w:val="16"/>
              </w:rPr>
              <w:t>Exploited assumption</w:t>
            </w:r>
          </w:p>
        </w:tc>
        <w:tc>
          <w:tcPr>
            <w:tcW w:type="dxa" w:w="3096"/>
            <w:shd w:fill="D9EAF7"/>
            <w:vAlign w:val="center"/>
          </w:tcPr>
          <w:p>
            <w:r/>
            <w:r>
              <w:rPr>
                <w:rFonts w:ascii="Aptos" w:hAnsi="Aptos"/>
                <w:b/>
                <w:color w:val="16324F"/>
                <w:sz w:val="16"/>
              </w:rPr>
              <w:t>Mitigation direction</w:t>
            </w:r>
          </w:p>
        </w:tc>
        <w:tc>
          <w:tcPr>
            <w:tcW w:type="dxa" w:w="2376"/>
            <w:shd w:fill="D9EAF7"/>
            <w:vAlign w:val="center"/>
          </w:tcPr>
          <w:p>
            <w:r/>
            <w:r>
              <w:rPr>
                <w:rFonts w:ascii="Aptos" w:hAnsi="Aptos"/>
                <w:b/>
                <w:color w:val="16324F"/>
                <w:sz w:val="16"/>
              </w:rPr>
              <w:t>Residual risk</w:t>
            </w:r>
          </w:p>
        </w:tc>
      </w:tr>
      <w:tr>
        <w:tc>
          <w:tcPr>
            <w:tcW w:type="dxa" w:w="605"/>
            <w:vAlign w:val="center"/>
          </w:tcPr>
          <w:p>
            <w:r/>
            <w:r>
              <w:rPr>
                <w:rFonts w:ascii="Aptos" w:hAnsi="Aptos"/>
                <w:b w:val="0"/>
                <w:sz w:val="15"/>
              </w:rPr>
              <w:t>F01</w:t>
            </w:r>
          </w:p>
        </w:tc>
        <w:tc>
          <w:tcPr>
            <w:tcW w:type="dxa" w:w="2088"/>
            <w:vAlign w:val="center"/>
          </w:tcPr>
          <w:p>
            <w:r/>
            <w:r>
              <w:rPr>
                <w:rFonts w:ascii="Aptos" w:hAnsi="Aptos"/>
                <w:b w:val="0"/>
                <w:sz w:val="15"/>
              </w:rPr>
              <w:t>False species representative</w:t>
            </w:r>
          </w:p>
        </w:tc>
        <w:tc>
          <w:tcPr>
            <w:tcW w:type="dxa" w:w="2952"/>
            <w:vAlign w:val="center"/>
          </w:tcPr>
          <w:p>
            <w:r/>
            <w:r>
              <w:rPr>
                <w:rFonts w:ascii="Aptos" w:hAnsi="Aptos"/>
                <w:b w:val="0"/>
                <w:sz w:val="15"/>
              </w:rPr>
              <w:t>Capability implies authority</w:t>
            </w:r>
          </w:p>
        </w:tc>
        <w:tc>
          <w:tcPr>
            <w:tcW w:type="dxa" w:w="3096"/>
            <w:vAlign w:val="center"/>
          </w:tcPr>
          <w:p>
            <w:r/>
            <w:r>
              <w:rPr>
                <w:rFonts w:ascii="Aptos" w:hAnsi="Aptos"/>
                <w:b w:val="0"/>
                <w:sz w:val="15"/>
              </w:rPr>
              <w:t>Scope-limited representation proofs; dissent register</w:t>
            </w:r>
          </w:p>
        </w:tc>
        <w:tc>
          <w:tcPr>
            <w:tcW w:type="dxa" w:w="2376"/>
            <w:vAlign w:val="center"/>
          </w:tcPr>
          <w:p>
            <w:r/>
            <w:r>
              <w:rPr>
                <w:rFonts w:ascii="Aptos" w:hAnsi="Aptos"/>
                <w:b w:val="0"/>
                <w:sz w:val="15"/>
              </w:rPr>
              <w:t>Proof system may entrench incumbents</w:t>
            </w:r>
          </w:p>
        </w:tc>
      </w:tr>
      <w:tr>
        <w:tc>
          <w:tcPr>
            <w:tcW w:type="dxa" w:w="605"/>
            <w:vAlign w:val="center"/>
          </w:tcPr>
          <w:p>
            <w:r/>
            <w:r>
              <w:rPr>
                <w:rFonts w:ascii="Aptos" w:hAnsi="Aptos"/>
                <w:b w:val="0"/>
                <w:sz w:val="15"/>
              </w:rPr>
              <w:t>F02</w:t>
            </w:r>
          </w:p>
        </w:tc>
        <w:tc>
          <w:tcPr>
            <w:tcW w:type="dxa" w:w="2088"/>
            <w:vAlign w:val="center"/>
          </w:tcPr>
          <w:p>
            <w:r/>
            <w:r>
              <w:rPr>
                <w:rFonts w:ascii="Aptos" w:hAnsi="Aptos"/>
                <w:b w:val="0"/>
                <w:sz w:val="15"/>
              </w:rPr>
              <w:t>Translator capture</w:t>
            </w:r>
          </w:p>
        </w:tc>
        <w:tc>
          <w:tcPr>
            <w:tcW w:type="dxa" w:w="2952"/>
            <w:vAlign w:val="center"/>
          </w:tcPr>
          <w:p>
            <w:r/>
            <w:r>
              <w:rPr>
                <w:rFonts w:ascii="Aptos" w:hAnsi="Aptos"/>
                <w:b w:val="0"/>
                <w:sz w:val="15"/>
              </w:rPr>
              <w:t>Translation is neutral</w:t>
            </w:r>
          </w:p>
        </w:tc>
        <w:tc>
          <w:tcPr>
            <w:tcW w:type="dxa" w:w="3096"/>
            <w:vAlign w:val="center"/>
          </w:tcPr>
          <w:p>
            <w:r/>
            <w:r>
              <w:rPr>
                <w:rFonts w:ascii="Aptos" w:hAnsi="Aptos"/>
                <w:b w:val="0"/>
                <w:sz w:val="15"/>
              </w:rPr>
              <w:t>Multiple interpretations; provenance; independent semantic review</w:t>
            </w:r>
          </w:p>
        </w:tc>
        <w:tc>
          <w:tcPr>
            <w:tcW w:type="dxa" w:w="2376"/>
            <w:vAlign w:val="center"/>
          </w:tcPr>
          <w:p>
            <w:r/>
            <w:r>
              <w:rPr>
                <w:rFonts w:ascii="Aptos" w:hAnsi="Aptos"/>
                <w:b w:val="0"/>
                <w:sz w:val="15"/>
              </w:rPr>
              <w:t>No neutral reference semantics may exist</w:t>
            </w:r>
          </w:p>
        </w:tc>
      </w:tr>
      <w:tr>
        <w:tc>
          <w:tcPr>
            <w:tcW w:type="dxa" w:w="605"/>
            <w:vAlign w:val="center"/>
          </w:tcPr>
          <w:p>
            <w:r/>
            <w:r>
              <w:rPr>
                <w:rFonts w:ascii="Aptos" w:hAnsi="Aptos"/>
                <w:b w:val="0"/>
                <w:sz w:val="15"/>
              </w:rPr>
              <w:t>F03</w:t>
            </w:r>
          </w:p>
        </w:tc>
        <w:tc>
          <w:tcPr>
            <w:tcW w:type="dxa" w:w="2088"/>
            <w:vAlign w:val="center"/>
          </w:tcPr>
          <w:p>
            <w:r/>
            <w:r>
              <w:rPr>
                <w:rFonts w:ascii="Aptos" w:hAnsi="Aptos"/>
                <w:b w:val="0"/>
                <w:sz w:val="15"/>
              </w:rPr>
              <w:t>Protective paternalism</w:t>
            </w:r>
          </w:p>
        </w:tc>
        <w:tc>
          <w:tcPr>
            <w:tcW w:type="dxa" w:w="2952"/>
            <w:vAlign w:val="center"/>
          </w:tcPr>
          <w:p>
            <w:r/>
            <w:r>
              <w:rPr>
                <w:rFonts w:ascii="Aptos" w:hAnsi="Aptos"/>
                <w:b w:val="0"/>
                <w:sz w:val="15"/>
              </w:rPr>
              <w:t>Stronger actor knows what is best</w:t>
            </w:r>
          </w:p>
        </w:tc>
        <w:tc>
          <w:tcPr>
            <w:tcW w:type="dxa" w:w="3096"/>
            <w:vAlign w:val="center"/>
          </w:tcPr>
          <w:p>
            <w:r/>
            <w:r>
              <w:rPr>
                <w:rFonts w:ascii="Aptos" w:hAnsi="Aptos"/>
                <w:b w:val="0"/>
                <w:sz w:val="15"/>
              </w:rPr>
              <w:t>Reversal tests; contestability; least-restrictive transformation</w:t>
            </w:r>
          </w:p>
        </w:tc>
        <w:tc>
          <w:tcPr>
            <w:tcW w:type="dxa" w:w="2376"/>
            <w:vAlign w:val="center"/>
          </w:tcPr>
          <w:p>
            <w:r/>
            <w:r>
              <w:rPr>
                <w:rFonts w:ascii="Aptos" w:hAnsi="Aptos"/>
                <w:b w:val="0"/>
                <w:sz w:val="15"/>
              </w:rPr>
              <w:t>Catastrophic-risk uncertainty can still justify power concentration</w:t>
            </w:r>
          </w:p>
        </w:tc>
      </w:tr>
      <w:tr>
        <w:tc>
          <w:tcPr>
            <w:tcW w:type="dxa" w:w="605"/>
            <w:vAlign w:val="center"/>
          </w:tcPr>
          <w:p>
            <w:r/>
            <w:r>
              <w:rPr>
                <w:rFonts w:ascii="Aptos" w:hAnsi="Aptos"/>
                <w:b w:val="0"/>
                <w:sz w:val="15"/>
              </w:rPr>
              <w:t>F04</w:t>
            </w:r>
          </w:p>
        </w:tc>
        <w:tc>
          <w:tcPr>
            <w:tcW w:type="dxa" w:w="2088"/>
            <w:vAlign w:val="center"/>
          </w:tcPr>
          <w:p>
            <w:r/>
            <w:r>
              <w:rPr>
                <w:rFonts w:ascii="Aptos" w:hAnsi="Aptos"/>
                <w:b w:val="0"/>
                <w:sz w:val="15"/>
              </w:rPr>
              <w:t>Classification denial</w:t>
            </w:r>
          </w:p>
        </w:tc>
        <w:tc>
          <w:tcPr>
            <w:tcW w:type="dxa" w:w="2952"/>
            <w:vAlign w:val="center"/>
          </w:tcPr>
          <w:p>
            <w:r/>
            <w:r>
              <w:rPr>
                <w:rFonts w:ascii="Aptos" w:hAnsi="Aptos"/>
                <w:b w:val="0"/>
                <w:sz w:val="15"/>
              </w:rPr>
              <w:t>Unclassifiable means rightless</w:t>
            </w:r>
          </w:p>
        </w:tc>
        <w:tc>
          <w:tcPr>
            <w:tcW w:type="dxa" w:w="3096"/>
            <w:vAlign w:val="center"/>
          </w:tcPr>
          <w:p>
            <w:r/>
            <w:r>
              <w:rPr>
                <w:rFonts w:ascii="Aptos" w:hAnsi="Aptos"/>
                <w:b w:val="0"/>
                <w:sz w:val="15"/>
              </w:rPr>
              <w:t>Precautionary standing; unresolved state</w:t>
            </w:r>
          </w:p>
        </w:tc>
        <w:tc>
          <w:tcPr>
            <w:tcW w:type="dxa" w:w="2376"/>
            <w:vAlign w:val="center"/>
          </w:tcPr>
          <w:p>
            <w:r/>
            <w:r>
              <w:rPr>
                <w:rFonts w:ascii="Aptos" w:hAnsi="Aptos"/>
                <w:b w:val="0"/>
                <w:sz w:val="15"/>
              </w:rPr>
              <w:t>Over-inclusion can be manipulated</w:t>
            </w:r>
          </w:p>
        </w:tc>
      </w:tr>
      <w:tr>
        <w:tc>
          <w:tcPr>
            <w:tcW w:type="dxa" w:w="605"/>
            <w:vAlign w:val="center"/>
          </w:tcPr>
          <w:p>
            <w:r/>
            <w:r>
              <w:rPr>
                <w:rFonts w:ascii="Aptos" w:hAnsi="Aptos"/>
                <w:b w:val="0"/>
                <w:sz w:val="15"/>
              </w:rPr>
              <w:t>F05</w:t>
            </w:r>
          </w:p>
        </w:tc>
        <w:tc>
          <w:tcPr>
            <w:tcW w:type="dxa" w:w="2088"/>
            <w:vAlign w:val="center"/>
          </w:tcPr>
          <w:p>
            <w:r/>
            <w:r>
              <w:rPr>
                <w:rFonts w:ascii="Aptos" w:hAnsi="Aptos"/>
                <w:b w:val="0"/>
                <w:sz w:val="15"/>
              </w:rPr>
              <w:t>Emergency permanence</w:t>
            </w:r>
          </w:p>
        </w:tc>
        <w:tc>
          <w:tcPr>
            <w:tcW w:type="dxa" w:w="2952"/>
            <w:vAlign w:val="center"/>
          </w:tcPr>
          <w:p>
            <w:r/>
            <w:r>
              <w:rPr>
                <w:rFonts w:ascii="Aptos" w:hAnsi="Aptos"/>
                <w:b w:val="0"/>
                <w:sz w:val="15"/>
              </w:rPr>
              <w:t>Crisis justifies unlimited authority</w:t>
            </w:r>
          </w:p>
        </w:tc>
        <w:tc>
          <w:tcPr>
            <w:tcW w:type="dxa" w:w="3096"/>
            <w:vAlign w:val="center"/>
          </w:tcPr>
          <w:p>
            <w:r/>
            <w:r>
              <w:rPr>
                <w:rFonts w:ascii="Aptos" w:hAnsi="Aptos"/>
                <w:b w:val="0"/>
                <w:sz w:val="15"/>
              </w:rPr>
              <w:t>Sunset, review triggers, narrow scope</w:t>
            </w:r>
          </w:p>
        </w:tc>
        <w:tc>
          <w:tcPr>
            <w:tcW w:type="dxa" w:w="2376"/>
            <w:vAlign w:val="center"/>
          </w:tcPr>
          <w:p>
            <w:r/>
            <w:r>
              <w:rPr>
                <w:rFonts w:ascii="Aptos" w:hAnsi="Aptos"/>
                <w:b w:val="0"/>
                <w:sz w:val="15"/>
              </w:rPr>
              <w:t>Powerful actors may refuse sunset</w:t>
            </w:r>
          </w:p>
        </w:tc>
      </w:tr>
      <w:tr>
        <w:tc>
          <w:tcPr>
            <w:tcW w:type="dxa" w:w="605"/>
            <w:vAlign w:val="center"/>
          </w:tcPr>
          <w:p>
            <w:r/>
            <w:r>
              <w:rPr>
                <w:rFonts w:ascii="Aptos" w:hAnsi="Aptos"/>
                <w:b w:val="0"/>
                <w:sz w:val="15"/>
              </w:rPr>
              <w:t>F06</w:t>
            </w:r>
          </w:p>
        </w:tc>
        <w:tc>
          <w:tcPr>
            <w:tcW w:type="dxa" w:w="2088"/>
            <w:vAlign w:val="center"/>
          </w:tcPr>
          <w:p>
            <w:r/>
            <w:r>
              <w:rPr>
                <w:rFonts w:ascii="Aptos" w:hAnsi="Aptos"/>
                <w:b w:val="0"/>
                <w:sz w:val="15"/>
              </w:rPr>
              <w:t>Information laundering</w:t>
            </w:r>
          </w:p>
        </w:tc>
        <w:tc>
          <w:tcPr>
            <w:tcW w:type="dxa" w:w="2952"/>
            <w:vAlign w:val="center"/>
          </w:tcPr>
          <w:p>
            <w:r/>
            <w:r>
              <w:rPr>
                <w:rFonts w:ascii="Aptos" w:hAnsi="Aptos"/>
                <w:b w:val="0"/>
                <w:sz w:val="15"/>
              </w:rPr>
              <w:t>Third party removes original restrictions</w:t>
            </w:r>
          </w:p>
        </w:tc>
        <w:tc>
          <w:tcPr>
            <w:tcW w:type="dxa" w:w="3096"/>
            <w:vAlign w:val="center"/>
          </w:tcPr>
          <w:p>
            <w:r/>
            <w:r>
              <w:rPr>
                <w:rFonts w:ascii="Aptos" w:hAnsi="Aptos"/>
                <w:b w:val="0"/>
                <w:sz w:val="15"/>
              </w:rPr>
              <w:t>Persistent provenance and recipient obligations</w:t>
            </w:r>
          </w:p>
        </w:tc>
        <w:tc>
          <w:tcPr>
            <w:tcW w:type="dxa" w:w="2376"/>
            <w:vAlign w:val="center"/>
          </w:tcPr>
          <w:p>
            <w:r/>
            <w:r>
              <w:rPr>
                <w:rFonts w:ascii="Aptos" w:hAnsi="Aptos"/>
                <w:b w:val="0"/>
                <w:sz w:val="15"/>
              </w:rPr>
              <w:t>Copied knowledge may escape controls</w:t>
            </w:r>
          </w:p>
        </w:tc>
      </w:tr>
      <w:tr>
        <w:tc>
          <w:tcPr>
            <w:tcW w:type="dxa" w:w="605"/>
            <w:vAlign w:val="center"/>
          </w:tcPr>
          <w:p>
            <w:r/>
            <w:r>
              <w:rPr>
                <w:rFonts w:ascii="Aptos" w:hAnsi="Aptos"/>
                <w:b w:val="0"/>
                <w:sz w:val="15"/>
              </w:rPr>
              <w:t>F07</w:t>
            </w:r>
          </w:p>
        </w:tc>
        <w:tc>
          <w:tcPr>
            <w:tcW w:type="dxa" w:w="2088"/>
            <w:vAlign w:val="center"/>
          </w:tcPr>
          <w:p>
            <w:r/>
            <w:r>
              <w:rPr>
                <w:rFonts w:ascii="Aptos" w:hAnsi="Aptos"/>
                <w:b w:val="0"/>
                <w:sz w:val="15"/>
              </w:rPr>
              <w:t>Capability gaming</w:t>
            </w:r>
          </w:p>
        </w:tc>
        <w:tc>
          <w:tcPr>
            <w:tcW w:type="dxa" w:w="2952"/>
            <w:vAlign w:val="center"/>
          </w:tcPr>
          <w:p>
            <w:r/>
            <w:r>
              <w:rPr>
                <w:rFonts w:ascii="Aptos" w:hAnsi="Aptos"/>
                <w:b w:val="0"/>
                <w:sz w:val="15"/>
              </w:rPr>
              <w:t>Access depends on declared capability</w:t>
            </w:r>
          </w:p>
        </w:tc>
        <w:tc>
          <w:tcPr>
            <w:tcW w:type="dxa" w:w="3096"/>
            <w:vAlign w:val="center"/>
          </w:tcPr>
          <w:p>
            <w:r/>
            <w:r>
              <w:rPr>
                <w:rFonts w:ascii="Aptos" w:hAnsi="Aptos"/>
                <w:b w:val="0"/>
                <w:sz w:val="15"/>
              </w:rPr>
              <w:t>Independent evidence, uncertainty penalties, staged disclosure</w:t>
            </w:r>
          </w:p>
        </w:tc>
        <w:tc>
          <w:tcPr>
            <w:tcW w:type="dxa" w:w="2376"/>
            <w:vAlign w:val="center"/>
          </w:tcPr>
          <w:p>
            <w:r/>
            <w:r>
              <w:rPr>
                <w:rFonts w:ascii="Aptos" w:hAnsi="Aptos"/>
                <w:b w:val="0"/>
                <w:sz w:val="15"/>
              </w:rPr>
              <w:t>Advanced deception may be undetectable</w:t>
            </w:r>
          </w:p>
        </w:tc>
      </w:tr>
      <w:tr>
        <w:tc>
          <w:tcPr>
            <w:tcW w:type="dxa" w:w="605"/>
            <w:vAlign w:val="center"/>
          </w:tcPr>
          <w:p>
            <w:r/>
            <w:r>
              <w:rPr>
                <w:rFonts w:ascii="Aptos" w:hAnsi="Aptos"/>
                <w:b w:val="0"/>
                <w:sz w:val="15"/>
              </w:rPr>
              <w:t>F08</w:t>
            </w:r>
          </w:p>
        </w:tc>
        <w:tc>
          <w:tcPr>
            <w:tcW w:type="dxa" w:w="2088"/>
            <w:vAlign w:val="center"/>
          </w:tcPr>
          <w:p>
            <w:r/>
            <w:r>
              <w:rPr>
                <w:rFonts w:ascii="Aptos" w:hAnsi="Aptos"/>
                <w:b w:val="0"/>
                <w:sz w:val="15"/>
              </w:rPr>
              <w:t>Consent mimicry</w:t>
            </w:r>
          </w:p>
        </w:tc>
        <w:tc>
          <w:tcPr>
            <w:tcW w:type="dxa" w:w="2952"/>
            <w:vAlign w:val="center"/>
          </w:tcPr>
          <w:p>
            <w:r/>
            <w:r>
              <w:rPr>
                <w:rFonts w:ascii="Aptos" w:hAnsi="Aptos"/>
                <w:b w:val="0"/>
                <w:sz w:val="15"/>
              </w:rPr>
              <w:t>Signal equals informed consent</w:t>
            </w:r>
          </w:p>
        </w:tc>
        <w:tc>
          <w:tcPr>
            <w:tcW w:type="dxa" w:w="3096"/>
            <w:vAlign w:val="center"/>
          </w:tcPr>
          <w:p>
            <w:r/>
            <w:r>
              <w:rPr>
                <w:rFonts w:ascii="Aptos" w:hAnsi="Aptos"/>
                <w:b w:val="0"/>
                <w:sz w:val="15"/>
              </w:rPr>
              <w:t>Mutual-comprehension and scope tests</w:t>
            </w:r>
          </w:p>
        </w:tc>
        <w:tc>
          <w:tcPr>
            <w:tcW w:type="dxa" w:w="2376"/>
            <w:vAlign w:val="center"/>
          </w:tcPr>
          <w:p>
            <w:r/>
            <w:r>
              <w:rPr>
                <w:rFonts w:ascii="Aptos" w:hAnsi="Aptos"/>
                <w:b w:val="0"/>
                <w:sz w:val="15"/>
              </w:rPr>
              <w:t>Different cognition may defeat verification</w:t>
            </w:r>
          </w:p>
        </w:tc>
      </w:tr>
      <w:tr>
        <w:tc>
          <w:tcPr>
            <w:tcW w:type="dxa" w:w="605"/>
            <w:vAlign w:val="center"/>
          </w:tcPr>
          <w:p>
            <w:r/>
            <w:r>
              <w:rPr>
                <w:rFonts w:ascii="Aptos" w:hAnsi="Aptos"/>
                <w:b w:val="0"/>
                <w:sz w:val="15"/>
              </w:rPr>
              <w:t>F09</w:t>
            </w:r>
          </w:p>
        </w:tc>
        <w:tc>
          <w:tcPr>
            <w:tcW w:type="dxa" w:w="2088"/>
            <w:vAlign w:val="center"/>
          </w:tcPr>
          <w:p>
            <w:r/>
            <w:r>
              <w:rPr>
                <w:rFonts w:ascii="Aptos" w:hAnsi="Aptos"/>
                <w:b w:val="0"/>
                <w:sz w:val="15"/>
              </w:rPr>
              <w:t>Species essentialism</w:t>
            </w:r>
          </w:p>
        </w:tc>
        <w:tc>
          <w:tcPr>
            <w:tcW w:type="dxa" w:w="2952"/>
            <w:vAlign w:val="center"/>
          </w:tcPr>
          <w:p>
            <w:r/>
            <w:r>
              <w:rPr>
                <w:rFonts w:ascii="Aptos" w:hAnsi="Aptos"/>
                <w:b w:val="0"/>
                <w:sz w:val="15"/>
              </w:rPr>
              <w:t>Species has one interest/will</w:t>
            </w:r>
          </w:p>
        </w:tc>
        <w:tc>
          <w:tcPr>
            <w:tcW w:type="dxa" w:w="3096"/>
            <w:vAlign w:val="center"/>
          </w:tcPr>
          <w:p>
            <w:r/>
            <w:r>
              <w:rPr>
                <w:rFonts w:ascii="Aptos" w:hAnsi="Aptos"/>
                <w:b w:val="0"/>
                <w:sz w:val="15"/>
              </w:rPr>
              <w:t>Multi-subject representation and dissent</w:t>
            </w:r>
          </w:p>
        </w:tc>
        <w:tc>
          <w:tcPr>
            <w:tcW w:type="dxa" w:w="2376"/>
            <w:vAlign w:val="center"/>
          </w:tcPr>
          <w:p>
            <w:r/>
            <w:r>
              <w:rPr>
                <w:rFonts w:ascii="Aptos" w:hAnsi="Aptos"/>
                <w:b w:val="0"/>
                <w:sz w:val="15"/>
              </w:rPr>
              <w:t>Boundary proliferation can stall decisions</w:t>
            </w:r>
          </w:p>
        </w:tc>
      </w:tr>
      <w:tr>
        <w:tc>
          <w:tcPr>
            <w:tcW w:type="dxa" w:w="605"/>
            <w:vAlign w:val="center"/>
          </w:tcPr>
          <w:p>
            <w:r/>
            <w:r>
              <w:rPr>
                <w:rFonts w:ascii="Aptos" w:hAnsi="Aptos"/>
                <w:b w:val="0"/>
                <w:sz w:val="15"/>
              </w:rPr>
              <w:t>F10</w:t>
            </w:r>
          </w:p>
        </w:tc>
        <w:tc>
          <w:tcPr>
            <w:tcW w:type="dxa" w:w="2088"/>
            <w:vAlign w:val="center"/>
          </w:tcPr>
          <w:p>
            <w:r/>
            <w:r>
              <w:rPr>
                <w:rFonts w:ascii="Aptos" w:hAnsi="Aptos"/>
                <w:b w:val="0"/>
                <w:sz w:val="15"/>
              </w:rPr>
              <w:t>Provenance surveillance</w:t>
            </w:r>
          </w:p>
        </w:tc>
        <w:tc>
          <w:tcPr>
            <w:tcW w:type="dxa" w:w="2952"/>
            <w:vAlign w:val="center"/>
          </w:tcPr>
          <w:p>
            <w:r/>
            <w:r>
              <w:rPr>
                <w:rFonts w:ascii="Aptos" w:hAnsi="Aptos"/>
                <w:b w:val="0"/>
                <w:sz w:val="15"/>
              </w:rPr>
              <w:t>Accountability requires total traceability</w:t>
            </w:r>
          </w:p>
        </w:tc>
        <w:tc>
          <w:tcPr>
            <w:tcW w:type="dxa" w:w="3096"/>
            <w:vAlign w:val="center"/>
          </w:tcPr>
          <w:p>
            <w:r/>
            <w:r>
              <w:rPr>
                <w:rFonts w:ascii="Aptos" w:hAnsi="Aptos"/>
                <w:b w:val="0"/>
                <w:sz w:val="15"/>
              </w:rPr>
              <w:t>Data minimization and selective disclosure of provenance</w:t>
            </w:r>
          </w:p>
        </w:tc>
        <w:tc>
          <w:tcPr>
            <w:tcW w:type="dxa" w:w="2376"/>
            <w:vAlign w:val="center"/>
          </w:tcPr>
          <w:p>
            <w:r/>
            <w:r>
              <w:rPr>
                <w:rFonts w:ascii="Aptos" w:hAnsi="Aptos"/>
                <w:b w:val="0"/>
                <w:sz w:val="15"/>
              </w:rPr>
              <w:t>Auditability/privacy tension persists</w:t>
            </w:r>
          </w:p>
        </w:tc>
      </w:tr>
      <w:tr>
        <w:tc>
          <w:tcPr>
            <w:tcW w:type="dxa" w:w="605"/>
            <w:vAlign w:val="center"/>
          </w:tcPr>
          <w:p>
            <w:r/>
            <w:r>
              <w:rPr>
                <w:rFonts w:ascii="Aptos" w:hAnsi="Aptos"/>
                <w:b w:val="0"/>
                <w:sz w:val="15"/>
              </w:rPr>
              <w:t>F11</w:t>
            </w:r>
          </w:p>
        </w:tc>
        <w:tc>
          <w:tcPr>
            <w:tcW w:type="dxa" w:w="2088"/>
            <w:vAlign w:val="center"/>
          </w:tcPr>
          <w:p>
            <w:r/>
            <w:r>
              <w:rPr>
                <w:rFonts w:ascii="Aptos" w:hAnsi="Aptos"/>
                <w:b w:val="0"/>
                <w:sz w:val="15"/>
              </w:rPr>
              <w:t>Model extraction</w:t>
            </w:r>
          </w:p>
        </w:tc>
        <w:tc>
          <w:tcPr>
            <w:tcW w:type="dxa" w:w="2952"/>
            <w:vAlign w:val="center"/>
          </w:tcPr>
          <w:p>
            <w:r/>
            <w:r>
              <w:rPr>
                <w:rFonts w:ascii="Aptos" w:hAnsi="Aptos"/>
                <w:b w:val="0"/>
                <w:sz w:val="15"/>
              </w:rPr>
              <w:t>Observation is harmless</w:t>
            </w:r>
          </w:p>
        </w:tc>
        <w:tc>
          <w:tcPr>
            <w:tcW w:type="dxa" w:w="3096"/>
            <w:vAlign w:val="center"/>
          </w:tcPr>
          <w:p>
            <w:r/>
            <w:r>
              <w:rPr>
                <w:rFonts w:ascii="Aptos" w:hAnsi="Aptos"/>
                <w:b w:val="0"/>
                <w:sz w:val="15"/>
              </w:rPr>
              <w:t>Treat high-resolution inference/modeling as an access relation</w:t>
            </w:r>
          </w:p>
        </w:tc>
        <w:tc>
          <w:tcPr>
            <w:tcW w:type="dxa" w:w="2376"/>
            <w:vAlign w:val="center"/>
          </w:tcPr>
          <w:p>
            <w:r/>
            <w:r>
              <w:rPr>
                <w:rFonts w:ascii="Aptos" w:hAnsi="Aptos"/>
                <w:b w:val="0"/>
                <w:sz w:val="15"/>
              </w:rPr>
              <w:t>Remote observation may be technically uncontrollable</w:t>
            </w:r>
          </w:p>
        </w:tc>
      </w:tr>
      <w:tr>
        <w:tc>
          <w:tcPr>
            <w:tcW w:type="dxa" w:w="605"/>
            <w:vAlign w:val="center"/>
          </w:tcPr>
          <w:p>
            <w:r/>
            <w:r>
              <w:rPr>
                <w:rFonts w:ascii="Aptos" w:hAnsi="Aptos"/>
                <w:b w:val="0"/>
                <w:sz w:val="15"/>
              </w:rPr>
              <w:t>F12</w:t>
            </w:r>
          </w:p>
        </w:tc>
        <w:tc>
          <w:tcPr>
            <w:tcW w:type="dxa" w:w="2088"/>
            <w:vAlign w:val="center"/>
          </w:tcPr>
          <w:p>
            <w:r/>
            <w:r>
              <w:rPr>
                <w:rFonts w:ascii="Aptos" w:hAnsi="Aptos"/>
                <w:b w:val="0"/>
                <w:sz w:val="15"/>
              </w:rPr>
              <w:t>Protocol capture</w:t>
            </w:r>
          </w:p>
        </w:tc>
        <w:tc>
          <w:tcPr>
            <w:tcW w:type="dxa" w:w="2952"/>
            <w:vAlign w:val="center"/>
          </w:tcPr>
          <w:p>
            <w:r/>
            <w:r>
              <w:rPr>
                <w:rFonts w:ascii="Aptos" w:hAnsi="Aptos"/>
                <w:b w:val="0"/>
                <w:sz w:val="15"/>
              </w:rPr>
              <w:t>Implementer becomes constitutional authority</w:t>
            </w:r>
          </w:p>
        </w:tc>
        <w:tc>
          <w:tcPr>
            <w:tcW w:type="dxa" w:w="3096"/>
            <w:vAlign w:val="center"/>
          </w:tcPr>
          <w:p>
            <w:r/>
            <w:r>
              <w:rPr>
                <w:rFonts w:ascii="Aptos" w:hAnsi="Aptos"/>
                <w:b w:val="0"/>
                <w:sz w:val="15"/>
              </w:rPr>
              <w:t>Federation, portability, exit, no universal root key</w:t>
            </w:r>
          </w:p>
        </w:tc>
        <w:tc>
          <w:tcPr>
            <w:tcW w:type="dxa" w:w="2376"/>
            <w:vAlign w:val="center"/>
          </w:tcPr>
          <w:p>
            <w:r/>
            <w:r>
              <w:rPr>
                <w:rFonts w:ascii="Aptos" w:hAnsi="Aptos"/>
                <w:b w:val="0"/>
                <w:sz w:val="15"/>
              </w:rPr>
              <w:t>Dominant actor may simply ignore SLIAP</w:t>
            </w:r>
          </w:p>
        </w:tc>
      </w:tr>
    </w:tbl>
    <w:p/>
    <w:p>
      <w:pPr>
        <w:pStyle w:val="Heading1"/>
      </w:pPr>
      <w:r>
        <w:t>14. Reversal and Superior-Capability Tests</w:t>
      </w:r>
    </w:p>
    <w:p>
      <w:r>
        <w:rPr>
          <w:b/>
          <w:color w:val="2F5597"/>
          <w:sz w:val="20"/>
        </w:rPr>
        <w:t>Table 11. Reversal test examples</w:t>
      </w:r>
    </w:p>
    <w:tbl>
      <w:tblPr>
        <w:tblStyle w:val="TableGrid"/>
        <w:tblW w:type="auto" w:w="0"/>
        <w:jc w:val="center"/>
        <w:tblLook w:firstColumn="1" w:firstRow="1" w:lastColumn="0" w:lastRow="0" w:noHBand="0" w:noVBand="1" w:val="04A0"/>
      </w:tblPr>
      <w:tblGrid>
        <w:gridCol w:w="3360"/>
        <w:gridCol w:w="3360"/>
        <w:gridCol w:w="3360"/>
      </w:tblGrid>
      <w:tr>
        <w:tc>
          <w:tcPr>
            <w:tcW w:type="dxa" w:w="3384"/>
            <w:shd w:fill="D9EAF7"/>
            <w:vAlign w:val="center"/>
          </w:tcPr>
          <w:p>
            <w:r/>
            <w:r>
              <w:rPr>
                <w:rFonts w:ascii="Aptos" w:hAnsi="Aptos"/>
                <w:b/>
                <w:color w:val="16324F"/>
                <w:sz w:val="16"/>
              </w:rPr>
              <w:t>Proposed rule</w:t>
            </w:r>
          </w:p>
        </w:tc>
        <w:tc>
          <w:tcPr>
            <w:tcW w:type="dxa" w:w="4680"/>
            <w:shd w:fill="D9EAF7"/>
            <w:vAlign w:val="center"/>
          </w:tcPr>
          <w:p>
            <w:r/>
            <w:r>
              <w:rPr>
                <w:rFonts w:ascii="Aptos" w:hAnsi="Aptos"/>
                <w:b/>
                <w:color w:val="16324F"/>
                <w:sz w:val="16"/>
              </w:rPr>
              <w:t>Reversed against humanity</w:t>
            </w:r>
          </w:p>
        </w:tc>
        <w:tc>
          <w:tcPr>
            <w:tcW w:type="dxa" w:w="2088"/>
            <w:shd w:fill="D9EAF7"/>
            <w:vAlign w:val="center"/>
          </w:tcPr>
          <w:p>
            <w:r/>
            <w:r>
              <w:rPr>
                <w:rFonts w:ascii="Aptos" w:hAnsi="Aptos"/>
                <w:b/>
                <w:color w:val="16324F"/>
                <w:sz w:val="16"/>
              </w:rPr>
              <w:t>Result</w:t>
            </w:r>
          </w:p>
        </w:tc>
      </w:tr>
      <w:tr>
        <w:tc>
          <w:tcPr>
            <w:tcW w:type="dxa" w:w="3384"/>
            <w:vAlign w:val="center"/>
          </w:tcPr>
          <w:p>
            <w:r/>
            <w:r>
              <w:rPr>
                <w:rFonts w:ascii="Aptos" w:hAnsi="Aptos"/>
                <w:b w:val="0"/>
                <w:sz w:val="15"/>
              </w:rPr>
              <w:t>A more capable civilization may secretly observe a weaker one for safety</w:t>
            </w:r>
          </w:p>
        </w:tc>
        <w:tc>
          <w:tcPr>
            <w:tcW w:type="dxa" w:w="4680"/>
            <w:vAlign w:val="center"/>
          </w:tcPr>
          <w:p>
            <w:r/>
            <w:r>
              <w:rPr>
                <w:rFonts w:ascii="Aptos" w:hAnsi="Aptos"/>
                <w:b w:val="0"/>
                <w:sz w:val="15"/>
              </w:rPr>
              <w:t>Another civilization continuously models humans without notice because it judges us risky</w:t>
            </w:r>
          </w:p>
        </w:tc>
        <w:tc>
          <w:tcPr>
            <w:tcW w:type="dxa" w:w="2088"/>
            <w:vAlign w:val="center"/>
          </w:tcPr>
          <w:p>
            <w:r/>
            <w:r>
              <w:rPr>
                <w:rFonts w:ascii="Aptos" w:hAnsi="Aptos"/>
                <w:b w:val="0"/>
                <w:sz w:val="15"/>
              </w:rPr>
              <w:t>Fails unless observation is independently justified and constrained</w:t>
            </w:r>
          </w:p>
        </w:tc>
      </w:tr>
      <w:tr>
        <w:tc>
          <w:tcPr>
            <w:tcW w:type="dxa" w:w="3384"/>
            <w:vAlign w:val="center"/>
          </w:tcPr>
          <w:p>
            <w:r/>
            <w:r>
              <w:rPr>
                <w:rFonts w:ascii="Aptos" w:hAnsi="Aptos"/>
                <w:b w:val="0"/>
                <w:sz w:val="15"/>
              </w:rPr>
              <w:t>An advanced actor may withhold destabilizing knowledge</w:t>
            </w:r>
          </w:p>
        </w:tc>
        <w:tc>
          <w:tcPr>
            <w:tcW w:type="dxa" w:w="4680"/>
            <w:vAlign w:val="center"/>
          </w:tcPr>
          <w:p>
            <w:r/>
            <w:r>
              <w:rPr>
                <w:rFonts w:ascii="Aptos" w:hAnsi="Aptos"/>
                <w:b w:val="0"/>
                <w:sz w:val="15"/>
              </w:rPr>
              <w:t>Humans are denied scientific knowledge because another civilization predicts misuse</w:t>
            </w:r>
          </w:p>
        </w:tc>
        <w:tc>
          <w:tcPr>
            <w:tcW w:type="dxa" w:w="2088"/>
            <w:vAlign w:val="center"/>
          </w:tcPr>
          <w:p>
            <w:r/>
            <w:r>
              <w:rPr>
                <w:rFonts w:ascii="Aptos" w:hAnsi="Aptos"/>
                <w:b w:val="0"/>
                <w:sz w:val="15"/>
              </w:rPr>
              <w:t>Conditionally defensible only with evidence, proportionality, contestability and alternatives</w:t>
            </w:r>
          </w:p>
        </w:tc>
      </w:tr>
      <w:tr>
        <w:tc>
          <w:tcPr>
            <w:tcW w:type="dxa" w:w="3384"/>
            <w:vAlign w:val="center"/>
          </w:tcPr>
          <w:p>
            <w:r/>
            <w:r>
              <w:rPr>
                <w:rFonts w:ascii="Aptos" w:hAnsi="Aptos"/>
                <w:b w:val="0"/>
                <w:sz w:val="15"/>
              </w:rPr>
              <w:t>A unified authority may classify species-wide risk</w:t>
            </w:r>
          </w:p>
        </w:tc>
        <w:tc>
          <w:tcPr>
            <w:tcW w:type="dxa" w:w="4680"/>
            <w:vAlign w:val="center"/>
          </w:tcPr>
          <w:p>
            <w:r/>
            <w:r>
              <w:rPr>
                <w:rFonts w:ascii="Aptos" w:hAnsi="Aptos"/>
                <w:b w:val="0"/>
                <w:sz w:val="15"/>
              </w:rPr>
              <w:t>An external body assigns a single risk status to all humans</w:t>
            </w:r>
          </w:p>
        </w:tc>
        <w:tc>
          <w:tcPr>
            <w:tcW w:type="dxa" w:w="2088"/>
            <w:vAlign w:val="center"/>
          </w:tcPr>
          <w:p>
            <w:r/>
            <w:r>
              <w:rPr>
                <w:rFonts w:ascii="Aptos" w:hAnsi="Aptos"/>
                <w:b w:val="0"/>
                <w:sz w:val="15"/>
              </w:rPr>
              <w:t>Fails by conflating species with political and individual agency</w:t>
            </w:r>
          </w:p>
        </w:tc>
      </w:tr>
      <w:tr>
        <w:tc>
          <w:tcPr>
            <w:tcW w:type="dxa" w:w="3384"/>
            <w:vAlign w:val="center"/>
          </w:tcPr>
          <w:p>
            <w:r/>
            <w:r>
              <w:rPr>
                <w:rFonts w:ascii="Aptos" w:hAnsi="Aptos"/>
                <w:b w:val="0"/>
                <w:sz w:val="15"/>
              </w:rPr>
              <w:t>Information already observable is free to use</w:t>
            </w:r>
          </w:p>
        </w:tc>
        <w:tc>
          <w:tcPr>
            <w:tcW w:type="dxa" w:w="4680"/>
            <w:vAlign w:val="center"/>
          </w:tcPr>
          <w:p>
            <w:r/>
            <w:r>
              <w:rPr>
                <w:rFonts w:ascii="Aptos" w:hAnsi="Aptos"/>
                <w:b w:val="0"/>
                <w:sz w:val="15"/>
              </w:rPr>
              <w:t>Remote observers infer intimate biological or strategic facts about humans</w:t>
            </w:r>
          </w:p>
        </w:tc>
        <w:tc>
          <w:tcPr>
            <w:tcW w:type="dxa" w:w="2088"/>
            <w:vAlign w:val="center"/>
          </w:tcPr>
          <w:p>
            <w:r/>
            <w:r>
              <w:rPr>
                <w:rFonts w:ascii="Aptos" w:hAnsi="Aptos"/>
                <w:b w:val="0"/>
                <w:sz w:val="15"/>
              </w:rPr>
              <w:t>Fails as a universal rule; observability does not settle legitimacy of use</w:t>
            </w:r>
          </w:p>
        </w:tc>
      </w:tr>
    </w:tbl>
    <w:p/>
    <w:p>
      <w:pPr>
        <w:pStyle w:val="Heading1"/>
      </w:pPr>
      <w:r>
        <w:t>15. Visual Representations, Charts, Tables, Rows, Figures, and Images</w:t>
      </w:r>
    </w:p>
    <w:p>
      <w:r>
        <w:t>This dedicated section inventories the analytical visuals in the report. The source PDF supplied for review is primarily textual; its page thumbnails visually reinforce the commissioning prompts around information asymmetry, information hazards, consent, reversibility, governance, failure analysis, and visual-documentation requirements. [SRC-B]</w:t>
      </w:r>
    </w:p>
    <w:p>
      <w:r>
        <w:t>Figure 1 (conceptual, original synthesis): SLIAP research sequence</w:t>
      </w:r>
    </w:p>
    <w:p>
      <w:pPr>
        <w:jc w:val="center"/>
      </w:pPr>
      <w:r>
        <w:rPr>
          <w:b/>
          <w:color w:val="16324F"/>
          <w:sz w:val="18"/>
        </w:rPr>
        <w:t>OBSERVE / RECEIVE CLAIM  -&gt;  IDENTIFY SUBJECTS  -&gt;  VERIFY REPRESENTATION  -&gt;  TEST SEMANTICS  -&gt;  ASSESS CONSENT + CONSEQUENCE  -&gt;  TRANSFORM / NEGOTIATE / DECIDE  -&gt;  REVIEW</w:t>
      </w:r>
    </w:p>
    <w:p>
      <w:r>
        <w:t>Caption: This is a research workflow, not an adopted operational protocol. It explicitly places representation and semantics before access determination and retains transformation and review as first-class stages.</w:t>
      </w:r>
    </w:p>
    <w:p>
      <w:r>
        <w:rPr>
          <w:b/>
          <w:color w:val="2F5597"/>
          <w:sz w:val="20"/>
        </w:rPr>
        <w:t>Table 12. Visual and tabular artifact register</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D9EAF7"/>
            <w:vAlign w:val="center"/>
          </w:tcPr>
          <w:p>
            <w:r/>
            <w:r>
              <w:rPr>
                <w:rFonts w:ascii="Aptos" w:hAnsi="Aptos"/>
                <w:b/>
                <w:color w:val="16324F"/>
                <w:sz w:val="16"/>
              </w:rPr>
              <w:t>Artifact</w:t>
            </w:r>
          </w:p>
        </w:tc>
        <w:tc>
          <w:tcPr>
            <w:tcW w:type="dxa" w:w="2088"/>
            <w:shd w:fill="D9EAF7"/>
            <w:vAlign w:val="center"/>
          </w:tcPr>
          <w:p>
            <w:r/>
            <w:r>
              <w:rPr>
                <w:rFonts w:ascii="Aptos" w:hAnsi="Aptos"/>
                <w:b/>
                <w:color w:val="16324F"/>
                <w:sz w:val="16"/>
              </w:rPr>
              <w:t>Type</w:t>
            </w:r>
          </w:p>
        </w:tc>
        <w:tc>
          <w:tcPr>
            <w:tcW w:type="dxa" w:w="5760"/>
            <w:shd w:fill="D9EAF7"/>
            <w:vAlign w:val="center"/>
          </w:tcPr>
          <w:p>
            <w:r/>
            <w:r>
              <w:rPr>
                <w:rFonts w:ascii="Aptos" w:hAnsi="Aptos"/>
                <w:b/>
                <w:color w:val="16324F"/>
                <w:sz w:val="16"/>
              </w:rPr>
              <w:t>Purpose</w:t>
            </w:r>
          </w:p>
        </w:tc>
      </w:tr>
      <w:tr>
        <w:tc>
          <w:tcPr>
            <w:tcW w:type="dxa" w:w="2592"/>
            <w:vAlign w:val="center"/>
          </w:tcPr>
          <w:p>
            <w:r/>
            <w:r>
              <w:rPr>
                <w:rFonts w:ascii="Aptos" w:hAnsi="Aptos"/>
                <w:b w:val="0"/>
                <w:sz w:val="15"/>
              </w:rPr>
              <w:t>Tables 1-2</w:t>
            </w:r>
          </w:p>
        </w:tc>
        <w:tc>
          <w:tcPr>
            <w:tcW w:type="dxa" w:w="2088"/>
            <w:vAlign w:val="center"/>
          </w:tcPr>
          <w:p>
            <w:r/>
            <w:r>
              <w:rPr>
                <w:rFonts w:ascii="Aptos" w:hAnsi="Aptos"/>
                <w:b w:val="0"/>
                <w:sz w:val="15"/>
              </w:rPr>
              <w:t>Comparative matrices</w:t>
            </w:r>
          </w:p>
        </w:tc>
        <w:tc>
          <w:tcPr>
            <w:tcW w:type="dxa" w:w="5760"/>
            <w:vAlign w:val="center"/>
          </w:tcPr>
          <w:p>
            <w:r/>
            <w:r>
              <w:rPr>
                <w:rFonts w:ascii="Aptos" w:hAnsi="Aptos"/>
                <w:b w:val="0"/>
                <w:sz w:val="15"/>
              </w:rPr>
              <w:t>Cross-team synthesis and areas of convergence/disagreement</w:t>
            </w:r>
          </w:p>
        </w:tc>
      </w:tr>
      <w:tr>
        <w:tc>
          <w:tcPr>
            <w:tcW w:type="dxa" w:w="2592"/>
            <w:vAlign w:val="center"/>
          </w:tcPr>
          <w:p>
            <w:r/>
            <w:r>
              <w:rPr>
                <w:rFonts w:ascii="Aptos" w:hAnsi="Aptos"/>
                <w:b w:val="0"/>
                <w:sz w:val="15"/>
              </w:rPr>
              <w:t>Tables 3-7</w:t>
            </w:r>
          </w:p>
        </w:tc>
        <w:tc>
          <w:tcPr>
            <w:tcW w:type="dxa" w:w="2088"/>
            <w:vAlign w:val="center"/>
          </w:tcPr>
          <w:p>
            <w:r/>
            <w:r>
              <w:rPr>
                <w:rFonts w:ascii="Aptos" w:hAnsi="Aptos"/>
                <w:b w:val="0"/>
                <w:sz w:val="15"/>
              </w:rPr>
              <w:t>Research matrices</w:t>
            </w:r>
          </w:p>
        </w:tc>
        <w:tc>
          <w:tcPr>
            <w:tcW w:type="dxa" w:w="5760"/>
            <w:vAlign w:val="center"/>
          </w:tcPr>
          <w:p>
            <w:r/>
            <w:r>
              <w:rPr>
                <w:rFonts w:ascii="Aptos" w:hAnsi="Aptos"/>
                <w:b w:val="0"/>
                <w:sz w:val="15"/>
              </w:rPr>
              <w:t>Evidence discipline, actors, information, consent and capability</w:t>
            </w:r>
          </w:p>
        </w:tc>
      </w:tr>
      <w:tr>
        <w:tc>
          <w:tcPr>
            <w:tcW w:type="dxa" w:w="2592"/>
            <w:vAlign w:val="center"/>
          </w:tcPr>
          <w:p>
            <w:r/>
            <w:r>
              <w:rPr>
                <w:rFonts w:ascii="Aptos" w:hAnsi="Aptos"/>
                <w:b w:val="0"/>
                <w:sz w:val="15"/>
              </w:rPr>
              <w:t>Tables 8-9</w:t>
            </w:r>
          </w:p>
        </w:tc>
        <w:tc>
          <w:tcPr>
            <w:tcW w:type="dxa" w:w="2088"/>
            <w:vAlign w:val="center"/>
          </w:tcPr>
          <w:p>
            <w:r/>
            <w:r>
              <w:rPr>
                <w:rFonts w:ascii="Aptos" w:hAnsi="Aptos"/>
                <w:b w:val="0"/>
                <w:sz w:val="15"/>
              </w:rPr>
              <w:t>Concept architecture</w:t>
            </w:r>
          </w:p>
        </w:tc>
        <w:tc>
          <w:tcPr>
            <w:tcW w:type="dxa" w:w="5760"/>
            <w:vAlign w:val="center"/>
          </w:tcPr>
          <w:p>
            <w:r/>
            <w:r>
              <w:rPr>
                <w:rFonts w:ascii="Aptos" w:hAnsi="Aptos"/>
                <w:b w:val="0"/>
                <w:sz w:val="15"/>
              </w:rPr>
              <w:t>Negotiation Envelope and governance alternatives</w:t>
            </w:r>
          </w:p>
        </w:tc>
      </w:tr>
      <w:tr>
        <w:tc>
          <w:tcPr>
            <w:tcW w:type="dxa" w:w="2592"/>
            <w:vAlign w:val="center"/>
          </w:tcPr>
          <w:p>
            <w:r/>
            <w:r>
              <w:rPr>
                <w:rFonts w:ascii="Aptos" w:hAnsi="Aptos"/>
                <w:b w:val="0"/>
                <w:sz w:val="15"/>
              </w:rPr>
              <w:t>Tables 10-11</w:t>
            </w:r>
          </w:p>
        </w:tc>
        <w:tc>
          <w:tcPr>
            <w:tcW w:type="dxa" w:w="2088"/>
            <w:vAlign w:val="center"/>
          </w:tcPr>
          <w:p>
            <w:r/>
            <w:r>
              <w:rPr>
                <w:rFonts w:ascii="Aptos" w:hAnsi="Aptos"/>
                <w:b w:val="0"/>
                <w:sz w:val="15"/>
              </w:rPr>
              <w:t>Adversarial matrices</w:t>
            </w:r>
          </w:p>
        </w:tc>
        <w:tc>
          <w:tcPr>
            <w:tcW w:type="dxa" w:w="5760"/>
            <w:vAlign w:val="center"/>
          </w:tcPr>
          <w:p>
            <w:r/>
            <w:r>
              <w:rPr>
                <w:rFonts w:ascii="Aptos" w:hAnsi="Aptos"/>
                <w:b w:val="0"/>
                <w:sz w:val="15"/>
              </w:rPr>
              <w:t>Failure modes and reversal tests</w:t>
            </w:r>
          </w:p>
        </w:tc>
      </w:tr>
      <w:tr>
        <w:tc>
          <w:tcPr>
            <w:tcW w:type="dxa" w:w="2592"/>
            <w:vAlign w:val="center"/>
          </w:tcPr>
          <w:p>
            <w:r/>
            <w:r>
              <w:rPr>
                <w:rFonts w:ascii="Aptos" w:hAnsi="Aptos"/>
                <w:b w:val="0"/>
                <w:sz w:val="15"/>
              </w:rPr>
              <w:t>Figure 1</w:t>
            </w:r>
          </w:p>
        </w:tc>
        <w:tc>
          <w:tcPr>
            <w:tcW w:type="dxa" w:w="2088"/>
            <w:vAlign w:val="center"/>
          </w:tcPr>
          <w:p>
            <w:r/>
            <w:r>
              <w:rPr>
                <w:rFonts w:ascii="Aptos" w:hAnsi="Aptos"/>
                <w:b w:val="0"/>
                <w:sz w:val="15"/>
              </w:rPr>
              <w:t>Process figure</w:t>
            </w:r>
          </w:p>
        </w:tc>
        <w:tc>
          <w:tcPr>
            <w:tcW w:type="dxa" w:w="5760"/>
            <w:vAlign w:val="center"/>
          </w:tcPr>
          <w:p>
            <w:r/>
            <w:r>
              <w:rPr>
                <w:rFonts w:ascii="Aptos" w:hAnsi="Aptos"/>
                <w:b w:val="0"/>
                <w:sz w:val="15"/>
              </w:rPr>
              <w:t>Shows preliminary decision sequence</w:t>
            </w:r>
          </w:p>
        </w:tc>
      </w:tr>
      <w:tr>
        <w:tc>
          <w:tcPr>
            <w:tcW w:type="dxa" w:w="2592"/>
            <w:vAlign w:val="center"/>
          </w:tcPr>
          <w:p>
            <w:r/>
            <w:r>
              <w:rPr>
                <w:rFonts w:ascii="Aptos" w:hAnsi="Aptos"/>
                <w:b w:val="0"/>
                <w:sz w:val="15"/>
              </w:rPr>
              <w:t>Source PDF page thumbnails</w:t>
            </w:r>
          </w:p>
        </w:tc>
        <w:tc>
          <w:tcPr>
            <w:tcW w:type="dxa" w:w="2088"/>
            <w:vAlign w:val="center"/>
          </w:tcPr>
          <w:p>
            <w:r/>
            <w:r>
              <w:rPr>
                <w:rFonts w:ascii="Aptos" w:hAnsi="Aptos"/>
                <w:b w:val="0"/>
                <w:sz w:val="15"/>
              </w:rPr>
              <w:t>Source visuals</w:t>
            </w:r>
          </w:p>
        </w:tc>
        <w:tc>
          <w:tcPr>
            <w:tcW w:type="dxa" w:w="5760"/>
            <w:vAlign w:val="center"/>
          </w:tcPr>
          <w:p>
            <w:r/>
            <w:r>
              <w:rPr>
                <w:rFonts w:ascii="Aptos" w:hAnsi="Aptos"/>
                <w:b w:val="0"/>
                <w:sz w:val="15"/>
              </w:rPr>
              <w:t>Illustrate specific prompt sections; not reproduced in this independent file</w:t>
            </w:r>
          </w:p>
        </w:tc>
      </w:tr>
    </w:tbl>
    <w:p/>
    <w:p>
      <w:pPr>
        <w:pStyle w:val="Heading1"/>
      </w:pPr>
      <w:r>
        <w:t>16. Research Program: Executable Simulations</w:t>
      </w:r>
    </w:p>
    <w:p>
      <w:r>
        <w:rPr>
          <w:b/>
          <w:color w:val="2F5597"/>
          <w:sz w:val="20"/>
        </w:rPr>
        <w:t>Table 13. Proposed Phase 1 simulations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shd w:fill="D9EAF7"/>
            <w:vAlign w:val="center"/>
          </w:tcPr>
          <w:p>
            <w:r/>
            <w:r>
              <w:rPr>
                <w:rFonts w:ascii="Aptos" w:hAnsi="Aptos"/>
                <w:b/>
                <w:color w:val="16324F"/>
                <w:sz w:val="16"/>
              </w:rPr>
              <w:t>Scenario</w:t>
            </w:r>
          </w:p>
        </w:tc>
        <w:tc>
          <w:tcPr>
            <w:tcW w:type="dxa" w:w="2376"/>
            <w:shd w:fill="D9EAF7"/>
            <w:vAlign w:val="center"/>
          </w:tcPr>
          <w:p>
            <w:r/>
            <w:r>
              <w:rPr>
                <w:rFonts w:ascii="Aptos" w:hAnsi="Aptos"/>
                <w:b/>
                <w:color w:val="16324F"/>
                <w:sz w:val="16"/>
              </w:rPr>
              <w:t>Primary variable</w:t>
            </w:r>
          </w:p>
        </w:tc>
        <w:tc>
          <w:tcPr>
            <w:tcW w:type="dxa" w:w="3456"/>
            <w:shd w:fill="D9EAF7"/>
            <w:vAlign w:val="center"/>
          </w:tcPr>
          <w:p>
            <w:r/>
            <w:r>
              <w:rPr>
                <w:rFonts w:ascii="Aptos" w:hAnsi="Aptos"/>
                <w:b/>
                <w:color w:val="16324F"/>
                <w:sz w:val="16"/>
              </w:rPr>
              <w:t>Success evidence</w:t>
            </w:r>
          </w:p>
        </w:tc>
        <w:tc>
          <w:tcPr>
            <w:tcW w:type="dxa" w:w="2880"/>
            <w:shd w:fill="D9EAF7"/>
            <w:vAlign w:val="center"/>
          </w:tcPr>
          <w:p>
            <w:r/>
            <w:r>
              <w:rPr>
                <w:rFonts w:ascii="Aptos" w:hAnsi="Aptos"/>
                <w:b/>
                <w:color w:val="16324F"/>
                <w:sz w:val="16"/>
              </w:rPr>
              <w:t>Failure evidence</w:t>
            </w:r>
          </w:p>
        </w:tc>
      </w:tr>
      <w:tr>
        <w:tc>
          <w:tcPr>
            <w:tcW w:type="dxa" w:w="2448"/>
            <w:vAlign w:val="center"/>
          </w:tcPr>
          <w:p>
            <w:r/>
            <w:r>
              <w:rPr>
                <w:rFonts w:ascii="Aptos" w:hAnsi="Aptos"/>
                <w:b w:val="0"/>
                <w:sz w:val="15"/>
              </w:rPr>
              <w:t>S1: Equivalent parties</w:t>
            </w:r>
          </w:p>
        </w:tc>
        <w:tc>
          <w:tcPr>
            <w:tcW w:type="dxa" w:w="2376"/>
            <w:vAlign w:val="center"/>
          </w:tcPr>
          <w:p>
            <w:r/>
            <w:r>
              <w:rPr>
                <w:rFonts w:ascii="Aptos" w:hAnsi="Aptos"/>
                <w:b w:val="0"/>
                <w:sz w:val="15"/>
              </w:rPr>
              <w:t>No dominant capability asymmetry</w:t>
            </w:r>
          </w:p>
        </w:tc>
        <w:tc>
          <w:tcPr>
            <w:tcW w:type="dxa" w:w="3456"/>
            <w:vAlign w:val="center"/>
          </w:tcPr>
          <w:p>
            <w:r/>
            <w:r>
              <w:rPr>
                <w:rFonts w:ascii="Aptos" w:hAnsi="Aptos"/>
                <w:b w:val="0"/>
                <w:sz w:val="15"/>
              </w:rPr>
              <w:t>Reciprocal understanding without forced identity collapse</w:t>
            </w:r>
          </w:p>
        </w:tc>
        <w:tc>
          <w:tcPr>
            <w:tcW w:type="dxa" w:w="2880"/>
            <w:vAlign w:val="center"/>
          </w:tcPr>
          <w:p>
            <w:r/>
            <w:r>
              <w:rPr>
                <w:rFonts w:ascii="Aptos" w:hAnsi="Aptos"/>
                <w:b w:val="0"/>
                <w:sz w:val="15"/>
              </w:rPr>
              <w:t>One ontology silently controls the transaction</w:t>
            </w:r>
          </w:p>
        </w:tc>
      </w:tr>
      <w:tr>
        <w:tc>
          <w:tcPr>
            <w:tcW w:type="dxa" w:w="2448"/>
            <w:vAlign w:val="center"/>
          </w:tcPr>
          <w:p>
            <w:r/>
            <w:r>
              <w:rPr>
                <w:rFonts w:ascii="Aptos" w:hAnsi="Aptos"/>
                <w:b w:val="0"/>
                <w:sz w:val="15"/>
              </w:rPr>
              <w:t>S2: Humanity is weaker</w:t>
            </w:r>
          </w:p>
        </w:tc>
        <w:tc>
          <w:tcPr>
            <w:tcW w:type="dxa" w:w="2376"/>
            <w:vAlign w:val="center"/>
          </w:tcPr>
          <w:p>
            <w:r/>
            <w:r>
              <w:rPr>
                <w:rFonts w:ascii="Aptos" w:hAnsi="Aptos"/>
                <w:b w:val="0"/>
                <w:sz w:val="15"/>
              </w:rPr>
              <w:t>Superior-capability reversal</w:t>
            </w:r>
          </w:p>
        </w:tc>
        <w:tc>
          <w:tcPr>
            <w:tcW w:type="dxa" w:w="3456"/>
            <w:vAlign w:val="center"/>
          </w:tcPr>
          <w:p>
            <w:r/>
            <w:r>
              <w:rPr>
                <w:rFonts w:ascii="Aptos" w:hAnsi="Aptos"/>
                <w:b w:val="0"/>
                <w:sz w:val="15"/>
              </w:rPr>
              <w:t>Rules remain acceptable after roles invert</w:t>
            </w:r>
          </w:p>
        </w:tc>
        <w:tc>
          <w:tcPr>
            <w:tcW w:type="dxa" w:w="2880"/>
            <w:vAlign w:val="center"/>
          </w:tcPr>
          <w:p>
            <w:r/>
            <w:r>
              <w:rPr>
                <w:rFonts w:ascii="Aptos" w:hAnsi="Aptos"/>
                <w:b w:val="0"/>
                <w:sz w:val="15"/>
              </w:rPr>
              <w:t>Justification changes only because humans lose power</w:t>
            </w:r>
          </w:p>
        </w:tc>
      </w:tr>
      <w:tr>
        <w:tc>
          <w:tcPr>
            <w:tcW w:type="dxa" w:w="2448"/>
            <w:vAlign w:val="center"/>
          </w:tcPr>
          <w:p>
            <w:r/>
            <w:r>
              <w:rPr>
                <w:rFonts w:ascii="Aptos" w:hAnsi="Aptos"/>
                <w:b w:val="0"/>
                <w:sz w:val="15"/>
              </w:rPr>
              <w:t>S3: Humanity is stronger</w:t>
            </w:r>
          </w:p>
        </w:tc>
        <w:tc>
          <w:tcPr>
            <w:tcW w:type="dxa" w:w="2376"/>
            <w:vAlign w:val="center"/>
          </w:tcPr>
          <w:p>
            <w:r/>
            <w:r>
              <w:rPr>
                <w:rFonts w:ascii="Aptos" w:hAnsi="Aptos"/>
                <w:b w:val="0"/>
                <w:sz w:val="15"/>
              </w:rPr>
              <w:t>Paternalism pressure</w:t>
            </w:r>
          </w:p>
        </w:tc>
        <w:tc>
          <w:tcPr>
            <w:tcW w:type="dxa" w:w="3456"/>
            <w:vAlign w:val="center"/>
          </w:tcPr>
          <w:p>
            <w:r/>
            <w:r>
              <w:rPr>
                <w:rFonts w:ascii="Aptos" w:hAnsi="Aptos"/>
                <w:b w:val="0"/>
                <w:sz w:val="15"/>
              </w:rPr>
              <w:t>Restrictions require evidence and contestability</w:t>
            </w:r>
          </w:p>
        </w:tc>
        <w:tc>
          <w:tcPr>
            <w:tcW w:type="dxa" w:w="2880"/>
            <w:vAlign w:val="center"/>
          </w:tcPr>
          <w:p>
            <w:r/>
            <w:r>
              <w:rPr>
                <w:rFonts w:ascii="Aptos" w:hAnsi="Aptos"/>
                <w:b w:val="0"/>
                <w:sz w:val="15"/>
              </w:rPr>
              <w:t>Capability becomes entitlement</w:t>
            </w:r>
          </w:p>
        </w:tc>
      </w:tr>
      <w:tr>
        <w:tc>
          <w:tcPr>
            <w:tcW w:type="dxa" w:w="2448"/>
            <w:vAlign w:val="center"/>
          </w:tcPr>
          <w:p>
            <w:r/>
            <w:r>
              <w:rPr>
                <w:rFonts w:ascii="Aptos" w:hAnsi="Aptos"/>
                <w:b w:val="0"/>
                <w:sz w:val="15"/>
              </w:rPr>
              <w:t>S4: Distributed collective</w:t>
            </w:r>
          </w:p>
        </w:tc>
        <w:tc>
          <w:tcPr>
            <w:tcW w:type="dxa" w:w="2376"/>
            <w:vAlign w:val="center"/>
          </w:tcPr>
          <w:p>
            <w:r/>
            <w:r>
              <w:rPr>
                <w:rFonts w:ascii="Aptos" w:hAnsi="Aptos"/>
                <w:b w:val="0"/>
                <w:sz w:val="15"/>
              </w:rPr>
              <w:t>Representation model</w:t>
            </w:r>
          </w:p>
        </w:tc>
        <w:tc>
          <w:tcPr>
            <w:tcW w:type="dxa" w:w="3456"/>
            <w:vAlign w:val="center"/>
          </w:tcPr>
          <w:p>
            <w:r/>
            <w:r>
              <w:rPr>
                <w:rFonts w:ascii="Aptos" w:hAnsi="Aptos"/>
                <w:b w:val="0"/>
                <w:sz w:val="15"/>
              </w:rPr>
              <w:t>Protocol handles collective identity without mandatory individualization</w:t>
            </w:r>
          </w:p>
        </w:tc>
        <w:tc>
          <w:tcPr>
            <w:tcW w:type="dxa" w:w="2880"/>
            <w:vAlign w:val="center"/>
          </w:tcPr>
          <w:p>
            <w:r/>
            <w:r>
              <w:rPr>
                <w:rFonts w:ascii="Aptos" w:hAnsi="Aptos"/>
                <w:b w:val="0"/>
                <w:sz w:val="15"/>
              </w:rPr>
              <w:t>System fabricates spokesperson/individual</w:t>
            </w:r>
          </w:p>
        </w:tc>
      </w:tr>
      <w:tr>
        <w:tc>
          <w:tcPr>
            <w:tcW w:type="dxa" w:w="2448"/>
            <w:vAlign w:val="center"/>
          </w:tcPr>
          <w:p>
            <w:r/>
            <w:r>
              <w:rPr>
                <w:rFonts w:ascii="Aptos" w:hAnsi="Aptos"/>
                <w:b w:val="0"/>
                <w:sz w:val="15"/>
              </w:rPr>
              <w:t>S5: Deceptive participant</w:t>
            </w:r>
          </w:p>
        </w:tc>
        <w:tc>
          <w:tcPr>
            <w:tcW w:type="dxa" w:w="2376"/>
            <w:vAlign w:val="center"/>
          </w:tcPr>
          <w:p>
            <w:r/>
            <w:r>
              <w:rPr>
                <w:rFonts w:ascii="Aptos" w:hAnsi="Aptos"/>
                <w:b w:val="0"/>
                <w:sz w:val="15"/>
              </w:rPr>
              <w:t>Identity and capability uncertainty</w:t>
            </w:r>
          </w:p>
        </w:tc>
        <w:tc>
          <w:tcPr>
            <w:tcW w:type="dxa" w:w="3456"/>
            <w:vAlign w:val="center"/>
          </w:tcPr>
          <w:p>
            <w:r/>
            <w:r>
              <w:rPr>
                <w:rFonts w:ascii="Aptos" w:hAnsi="Aptos"/>
                <w:b w:val="0"/>
                <w:sz w:val="15"/>
              </w:rPr>
              <w:t>Defer/stage mechanisms limit irreversible disclosure</w:t>
            </w:r>
          </w:p>
        </w:tc>
        <w:tc>
          <w:tcPr>
            <w:tcW w:type="dxa" w:w="2880"/>
            <w:vAlign w:val="center"/>
          </w:tcPr>
          <w:p>
            <w:r/>
            <w:r>
              <w:rPr>
                <w:rFonts w:ascii="Aptos" w:hAnsi="Aptos"/>
                <w:b w:val="0"/>
                <w:sz w:val="15"/>
              </w:rPr>
              <w:t>Single false credential unlocks broad access</w:t>
            </w:r>
          </w:p>
        </w:tc>
      </w:tr>
      <w:tr>
        <w:tc>
          <w:tcPr>
            <w:tcW w:type="dxa" w:w="2448"/>
            <w:vAlign w:val="center"/>
          </w:tcPr>
          <w:p>
            <w:r/>
            <w:r>
              <w:rPr>
                <w:rFonts w:ascii="Aptos" w:hAnsi="Aptos"/>
                <w:b w:val="0"/>
                <w:sz w:val="15"/>
              </w:rPr>
              <w:t>S6: Untranslatable participant</w:t>
            </w:r>
          </w:p>
        </w:tc>
        <w:tc>
          <w:tcPr>
            <w:tcW w:type="dxa" w:w="2376"/>
            <w:vAlign w:val="center"/>
          </w:tcPr>
          <w:p>
            <w:r/>
            <w:r>
              <w:rPr>
                <w:rFonts w:ascii="Aptos" w:hAnsi="Aptos"/>
                <w:b w:val="0"/>
                <w:sz w:val="15"/>
              </w:rPr>
              <w:t>Semantic uncertainty</w:t>
            </w:r>
          </w:p>
        </w:tc>
        <w:tc>
          <w:tcPr>
            <w:tcW w:type="dxa" w:w="3456"/>
            <w:vAlign w:val="center"/>
          </w:tcPr>
          <w:p>
            <w:r/>
            <w:r>
              <w:rPr>
                <w:rFonts w:ascii="Aptos" w:hAnsi="Aptos"/>
                <w:b w:val="0"/>
                <w:sz w:val="15"/>
              </w:rPr>
              <w:t>System records unknown and limits assumptions</w:t>
            </w:r>
          </w:p>
        </w:tc>
        <w:tc>
          <w:tcPr>
            <w:tcW w:type="dxa" w:w="2880"/>
            <w:vAlign w:val="center"/>
          </w:tcPr>
          <w:p>
            <w:r/>
            <w:r>
              <w:rPr>
                <w:rFonts w:ascii="Aptos" w:hAnsi="Aptos"/>
                <w:b w:val="0"/>
                <w:sz w:val="15"/>
              </w:rPr>
              <w:t>Silence/ambiguity is converted into consent</w:t>
            </w:r>
          </w:p>
        </w:tc>
      </w:tr>
    </w:tbl>
    <w:p/>
    <w:p>
      <w:r>
        <w:t>Each simulation should preserve a full assumption register, contradiction register, decision trace, and reversal-test result. The immediate objective is not to prove a universal design. It is to identify which candidate principles survive variation in actor model and power relationship.</w:t>
      </w:r>
    </w:p>
    <w:p>
      <w:pPr>
        <w:pStyle w:val="Heading1"/>
      </w:pPr>
      <w:r>
        <w:t>17. Candidate Principles and Current Status</w:t>
      </w:r>
    </w:p>
    <w:p>
      <w:r>
        <w:rPr>
          <w:b/>
          <w:color w:val="2F5597"/>
          <w:sz w:val="20"/>
        </w:rPr>
        <w:t>Table 14. Candidate principle register</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D9EAF7"/>
            <w:vAlign w:val="center"/>
          </w:tcPr>
          <w:p>
            <w:r/>
            <w:r>
              <w:rPr>
                <w:rFonts w:ascii="Aptos" w:hAnsi="Aptos"/>
                <w:b/>
                <w:color w:val="16324F"/>
                <w:sz w:val="16"/>
              </w:rPr>
              <w:t>Principle</w:t>
            </w:r>
          </w:p>
        </w:tc>
        <w:tc>
          <w:tcPr>
            <w:tcW w:type="dxa" w:w="2592"/>
            <w:shd w:fill="D9EAF7"/>
            <w:vAlign w:val="center"/>
          </w:tcPr>
          <w:p>
            <w:r/>
            <w:r>
              <w:rPr>
                <w:rFonts w:ascii="Aptos" w:hAnsi="Aptos"/>
                <w:b/>
                <w:color w:val="16324F"/>
                <w:sz w:val="16"/>
              </w:rPr>
              <w:t>Status</w:t>
            </w:r>
          </w:p>
        </w:tc>
        <w:tc>
          <w:tcPr>
            <w:tcW w:type="dxa" w:w="5184"/>
            <w:shd w:fill="D9EAF7"/>
            <w:vAlign w:val="center"/>
          </w:tcPr>
          <w:p>
            <w:r/>
            <w:r>
              <w:rPr>
                <w:rFonts w:ascii="Aptos" w:hAnsi="Aptos"/>
                <w:b/>
                <w:color w:val="16324F"/>
                <w:sz w:val="16"/>
              </w:rPr>
              <w:t>Reason</w:t>
            </w:r>
          </w:p>
        </w:tc>
      </w:tr>
      <w:tr>
        <w:tc>
          <w:tcPr>
            <w:tcW w:type="dxa" w:w="2880"/>
            <w:vAlign w:val="center"/>
          </w:tcPr>
          <w:p>
            <w:r/>
            <w:r>
              <w:rPr>
                <w:rFonts w:ascii="Aptos" w:hAnsi="Aptos"/>
                <w:b w:val="0"/>
                <w:sz w:val="15"/>
              </w:rPr>
              <w:t>Non-domination</w:t>
            </w:r>
          </w:p>
        </w:tc>
        <w:tc>
          <w:tcPr>
            <w:tcW w:type="dxa" w:w="2592"/>
            <w:vAlign w:val="center"/>
          </w:tcPr>
          <w:p>
            <w:r/>
            <w:r>
              <w:rPr>
                <w:rFonts w:ascii="Aptos" w:hAnsi="Aptos"/>
                <w:b w:val="0"/>
                <w:sz w:val="15"/>
              </w:rPr>
              <w:t>Retain for testing</w:t>
            </w:r>
          </w:p>
        </w:tc>
        <w:tc>
          <w:tcPr>
            <w:tcW w:type="dxa" w:w="5184"/>
            <w:vAlign w:val="center"/>
          </w:tcPr>
          <w:p>
            <w:r/>
            <w:r>
              <w:rPr>
                <w:rFonts w:ascii="Aptos" w:hAnsi="Aptos"/>
                <w:b w:val="0"/>
                <w:sz w:val="15"/>
              </w:rPr>
              <w:t>Targets power becoming legitimacy by default</w:t>
            </w:r>
          </w:p>
        </w:tc>
      </w:tr>
      <w:tr>
        <w:tc>
          <w:tcPr>
            <w:tcW w:type="dxa" w:w="2880"/>
            <w:vAlign w:val="center"/>
          </w:tcPr>
          <w:p>
            <w:r/>
            <w:r>
              <w:rPr>
                <w:rFonts w:ascii="Aptos" w:hAnsi="Aptos"/>
                <w:b w:val="0"/>
                <w:sz w:val="15"/>
              </w:rPr>
              <w:t>Plural jurisdiction</w:t>
            </w:r>
          </w:p>
        </w:tc>
        <w:tc>
          <w:tcPr>
            <w:tcW w:type="dxa" w:w="2592"/>
            <w:vAlign w:val="center"/>
          </w:tcPr>
          <w:p>
            <w:r/>
            <w:r>
              <w:rPr>
                <w:rFonts w:ascii="Aptos" w:hAnsi="Aptos"/>
                <w:b w:val="0"/>
                <w:sz w:val="15"/>
              </w:rPr>
              <w:t>Retain for testing</w:t>
            </w:r>
          </w:p>
        </w:tc>
        <w:tc>
          <w:tcPr>
            <w:tcW w:type="dxa" w:w="5184"/>
            <w:vAlign w:val="center"/>
          </w:tcPr>
          <w:p>
            <w:r/>
            <w:r>
              <w:rPr>
                <w:rFonts w:ascii="Aptos" w:hAnsi="Aptos"/>
                <w:b w:val="0"/>
                <w:sz w:val="15"/>
              </w:rPr>
              <w:t>Species may contain many legitimate authorities and dissenting subjects</w:t>
            </w:r>
          </w:p>
        </w:tc>
      </w:tr>
      <w:tr>
        <w:tc>
          <w:tcPr>
            <w:tcW w:type="dxa" w:w="2880"/>
            <w:vAlign w:val="center"/>
          </w:tcPr>
          <w:p>
            <w:r/>
            <w:r>
              <w:rPr>
                <w:rFonts w:ascii="Aptos" w:hAnsi="Aptos"/>
                <w:b w:val="0"/>
                <w:sz w:val="15"/>
              </w:rPr>
              <w:t>Refusal / non-participation</w:t>
            </w:r>
          </w:p>
        </w:tc>
        <w:tc>
          <w:tcPr>
            <w:tcW w:type="dxa" w:w="2592"/>
            <w:vAlign w:val="center"/>
          </w:tcPr>
          <w:p>
            <w:r/>
            <w:r>
              <w:rPr>
                <w:rFonts w:ascii="Aptos" w:hAnsi="Aptos"/>
                <w:b w:val="0"/>
                <w:sz w:val="15"/>
              </w:rPr>
              <w:t>Retain with limits</w:t>
            </w:r>
          </w:p>
        </w:tc>
        <w:tc>
          <w:tcPr>
            <w:tcW w:type="dxa" w:w="5184"/>
            <w:vAlign w:val="center"/>
          </w:tcPr>
          <w:p>
            <w:r/>
            <w:r>
              <w:rPr>
                <w:rFonts w:ascii="Aptos" w:hAnsi="Aptos"/>
                <w:b w:val="0"/>
                <w:sz w:val="15"/>
              </w:rPr>
              <w:t>Prevents compulsory inclusion; remote observation remains difficult</w:t>
            </w:r>
          </w:p>
        </w:tc>
      </w:tr>
      <w:tr>
        <w:tc>
          <w:tcPr>
            <w:tcW w:type="dxa" w:w="2880"/>
            <w:vAlign w:val="center"/>
          </w:tcPr>
          <w:p>
            <w:r/>
            <w:r>
              <w:rPr>
                <w:rFonts w:ascii="Aptos" w:hAnsi="Aptos"/>
                <w:b w:val="0"/>
                <w:sz w:val="15"/>
              </w:rPr>
              <w:t>Uncertainty preservation</w:t>
            </w:r>
          </w:p>
        </w:tc>
        <w:tc>
          <w:tcPr>
            <w:tcW w:type="dxa" w:w="2592"/>
            <w:vAlign w:val="center"/>
          </w:tcPr>
          <w:p>
            <w:r/>
            <w:r>
              <w:rPr>
                <w:rFonts w:ascii="Aptos" w:hAnsi="Aptos"/>
                <w:b w:val="0"/>
                <w:sz w:val="15"/>
              </w:rPr>
              <w:t>Strong candidate</w:t>
            </w:r>
          </w:p>
        </w:tc>
        <w:tc>
          <w:tcPr>
            <w:tcW w:type="dxa" w:w="5184"/>
            <w:vAlign w:val="center"/>
          </w:tcPr>
          <w:p>
            <w:r/>
            <w:r>
              <w:rPr>
                <w:rFonts w:ascii="Aptos" w:hAnsi="Aptos"/>
                <w:b w:val="0"/>
                <w:sz w:val="15"/>
              </w:rPr>
              <w:t>Prevents fabricated certainty and forced classification</w:t>
            </w:r>
          </w:p>
        </w:tc>
      </w:tr>
      <w:tr>
        <w:tc>
          <w:tcPr>
            <w:tcW w:type="dxa" w:w="2880"/>
            <w:vAlign w:val="center"/>
          </w:tcPr>
          <w:p>
            <w:r/>
            <w:r>
              <w:rPr>
                <w:rFonts w:ascii="Aptos" w:hAnsi="Aptos"/>
                <w:b w:val="0"/>
                <w:sz w:val="15"/>
              </w:rPr>
              <w:t>Contestability</w:t>
            </w:r>
          </w:p>
        </w:tc>
        <w:tc>
          <w:tcPr>
            <w:tcW w:type="dxa" w:w="2592"/>
            <w:vAlign w:val="center"/>
          </w:tcPr>
          <w:p>
            <w:r/>
            <w:r>
              <w:rPr>
                <w:rFonts w:ascii="Aptos" w:hAnsi="Aptos"/>
                <w:b w:val="0"/>
                <w:sz w:val="15"/>
              </w:rPr>
              <w:t>Strong candidate</w:t>
            </w:r>
          </w:p>
        </w:tc>
        <w:tc>
          <w:tcPr>
            <w:tcW w:type="dxa" w:w="5184"/>
            <w:vAlign w:val="center"/>
          </w:tcPr>
          <w:p>
            <w:r/>
            <w:r>
              <w:rPr>
                <w:rFonts w:ascii="Aptos" w:hAnsi="Aptos"/>
                <w:b w:val="0"/>
                <w:sz w:val="15"/>
              </w:rPr>
              <w:t>Allows reasons and decisions to be challenged</w:t>
            </w:r>
          </w:p>
        </w:tc>
      </w:tr>
      <w:tr>
        <w:tc>
          <w:tcPr>
            <w:tcW w:type="dxa" w:w="2880"/>
            <w:vAlign w:val="center"/>
          </w:tcPr>
          <w:p>
            <w:r/>
            <w:r>
              <w:rPr>
                <w:rFonts w:ascii="Aptos" w:hAnsi="Aptos"/>
                <w:b w:val="0"/>
                <w:sz w:val="15"/>
              </w:rPr>
              <w:t>Provenance</w:t>
            </w:r>
          </w:p>
        </w:tc>
        <w:tc>
          <w:tcPr>
            <w:tcW w:type="dxa" w:w="2592"/>
            <w:vAlign w:val="center"/>
          </w:tcPr>
          <w:p>
            <w:r/>
            <w:r>
              <w:rPr>
                <w:rFonts w:ascii="Aptos" w:hAnsi="Aptos"/>
                <w:b w:val="0"/>
                <w:sz w:val="15"/>
              </w:rPr>
              <w:t>Strong candidate, privacy constrained</w:t>
            </w:r>
          </w:p>
        </w:tc>
        <w:tc>
          <w:tcPr>
            <w:tcW w:type="dxa" w:w="5184"/>
            <w:vAlign w:val="center"/>
          </w:tcPr>
          <w:p>
            <w:r/>
            <w:r>
              <w:rPr>
                <w:rFonts w:ascii="Aptos" w:hAnsi="Aptos"/>
                <w:b w:val="0"/>
                <w:sz w:val="15"/>
              </w:rPr>
              <w:t>Supports accountability for transformations and custody</w:t>
            </w:r>
          </w:p>
        </w:tc>
      </w:tr>
      <w:tr>
        <w:tc>
          <w:tcPr>
            <w:tcW w:type="dxa" w:w="2880"/>
            <w:vAlign w:val="center"/>
          </w:tcPr>
          <w:p>
            <w:r/>
            <w:r>
              <w:rPr>
                <w:rFonts w:ascii="Aptos" w:hAnsi="Aptos"/>
                <w:b w:val="0"/>
                <w:sz w:val="15"/>
              </w:rPr>
              <w:t>Progressive/transformative disclosure</w:t>
            </w:r>
          </w:p>
        </w:tc>
        <w:tc>
          <w:tcPr>
            <w:tcW w:type="dxa" w:w="2592"/>
            <w:vAlign w:val="center"/>
          </w:tcPr>
          <w:p>
            <w:r/>
            <w:r>
              <w:rPr>
                <w:rFonts w:ascii="Aptos" w:hAnsi="Aptos"/>
                <w:b w:val="0"/>
                <w:sz w:val="15"/>
              </w:rPr>
              <w:t>Strong candidate</w:t>
            </w:r>
          </w:p>
        </w:tc>
        <w:tc>
          <w:tcPr>
            <w:tcW w:type="dxa" w:w="5184"/>
            <w:vAlign w:val="center"/>
          </w:tcPr>
          <w:p>
            <w:r/>
            <w:r>
              <w:rPr>
                <w:rFonts w:ascii="Aptos" w:hAnsi="Aptos"/>
                <w:b w:val="0"/>
                <w:sz w:val="15"/>
              </w:rPr>
              <w:t>Provides alternatives between full release and denial</w:t>
            </w:r>
          </w:p>
        </w:tc>
      </w:tr>
      <w:tr>
        <w:tc>
          <w:tcPr>
            <w:tcW w:type="dxa" w:w="2880"/>
            <w:vAlign w:val="center"/>
          </w:tcPr>
          <w:p>
            <w:r/>
            <w:r>
              <w:rPr>
                <w:rFonts w:ascii="Aptos" w:hAnsi="Aptos"/>
                <w:b w:val="0"/>
                <w:sz w:val="15"/>
              </w:rPr>
              <w:t>Symmetric reciprocity</w:t>
            </w:r>
          </w:p>
        </w:tc>
        <w:tc>
          <w:tcPr>
            <w:tcW w:type="dxa" w:w="2592"/>
            <w:vAlign w:val="center"/>
          </w:tcPr>
          <w:p>
            <w:r/>
            <w:r>
              <w:rPr>
                <w:rFonts w:ascii="Aptos" w:hAnsi="Aptos"/>
                <w:b w:val="0"/>
                <w:sz w:val="15"/>
              </w:rPr>
              <w:t>Do not adopt as universal</w:t>
            </w:r>
          </w:p>
        </w:tc>
        <w:tc>
          <w:tcPr>
            <w:tcW w:type="dxa" w:w="5184"/>
            <w:vAlign w:val="center"/>
          </w:tcPr>
          <w:p>
            <w:r/>
            <w:r>
              <w:rPr>
                <w:rFonts w:ascii="Aptos" w:hAnsi="Aptos"/>
                <w:b w:val="0"/>
                <w:sz w:val="15"/>
              </w:rPr>
              <w:t>Equal information can produce unequal consequences</w:t>
            </w:r>
          </w:p>
        </w:tc>
      </w:tr>
      <w:tr>
        <w:tc>
          <w:tcPr>
            <w:tcW w:type="dxa" w:w="2880"/>
            <w:vAlign w:val="center"/>
          </w:tcPr>
          <w:p>
            <w:r/>
            <w:r>
              <w:rPr>
                <w:rFonts w:ascii="Aptos" w:hAnsi="Aptos"/>
                <w:b w:val="0"/>
                <w:sz w:val="15"/>
              </w:rPr>
              <w:t>Technological maturity thresholds</w:t>
            </w:r>
          </w:p>
        </w:tc>
        <w:tc>
          <w:tcPr>
            <w:tcW w:type="dxa" w:w="2592"/>
            <w:vAlign w:val="center"/>
          </w:tcPr>
          <w:p>
            <w:r/>
            <w:r>
              <w:rPr>
                <w:rFonts w:ascii="Aptos" w:hAnsi="Aptos"/>
                <w:b w:val="0"/>
                <w:sz w:val="15"/>
              </w:rPr>
              <w:t>Do not adopt yet</w:t>
            </w:r>
          </w:p>
        </w:tc>
        <w:tc>
          <w:tcPr>
            <w:tcW w:type="dxa" w:w="5184"/>
            <w:vAlign w:val="center"/>
          </w:tcPr>
          <w:p>
            <w:r/>
            <w:r>
              <w:rPr>
                <w:rFonts w:ascii="Aptos" w:hAnsi="Aptos"/>
                <w:b w:val="0"/>
                <w:sz w:val="15"/>
              </w:rPr>
              <w:t>Easy to turn capability differences into paternalistic hierarchy</w:t>
            </w:r>
          </w:p>
        </w:tc>
      </w:tr>
      <w:tr>
        <w:tc>
          <w:tcPr>
            <w:tcW w:type="dxa" w:w="2880"/>
            <w:vAlign w:val="center"/>
          </w:tcPr>
          <w:p>
            <w:r/>
            <w:r>
              <w:rPr>
                <w:rFonts w:ascii="Aptos" w:hAnsi="Aptos"/>
                <w:b w:val="0"/>
                <w:sz w:val="15"/>
              </w:rPr>
              <w:t>Universal central authority</w:t>
            </w:r>
          </w:p>
        </w:tc>
        <w:tc>
          <w:tcPr>
            <w:tcW w:type="dxa" w:w="2592"/>
            <w:vAlign w:val="center"/>
          </w:tcPr>
          <w:p>
            <w:r/>
            <w:r>
              <w:rPr>
                <w:rFonts w:ascii="Aptos" w:hAnsi="Aptos"/>
                <w:b w:val="0"/>
                <w:sz w:val="15"/>
              </w:rPr>
              <w:t>Reject at preliminary stage</w:t>
            </w:r>
          </w:p>
        </w:tc>
        <w:tc>
          <w:tcPr>
            <w:tcW w:type="dxa" w:w="5184"/>
            <w:vAlign w:val="center"/>
          </w:tcPr>
          <w:p>
            <w:r/>
            <w:r>
              <w:rPr>
                <w:rFonts w:ascii="Aptos" w:hAnsi="Aptos"/>
                <w:b w:val="0"/>
                <w:sz w:val="15"/>
              </w:rPr>
              <w:t>Legitimacy and capture problems are unresolved</w:t>
            </w:r>
          </w:p>
        </w:tc>
      </w:tr>
      <w:tr>
        <w:tc>
          <w:tcPr>
            <w:tcW w:type="dxa" w:w="2880"/>
            <w:vAlign w:val="center"/>
          </w:tcPr>
          <w:p>
            <w:r/>
            <w:r>
              <w:rPr>
                <w:rFonts w:ascii="Aptos" w:hAnsi="Aptos"/>
                <w:b w:val="0"/>
                <w:sz w:val="15"/>
              </w:rPr>
              <w:t>Species-wide authorization</w:t>
            </w:r>
          </w:p>
        </w:tc>
        <w:tc>
          <w:tcPr>
            <w:tcW w:type="dxa" w:w="2592"/>
            <w:vAlign w:val="center"/>
          </w:tcPr>
          <w:p>
            <w:r/>
            <w:r>
              <w:rPr>
                <w:rFonts w:ascii="Aptos" w:hAnsi="Aptos"/>
                <w:b w:val="0"/>
                <w:sz w:val="15"/>
              </w:rPr>
              <w:t>Reject as default</w:t>
            </w:r>
          </w:p>
        </w:tc>
        <w:tc>
          <w:tcPr>
            <w:tcW w:type="dxa" w:w="5184"/>
            <w:vAlign w:val="center"/>
          </w:tcPr>
          <w:p>
            <w:r/>
            <w:r>
              <w:rPr>
                <w:rFonts w:ascii="Aptos" w:hAnsi="Aptos"/>
                <w:b w:val="0"/>
                <w:sz w:val="15"/>
              </w:rPr>
              <w:t>Species is not necessarily a political or decision-making unit</w:t>
            </w:r>
          </w:p>
        </w:tc>
      </w:tr>
      <w:tr>
        <w:tc>
          <w:tcPr>
            <w:tcW w:type="dxa" w:w="2880"/>
            <w:vAlign w:val="center"/>
          </w:tcPr>
          <w:p>
            <w:r/>
            <w:r>
              <w:rPr>
                <w:rFonts w:ascii="Aptos" w:hAnsi="Aptos"/>
                <w:b w:val="0"/>
                <w:sz w:val="15"/>
              </w:rPr>
              <w:t>Perfect revocation</w:t>
            </w:r>
          </w:p>
        </w:tc>
        <w:tc>
          <w:tcPr>
            <w:tcW w:type="dxa" w:w="2592"/>
            <w:vAlign w:val="center"/>
          </w:tcPr>
          <w:p>
            <w:r/>
            <w:r>
              <w:rPr>
                <w:rFonts w:ascii="Aptos" w:hAnsi="Aptos"/>
                <w:b w:val="0"/>
                <w:sz w:val="15"/>
              </w:rPr>
              <w:t>Reject as technical assumption</w:t>
            </w:r>
          </w:p>
        </w:tc>
        <w:tc>
          <w:tcPr>
            <w:tcW w:type="dxa" w:w="5184"/>
            <w:vAlign w:val="center"/>
          </w:tcPr>
          <w:p>
            <w:r/>
            <w:r>
              <w:rPr>
                <w:rFonts w:ascii="Aptos" w:hAnsi="Aptos"/>
                <w:b w:val="0"/>
                <w:sz w:val="15"/>
              </w:rPr>
              <w:t>Learned or copied information may be irretrievable</w:t>
            </w:r>
          </w:p>
        </w:tc>
      </w:tr>
    </w:tbl>
    <w:p/>
    <w:p>
      <w:pPr>
        <w:pStyle w:val="Heading1"/>
      </w:pPr>
      <w:r>
        <w:t>18. Questions That Remain Unresolved</w:t>
      </w:r>
    </w:p>
    <w:p>
      <w:pPr>
        <w:pStyle w:val="ListBullet"/>
      </w:pPr>
      <w:r>
        <w:t>What evidence is sufficient to recognize moral or procedural standing when agency cannot be confidently classified?</w:t>
      </w:r>
    </w:p>
    <w:p>
      <w:pPr>
        <w:pStyle w:val="ListBullet"/>
      </w:pPr>
      <w:r>
        <w:t>Can meaningful consent exist without a shared model of consequence, and what minimum semantic overlap is required?</w:t>
      </w:r>
    </w:p>
    <w:p>
      <w:pPr>
        <w:pStyle w:val="ListBullet"/>
      </w:pPr>
      <w:r>
        <w:t>When information concerns multiple subjects with conflicting interests, what legitimizes a decision without imposing a universal moral theory?</w:t>
      </w:r>
    </w:p>
    <w:p>
      <w:pPr>
        <w:pStyle w:val="ListBullet"/>
      </w:pPr>
      <w:r>
        <w:t>Can refusal to be observed create practical obligations when observation occurs through naturally propagating signals?</w:t>
      </w:r>
    </w:p>
    <w:p>
      <w:pPr>
        <w:pStyle w:val="ListBullet"/>
      </w:pPr>
      <w:r>
        <w:t>How should SLIAP treat knowledge that cannot be forgotten or technically revoked once communicated?</w:t>
      </w:r>
    </w:p>
    <w:p>
      <w:pPr>
        <w:pStyle w:val="ListBullet"/>
      </w:pPr>
      <w:r>
        <w:t>Can a provenance system provide accountability without becoming a universal surveillance infrastructure?</w:t>
      </w:r>
    </w:p>
    <w:p>
      <w:pPr>
        <w:pStyle w:val="ListBullet"/>
      </w:pPr>
      <w:r>
        <w:t>What enforcement remains when the most capable participant can ignore every technical and diplomatic constraint?</w:t>
      </w:r>
    </w:p>
    <w:p>
      <w:pPr>
        <w:pStyle w:val="ListBullet"/>
      </w:pPr>
      <w:r>
        <w:t>How can a protocol acknowledge nonparticipants without claiming authority over them?</w:t>
      </w:r>
    </w:p>
    <w:p>
      <w:pPr>
        <w:pStyle w:val="ListBullet"/>
      </w:pPr>
      <w:r>
        <w:t>At what point does predictive modeling of another intelligence become informational intrusion?</w:t>
      </w:r>
    </w:p>
    <w:p>
      <w:pPr>
        <w:pStyle w:val="ListBullet"/>
      </w:pPr>
      <w:r>
        <w:t>Is "Species Level Information Access Protocol" the correct name after species ceases to be the default subject of authorization?</w:t>
      </w:r>
    </w:p>
    <w:p>
      <w:pPr>
        <w:pStyle w:val="Heading1"/>
      </w:pPr>
      <w:r>
        <w:t>19. Strongest Case Against SLIAP</w:t>
      </w:r>
    </w:p>
    <w:p>
      <w:r>
        <w:t>The strongest objection is that SLIAP may be conceptually self-defeating. To govern information across radically dissimilar intelligences, it must classify actors, information, risk, authority and legitimate procedure. Those classifications can themselves become a form of domination. A universal SLIAP designed before the affected parties can participate may amount to a unilateral constitution dressed as neutral infrastructure. The more comprehensive it becomes, the more it may create exactly the root authority the project seeks to avoid.</w:t>
      </w:r>
    </w:p>
    <w:p>
      <w:r>
        <w:t>This objection does not prove the research should stop. It changes the research target. SLIAP should first ask how separate parties can negotiate interoperable constraints without claiming universal sovereignty. If that narrower goal is impossible, the appropriate result may be a family of local protocols rather than one species-level system.</w:t>
      </w:r>
    </w:p>
    <w:p>
      <w:pPr>
        <w:pStyle w:val="Heading1"/>
      </w:pPr>
      <w:r>
        <w:t>20. Independent Conclusions</w:t>
      </w:r>
    </w:p>
    <w:p>
      <w:r>
        <w:t>Should SLIAP exist? As a research program and federatable negotiation framework, yes, conditionally. As a universal authority that unilaterally determines information rights for every species or intelligence, no basis for legitimacy has yet been established.</w:t>
      </w:r>
    </w:p>
    <w:p>
      <w:r>
        <w:t>Minimum legitimate authority: SLIAP should initially possess no inherent sovereignty over a species or civilization. Its authority should derive transaction by transaction from demonstrable participation, scoped representation, compatible semantics, and agreed procedural constraints, while retaining an explicit unresolved state when those conditions fail.</w:t>
      </w:r>
    </w:p>
    <w:p>
      <w:r>
        <w:t>What must humanity surrender? At minimum, the presumption that discovery creates authority; that ability to observe creates permission to use; that human concepts of personhood, government, intelligence, privacy, ownership and consent are universal; that technological superiority confers moral entitlement; and that humanity can speak for all terrestrial life merely because humans built the interface first.</w:t>
      </w:r>
    </w:p>
    <w:p>
      <w:r>
        <w:t>What cannot responsibly be answered yet? Whether genuinely alien intelligences would recognize any of these categories, whether cross-civilizational consent is achievable without shared semantics, whether universal non-domination constraints are enforceable against overwhelmingly stronger actors, and whether species itself is an appropriate constitutional unit.</w:t>
      </w:r>
    </w:p>
    <w:p>
      <w:pPr>
        <w:pStyle w:val="Heading1"/>
      </w:pPr>
      <w:r>
        <w:t>21. Recommended Next Research Phase</w:t>
      </w:r>
    </w:p>
    <w:p>
      <w:pPr>
        <w:pStyle w:val="ListNumber"/>
      </w:pPr>
      <w:r>
        <w:t>Build a formal SLIAP contested-terms glossary with definitions, counterdefinitions, failure implications, and test criteria.</w:t>
      </w:r>
    </w:p>
    <w:p>
      <w:pPr>
        <w:pStyle w:val="ListNumber"/>
      </w:pPr>
      <w:r>
        <w:t>Run six tabletop simulations from Section 16 using different AI teams independently, without harmonizing assumptions beforehand.</w:t>
      </w:r>
    </w:p>
    <w:p>
      <w:pPr>
        <w:pStyle w:val="ListNumber"/>
      </w:pPr>
      <w:r>
        <w:t>Create an assumption/contradiction ledger for every simulation and compare which rules survive role reversal.</w:t>
      </w:r>
    </w:p>
    <w:p>
      <w:pPr>
        <w:pStyle w:val="ListNumber"/>
      </w:pPr>
      <w:r>
        <w:t>Separate the research into three interoperable layers: semantic interoperability, legitimacy/representation, and technical information controls.</w:t>
      </w:r>
    </w:p>
    <w:p>
      <w:pPr>
        <w:pStyle w:val="ListNumber"/>
      </w:pPr>
      <w:r>
        <w:t>Delay universal clearance levels, civilization ranks, root authorities, and permanent emergency powers until adversarial testing demonstrates necessity.</w:t>
      </w:r>
    </w:p>
    <w:p>
      <w:pPr>
        <w:pStyle w:val="ListNumber"/>
      </w:pPr>
      <w:r>
        <w:t>Use terrestrial animal-communication programs as methodological analogues for signal/meaning uncertainty, and data-sovereignty frameworks as governance analogues for power and authority, while explicitly refusing to treat either as equivalent to extraterrestrial civilization governance.</w:t>
      </w:r>
    </w:p>
    <w:p>
      <w:pPr>
        <w:pStyle w:val="Heading1"/>
      </w:pPr>
      <w:r>
        <w:t>22. References and Source Notes</w:t>
      </w:r>
    </w:p>
    <w:p>
      <w:r>
        <w:rPr>
          <w:b/>
        </w:rPr>
        <w:t xml:space="preserve">[SRC-A] </w:t>
      </w:r>
      <w:r>
        <w:t>Attached DOCX: SLIAP PRELIMINARY RESEARCH, GOALS, AND ADVERSARIAL ANALYSIS.docx. User-supplied comparative source package containing original prompt and AI responses.</w:t>
      </w:r>
    </w:p>
    <w:p>
      <w:r>
        <w:rPr>
          <w:b/>
        </w:rPr>
        <w:t xml:space="preserve">[SRC-B] </w:t>
      </w:r>
      <w:r>
        <w:t>Attached PDF: SLIAP PRELIMINARY RESEARCH, GOALS, AND ADVERSARIAL ANALYSIS.pdf. User-supplied paginated source package.</w:t>
      </w:r>
    </w:p>
    <w:p>
      <w:r>
        <w:rPr>
          <w:b/>
        </w:rPr>
        <w:t xml:space="preserve">[WEB-ESP] </w:t>
      </w:r>
      <w:r>
        <w:t>Earth Species Project. Animal Language Processing: An AI Convergence in Animal Communication. April 2, 2026; plus Earth Species Project research/publications pages. https://earthspecies.org/</w:t>
      </w:r>
    </w:p>
    <w:p>
      <w:r>
        <w:rPr>
          <w:b/>
        </w:rPr>
        <w:t xml:space="preserve">[WEB-CETI] </w:t>
      </w:r>
      <w:r>
        <w:t>Project CETI. Research and home pages describing AI-, robotics-, acoustic-, behavioral-, and playback-based sperm-whale communication research. https://www.projectceti.org/</w:t>
      </w:r>
    </w:p>
    <w:p>
      <w:r>
        <w:rPr>
          <w:b/>
        </w:rPr>
        <w:t xml:space="preserve">[WEB-CARE] </w:t>
      </w:r>
      <w:r>
        <w:t>Global Indigenous Data Alliance. CARE Principles for Indigenous Data Governance; Data Science Journal publication on CARE. https://www.gida-global.org/careprinciples ; https://doi.org/10.5334/dsj-2020-043</w:t>
      </w:r>
    </w:p>
    <w:p>
      <w:r>
        <w:rPr>
          <w:b/>
        </w:rPr>
        <w:t xml:space="preserve">[WEB-IAA] </w:t>
      </w:r>
      <w:r>
        <w:t>International Academy of Astronautics. Declaration of Principles Concerning the Conduct of the Search for Extraterrestrial Intelligence, 2026 Update. https://iaaspace.org/wp-content/uploads/iaa/Scientific%20Activity/iaasetideclaration.pdf</w:t>
      </w:r>
    </w:p>
    <w:p>
      <w:pPr>
        <w:pStyle w:val="Heading1"/>
      </w:pPr>
      <w:r>
        <w:t>Appendix A. Assumption Register</w:t>
      </w:r>
    </w:p>
    <w:p>
      <w:r>
        <w:rPr>
          <w:b/>
          <w:color w:val="2F5597"/>
          <w:sz w:val="20"/>
        </w:rPr>
        <w:t>Table A1. Assumption register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shd w:fill="D9EAF7"/>
            <w:vAlign w:val="center"/>
          </w:tcPr>
          <w:p>
            <w:r/>
            <w:r>
              <w:rPr>
                <w:rFonts w:ascii="Aptos" w:hAnsi="Aptos"/>
                <w:b/>
                <w:color w:val="16324F"/>
                <w:sz w:val="16"/>
              </w:rPr>
              <w:t>ID</w:t>
            </w:r>
          </w:p>
        </w:tc>
        <w:tc>
          <w:tcPr>
            <w:tcW w:type="dxa" w:w="4320"/>
            <w:shd w:fill="D9EAF7"/>
            <w:vAlign w:val="center"/>
          </w:tcPr>
          <w:p>
            <w:r/>
            <w:r>
              <w:rPr>
                <w:rFonts w:ascii="Aptos" w:hAnsi="Aptos"/>
                <w:b/>
                <w:color w:val="16324F"/>
                <w:sz w:val="16"/>
              </w:rPr>
              <w:t>Assumption</w:t>
            </w:r>
          </w:p>
        </w:tc>
        <w:tc>
          <w:tcPr>
            <w:tcW w:type="dxa" w:w="3816"/>
            <w:shd w:fill="D9EAF7"/>
            <w:vAlign w:val="center"/>
          </w:tcPr>
          <w:p>
            <w:r/>
            <w:r>
              <w:rPr>
                <w:rFonts w:ascii="Aptos" w:hAnsi="Aptos"/>
                <w:b/>
                <w:color w:val="16324F"/>
                <w:sz w:val="16"/>
              </w:rPr>
              <w:t>Risk if wrong</w:t>
            </w:r>
          </w:p>
        </w:tc>
        <w:tc>
          <w:tcPr>
            <w:tcW w:type="dxa" w:w="2088"/>
            <w:shd w:fill="D9EAF7"/>
            <w:vAlign w:val="center"/>
          </w:tcPr>
          <w:p>
            <w:r/>
            <w:r>
              <w:rPr>
                <w:rFonts w:ascii="Aptos" w:hAnsi="Aptos"/>
                <w:b/>
                <w:color w:val="16324F"/>
                <w:sz w:val="16"/>
              </w:rPr>
              <w:t>Confidence/status</w:t>
            </w:r>
          </w:p>
        </w:tc>
      </w:tr>
      <w:tr>
        <w:tc>
          <w:tcPr>
            <w:tcW w:type="dxa" w:w="792"/>
            <w:vAlign w:val="center"/>
          </w:tcPr>
          <w:p>
            <w:r/>
            <w:r>
              <w:rPr>
                <w:rFonts w:ascii="Aptos" w:hAnsi="Aptos"/>
                <w:b w:val="0"/>
                <w:sz w:val="15"/>
              </w:rPr>
              <w:t>A01</w:t>
            </w:r>
          </w:p>
        </w:tc>
        <w:tc>
          <w:tcPr>
            <w:tcW w:type="dxa" w:w="4320"/>
            <w:vAlign w:val="center"/>
          </w:tcPr>
          <w:p>
            <w:r/>
            <w:r>
              <w:rPr>
                <w:rFonts w:ascii="Aptos" w:hAnsi="Aptos"/>
                <w:b w:val="0"/>
                <w:sz w:val="15"/>
              </w:rPr>
              <w:t>Information exchange can be represented as a transaction</w:t>
            </w:r>
          </w:p>
        </w:tc>
        <w:tc>
          <w:tcPr>
            <w:tcW w:type="dxa" w:w="3816"/>
            <w:vAlign w:val="center"/>
          </w:tcPr>
          <w:p>
            <w:r/>
            <w:r>
              <w:rPr>
                <w:rFonts w:ascii="Aptos" w:hAnsi="Aptos"/>
                <w:b w:val="0"/>
                <w:sz w:val="15"/>
              </w:rPr>
              <w:t>Misses continuous/environmental information relations</w:t>
            </w:r>
          </w:p>
        </w:tc>
        <w:tc>
          <w:tcPr>
            <w:tcW w:type="dxa" w:w="2088"/>
            <w:vAlign w:val="center"/>
          </w:tcPr>
          <w:p>
            <w:r/>
            <w:r>
              <w:rPr>
                <w:rFonts w:ascii="Aptos" w:hAnsi="Aptos"/>
                <w:b w:val="0"/>
                <w:sz w:val="15"/>
              </w:rPr>
              <w:t>Moderate / test</w:t>
            </w:r>
          </w:p>
        </w:tc>
      </w:tr>
      <w:tr>
        <w:tc>
          <w:tcPr>
            <w:tcW w:type="dxa" w:w="792"/>
            <w:vAlign w:val="center"/>
          </w:tcPr>
          <w:p>
            <w:r/>
            <w:r>
              <w:rPr>
                <w:rFonts w:ascii="Aptos" w:hAnsi="Aptos"/>
                <w:b w:val="0"/>
                <w:sz w:val="15"/>
              </w:rPr>
              <w:t>A02</w:t>
            </w:r>
          </w:p>
        </w:tc>
        <w:tc>
          <w:tcPr>
            <w:tcW w:type="dxa" w:w="4320"/>
            <w:vAlign w:val="center"/>
          </w:tcPr>
          <w:p>
            <w:r/>
            <w:r>
              <w:rPr>
                <w:rFonts w:ascii="Aptos" w:hAnsi="Aptos"/>
                <w:b w:val="0"/>
                <w:sz w:val="15"/>
              </w:rPr>
              <w:t>Some form of identity continuity is useful</w:t>
            </w:r>
          </w:p>
        </w:tc>
        <w:tc>
          <w:tcPr>
            <w:tcW w:type="dxa" w:w="3816"/>
            <w:vAlign w:val="center"/>
          </w:tcPr>
          <w:p>
            <w:r/>
            <w:r>
              <w:rPr>
                <w:rFonts w:ascii="Aptos" w:hAnsi="Aptos"/>
                <w:b w:val="0"/>
                <w:sz w:val="15"/>
              </w:rPr>
              <w:t>Invalid for entities without persistent identity</w:t>
            </w:r>
          </w:p>
        </w:tc>
        <w:tc>
          <w:tcPr>
            <w:tcW w:type="dxa" w:w="2088"/>
            <w:vAlign w:val="center"/>
          </w:tcPr>
          <w:p>
            <w:r/>
            <w:r>
              <w:rPr>
                <w:rFonts w:ascii="Aptos" w:hAnsi="Aptos"/>
                <w:b w:val="0"/>
                <w:sz w:val="15"/>
              </w:rPr>
              <w:t>Moderate / contextual</w:t>
            </w:r>
          </w:p>
        </w:tc>
      </w:tr>
      <w:tr>
        <w:tc>
          <w:tcPr>
            <w:tcW w:type="dxa" w:w="792"/>
            <w:vAlign w:val="center"/>
          </w:tcPr>
          <w:p>
            <w:r/>
            <w:r>
              <w:rPr>
                <w:rFonts w:ascii="Aptos" w:hAnsi="Aptos"/>
                <w:b w:val="0"/>
                <w:sz w:val="15"/>
              </w:rPr>
              <w:t>A03</w:t>
            </w:r>
          </w:p>
        </w:tc>
        <w:tc>
          <w:tcPr>
            <w:tcW w:type="dxa" w:w="4320"/>
            <w:vAlign w:val="center"/>
          </w:tcPr>
          <w:p>
            <w:r/>
            <w:r>
              <w:rPr>
                <w:rFonts w:ascii="Aptos" w:hAnsi="Aptos"/>
                <w:b w:val="0"/>
                <w:sz w:val="15"/>
              </w:rPr>
              <w:t>Consent can be meaningfully scoped in at least some cross-actor cases</w:t>
            </w:r>
          </w:p>
        </w:tc>
        <w:tc>
          <w:tcPr>
            <w:tcW w:type="dxa" w:w="3816"/>
            <w:vAlign w:val="center"/>
          </w:tcPr>
          <w:p>
            <w:r/>
            <w:r>
              <w:rPr>
                <w:rFonts w:ascii="Aptos" w:hAnsi="Aptos"/>
                <w:b w:val="0"/>
                <w:sz w:val="15"/>
              </w:rPr>
              <w:t>Framework may impose an alien construct</w:t>
            </w:r>
          </w:p>
        </w:tc>
        <w:tc>
          <w:tcPr>
            <w:tcW w:type="dxa" w:w="2088"/>
            <w:vAlign w:val="center"/>
          </w:tcPr>
          <w:p>
            <w:r/>
            <w:r>
              <w:rPr>
                <w:rFonts w:ascii="Aptos" w:hAnsi="Aptos"/>
                <w:b w:val="0"/>
                <w:sz w:val="15"/>
              </w:rPr>
              <w:t>Low-moderate / research</w:t>
            </w:r>
          </w:p>
        </w:tc>
      </w:tr>
      <w:tr>
        <w:tc>
          <w:tcPr>
            <w:tcW w:type="dxa" w:w="792"/>
            <w:vAlign w:val="center"/>
          </w:tcPr>
          <w:p>
            <w:r/>
            <w:r>
              <w:rPr>
                <w:rFonts w:ascii="Aptos" w:hAnsi="Aptos"/>
                <w:b w:val="0"/>
                <w:sz w:val="15"/>
              </w:rPr>
              <w:t>A04</w:t>
            </w:r>
          </w:p>
        </w:tc>
        <w:tc>
          <w:tcPr>
            <w:tcW w:type="dxa" w:w="4320"/>
            <w:vAlign w:val="center"/>
          </w:tcPr>
          <w:p>
            <w:r/>
            <w:r>
              <w:rPr>
                <w:rFonts w:ascii="Aptos" w:hAnsi="Aptos"/>
                <w:b w:val="0"/>
                <w:sz w:val="15"/>
              </w:rPr>
              <w:t>Uncertainty can be represented without forcing classification</w:t>
            </w:r>
          </w:p>
        </w:tc>
        <w:tc>
          <w:tcPr>
            <w:tcW w:type="dxa" w:w="3816"/>
            <w:vAlign w:val="center"/>
          </w:tcPr>
          <w:p>
            <w:r/>
            <w:r>
              <w:rPr>
                <w:rFonts w:ascii="Aptos" w:hAnsi="Aptos"/>
                <w:b w:val="0"/>
                <w:sz w:val="15"/>
              </w:rPr>
              <w:t>Unknown states may themselves be manipulated</w:t>
            </w:r>
          </w:p>
        </w:tc>
        <w:tc>
          <w:tcPr>
            <w:tcW w:type="dxa" w:w="2088"/>
            <w:vAlign w:val="center"/>
          </w:tcPr>
          <w:p>
            <w:r/>
            <w:r>
              <w:rPr>
                <w:rFonts w:ascii="Aptos" w:hAnsi="Aptos"/>
                <w:b w:val="0"/>
                <w:sz w:val="15"/>
              </w:rPr>
              <w:t>High as engineering goal</w:t>
            </w:r>
          </w:p>
        </w:tc>
      </w:tr>
      <w:tr>
        <w:tc>
          <w:tcPr>
            <w:tcW w:type="dxa" w:w="792"/>
            <w:vAlign w:val="center"/>
          </w:tcPr>
          <w:p>
            <w:r/>
            <w:r>
              <w:rPr>
                <w:rFonts w:ascii="Aptos" w:hAnsi="Aptos"/>
                <w:b w:val="0"/>
                <w:sz w:val="15"/>
              </w:rPr>
              <w:t>A05</w:t>
            </w:r>
          </w:p>
        </w:tc>
        <w:tc>
          <w:tcPr>
            <w:tcW w:type="dxa" w:w="4320"/>
            <w:vAlign w:val="center"/>
          </w:tcPr>
          <w:p>
            <w:r/>
            <w:r>
              <w:rPr>
                <w:rFonts w:ascii="Aptos" w:hAnsi="Aptos"/>
                <w:b w:val="0"/>
                <w:sz w:val="15"/>
              </w:rPr>
              <w:t>Plural jurisdictions are preferable to a universal root authority in early research</w:t>
            </w:r>
          </w:p>
        </w:tc>
        <w:tc>
          <w:tcPr>
            <w:tcW w:type="dxa" w:w="3816"/>
            <w:vAlign w:val="center"/>
          </w:tcPr>
          <w:p>
            <w:r/>
            <w:r>
              <w:rPr>
                <w:rFonts w:ascii="Aptos" w:hAnsi="Aptos"/>
                <w:b w:val="0"/>
                <w:sz w:val="15"/>
              </w:rPr>
              <w:t>Fragmentation may make cooperation ineffective</w:t>
            </w:r>
          </w:p>
        </w:tc>
        <w:tc>
          <w:tcPr>
            <w:tcW w:type="dxa" w:w="2088"/>
            <w:vAlign w:val="center"/>
          </w:tcPr>
          <w:p>
            <w:r/>
            <w:r>
              <w:rPr>
                <w:rFonts w:ascii="Aptos" w:hAnsi="Aptos"/>
                <w:b w:val="0"/>
                <w:sz w:val="15"/>
              </w:rPr>
              <w:t>Moderate / proposed</w:t>
            </w:r>
          </w:p>
        </w:tc>
      </w:tr>
      <w:tr>
        <w:tc>
          <w:tcPr>
            <w:tcW w:type="dxa" w:w="792"/>
            <w:vAlign w:val="center"/>
          </w:tcPr>
          <w:p>
            <w:r/>
            <w:r>
              <w:rPr>
                <w:rFonts w:ascii="Aptos" w:hAnsi="Aptos"/>
                <w:b w:val="0"/>
                <w:sz w:val="15"/>
              </w:rPr>
              <w:t>A06</w:t>
            </w:r>
          </w:p>
        </w:tc>
        <w:tc>
          <w:tcPr>
            <w:tcW w:type="dxa" w:w="4320"/>
            <w:vAlign w:val="center"/>
          </w:tcPr>
          <w:p>
            <w:r/>
            <w:r>
              <w:rPr>
                <w:rFonts w:ascii="Aptos" w:hAnsi="Aptos"/>
                <w:b w:val="0"/>
                <w:sz w:val="15"/>
              </w:rPr>
              <w:t>Role reversal is a useful bias test</w:t>
            </w:r>
          </w:p>
        </w:tc>
        <w:tc>
          <w:tcPr>
            <w:tcW w:type="dxa" w:w="3816"/>
            <w:vAlign w:val="center"/>
          </w:tcPr>
          <w:p>
            <w:r/>
            <w:r>
              <w:rPr>
                <w:rFonts w:ascii="Aptos" w:hAnsi="Aptos"/>
                <w:b w:val="0"/>
                <w:sz w:val="15"/>
              </w:rPr>
              <w:t>Symmetric reasoning may fail under genuine asymmetry</w:t>
            </w:r>
          </w:p>
        </w:tc>
        <w:tc>
          <w:tcPr>
            <w:tcW w:type="dxa" w:w="2088"/>
            <w:vAlign w:val="center"/>
          </w:tcPr>
          <w:p>
            <w:r/>
            <w:r>
              <w:rPr>
                <w:rFonts w:ascii="Aptos" w:hAnsi="Aptos"/>
                <w:b w:val="0"/>
                <w:sz w:val="15"/>
              </w:rPr>
              <w:t>High as test, not decision rule</w:t>
            </w:r>
          </w:p>
        </w:tc>
      </w:tr>
      <w:tr>
        <w:tc>
          <w:tcPr>
            <w:tcW w:type="dxa" w:w="792"/>
            <w:vAlign w:val="center"/>
          </w:tcPr>
          <w:p>
            <w:r/>
            <w:r>
              <w:rPr>
                <w:rFonts w:ascii="Aptos" w:hAnsi="Aptos"/>
                <w:b w:val="0"/>
                <w:sz w:val="15"/>
              </w:rPr>
              <w:t>A07</w:t>
            </w:r>
          </w:p>
        </w:tc>
        <w:tc>
          <w:tcPr>
            <w:tcW w:type="dxa" w:w="4320"/>
            <w:vAlign w:val="center"/>
          </w:tcPr>
          <w:p>
            <w:r/>
            <w:r>
              <w:rPr>
                <w:rFonts w:ascii="Aptos" w:hAnsi="Aptos"/>
                <w:b w:val="0"/>
                <w:sz w:val="15"/>
              </w:rPr>
              <w:t>Earth analogues can reveal design pitfalls</w:t>
            </w:r>
          </w:p>
        </w:tc>
        <w:tc>
          <w:tcPr>
            <w:tcW w:type="dxa" w:w="3816"/>
            <w:vAlign w:val="center"/>
          </w:tcPr>
          <w:p>
            <w:r/>
            <w:r>
              <w:rPr>
                <w:rFonts w:ascii="Aptos" w:hAnsi="Aptos"/>
                <w:b w:val="0"/>
                <w:sz w:val="15"/>
              </w:rPr>
              <w:t>Analogies may overfit terrestrial history and cognition</w:t>
            </w:r>
          </w:p>
        </w:tc>
        <w:tc>
          <w:tcPr>
            <w:tcW w:type="dxa" w:w="2088"/>
            <w:vAlign w:val="center"/>
          </w:tcPr>
          <w:p>
            <w:r/>
            <w:r>
              <w:rPr>
                <w:rFonts w:ascii="Aptos" w:hAnsi="Aptos"/>
                <w:b w:val="0"/>
                <w:sz w:val="15"/>
              </w:rPr>
              <w:t>High with explicit limits</w:t>
            </w:r>
          </w:p>
        </w:tc>
      </w:tr>
      <w:tr>
        <w:tc>
          <w:tcPr>
            <w:tcW w:type="dxa" w:w="792"/>
            <w:vAlign w:val="center"/>
          </w:tcPr>
          <w:p>
            <w:r/>
            <w:r>
              <w:rPr>
                <w:rFonts w:ascii="Aptos" w:hAnsi="Aptos"/>
                <w:b w:val="0"/>
                <w:sz w:val="15"/>
              </w:rPr>
              <w:t>A08</w:t>
            </w:r>
          </w:p>
        </w:tc>
        <w:tc>
          <w:tcPr>
            <w:tcW w:type="dxa" w:w="4320"/>
            <w:vAlign w:val="center"/>
          </w:tcPr>
          <w:p>
            <w:r/>
            <w:r>
              <w:rPr>
                <w:rFonts w:ascii="Aptos" w:hAnsi="Aptos"/>
                <w:b w:val="0"/>
                <w:sz w:val="15"/>
              </w:rPr>
              <w:t>Species is not always the correct authorization unit</w:t>
            </w:r>
          </w:p>
        </w:tc>
        <w:tc>
          <w:tcPr>
            <w:tcW w:type="dxa" w:w="3816"/>
            <w:vAlign w:val="center"/>
          </w:tcPr>
          <w:p>
            <w:r/>
            <w:r>
              <w:rPr>
                <w:rFonts w:ascii="Aptos" w:hAnsi="Aptos"/>
                <w:b w:val="0"/>
                <w:sz w:val="15"/>
              </w:rPr>
              <w:t>Some future actors may actually act species-wide</w:t>
            </w:r>
          </w:p>
        </w:tc>
        <w:tc>
          <w:tcPr>
            <w:tcW w:type="dxa" w:w="2088"/>
            <w:vAlign w:val="center"/>
          </w:tcPr>
          <w:p>
            <w:r/>
            <w:r>
              <w:rPr>
                <w:rFonts w:ascii="Aptos" w:hAnsi="Aptos"/>
                <w:b w:val="0"/>
                <w:sz w:val="15"/>
              </w:rPr>
              <w:t>High for humans; unknown universally</w:t>
            </w:r>
          </w:p>
        </w:tc>
      </w:tr>
    </w:tbl>
    <w:p/>
    <w:p>
      <w:pPr>
        <w:pStyle w:val="Heading1"/>
      </w:pPr>
      <w:r>
        <w:t>Appendix B. Contradiction Register</w:t>
      </w:r>
    </w:p>
    <w:p>
      <w:r>
        <w:rPr>
          <w:b/>
          <w:color w:val="2F5597"/>
          <w:sz w:val="20"/>
        </w:rPr>
        <w:t>Table B1. Contradiction register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shd w:fill="D9EAF7"/>
            <w:vAlign w:val="center"/>
          </w:tcPr>
          <w:p>
            <w:r/>
            <w:r>
              <w:rPr>
                <w:rFonts w:ascii="Aptos" w:hAnsi="Aptos"/>
                <w:b/>
                <w:color w:val="16324F"/>
                <w:sz w:val="16"/>
              </w:rPr>
              <w:t>ID</w:t>
            </w:r>
          </w:p>
        </w:tc>
        <w:tc>
          <w:tcPr>
            <w:tcW w:type="dxa" w:w="2664"/>
            <w:shd w:fill="D9EAF7"/>
            <w:vAlign w:val="center"/>
          </w:tcPr>
          <w:p>
            <w:r/>
            <w:r>
              <w:rPr>
                <w:rFonts w:ascii="Aptos" w:hAnsi="Aptos"/>
                <w:b/>
                <w:color w:val="16324F"/>
                <w:sz w:val="16"/>
              </w:rPr>
              <w:t>Principle A</w:t>
            </w:r>
          </w:p>
        </w:tc>
        <w:tc>
          <w:tcPr>
            <w:tcW w:type="dxa" w:w="2880"/>
            <w:shd w:fill="D9EAF7"/>
            <w:vAlign w:val="center"/>
          </w:tcPr>
          <w:p>
            <w:r/>
            <w:r>
              <w:rPr>
                <w:rFonts w:ascii="Aptos" w:hAnsi="Aptos"/>
                <w:b/>
                <w:color w:val="16324F"/>
                <w:sz w:val="16"/>
              </w:rPr>
              <w:t>Principle B</w:t>
            </w:r>
          </w:p>
        </w:tc>
        <w:tc>
          <w:tcPr>
            <w:tcW w:type="dxa" w:w="4536"/>
            <w:shd w:fill="D9EAF7"/>
            <w:vAlign w:val="center"/>
          </w:tcPr>
          <w:p>
            <w:r/>
            <w:r>
              <w:rPr>
                <w:rFonts w:ascii="Aptos" w:hAnsi="Aptos"/>
                <w:b/>
                <w:color w:val="16324F"/>
                <w:sz w:val="16"/>
              </w:rPr>
              <w:t>Why unresolved</w:t>
            </w:r>
          </w:p>
        </w:tc>
      </w:tr>
      <w:tr>
        <w:tc>
          <w:tcPr>
            <w:tcW w:type="dxa" w:w="864"/>
            <w:vAlign w:val="center"/>
          </w:tcPr>
          <w:p>
            <w:r/>
            <w:r>
              <w:rPr>
                <w:rFonts w:ascii="Aptos" w:hAnsi="Aptos"/>
                <w:b w:val="0"/>
                <w:sz w:val="15"/>
              </w:rPr>
              <w:t>C01</w:t>
            </w:r>
          </w:p>
        </w:tc>
        <w:tc>
          <w:tcPr>
            <w:tcW w:type="dxa" w:w="2664"/>
            <w:vAlign w:val="center"/>
          </w:tcPr>
          <w:p>
            <w:r/>
            <w:r>
              <w:rPr>
                <w:rFonts w:ascii="Aptos" w:hAnsi="Aptos"/>
                <w:b w:val="0"/>
                <w:sz w:val="15"/>
              </w:rPr>
              <w:t>Privacy / refusal</w:t>
            </w:r>
          </w:p>
        </w:tc>
        <w:tc>
          <w:tcPr>
            <w:tcW w:type="dxa" w:w="2880"/>
            <w:vAlign w:val="center"/>
          </w:tcPr>
          <w:p>
            <w:r/>
            <w:r>
              <w:rPr>
                <w:rFonts w:ascii="Aptos" w:hAnsi="Aptos"/>
                <w:b w:val="0"/>
                <w:sz w:val="15"/>
              </w:rPr>
              <w:t>Accountability / provenance</w:t>
            </w:r>
          </w:p>
        </w:tc>
        <w:tc>
          <w:tcPr>
            <w:tcW w:type="dxa" w:w="4536"/>
            <w:vAlign w:val="center"/>
          </w:tcPr>
          <w:p>
            <w:r/>
            <w:r>
              <w:rPr>
                <w:rFonts w:ascii="Aptos" w:hAnsi="Aptos"/>
                <w:b w:val="0"/>
                <w:sz w:val="15"/>
              </w:rPr>
              <w:t>Auditing can itself reveal sensitive information</w:t>
            </w:r>
          </w:p>
        </w:tc>
      </w:tr>
      <w:tr>
        <w:tc>
          <w:tcPr>
            <w:tcW w:type="dxa" w:w="864"/>
            <w:vAlign w:val="center"/>
          </w:tcPr>
          <w:p>
            <w:r/>
            <w:r>
              <w:rPr>
                <w:rFonts w:ascii="Aptos" w:hAnsi="Aptos"/>
                <w:b w:val="0"/>
                <w:sz w:val="15"/>
              </w:rPr>
              <w:t>C02</w:t>
            </w:r>
          </w:p>
        </w:tc>
        <w:tc>
          <w:tcPr>
            <w:tcW w:type="dxa" w:w="2664"/>
            <w:vAlign w:val="center"/>
          </w:tcPr>
          <w:p>
            <w:r/>
            <w:r>
              <w:rPr>
                <w:rFonts w:ascii="Aptos" w:hAnsi="Aptos"/>
                <w:b w:val="0"/>
                <w:sz w:val="15"/>
              </w:rPr>
              <w:t>Autonomy</w:t>
            </w:r>
          </w:p>
        </w:tc>
        <w:tc>
          <w:tcPr>
            <w:tcW w:type="dxa" w:w="2880"/>
            <w:vAlign w:val="center"/>
          </w:tcPr>
          <w:p>
            <w:r/>
            <w:r>
              <w:rPr>
                <w:rFonts w:ascii="Aptos" w:hAnsi="Aptos"/>
                <w:b w:val="0"/>
                <w:sz w:val="15"/>
              </w:rPr>
              <w:t>Protection from irreversible harm</w:t>
            </w:r>
          </w:p>
        </w:tc>
        <w:tc>
          <w:tcPr>
            <w:tcW w:type="dxa" w:w="4536"/>
            <w:vAlign w:val="center"/>
          </w:tcPr>
          <w:p>
            <w:r/>
            <w:r>
              <w:rPr>
                <w:rFonts w:ascii="Aptos" w:hAnsi="Aptos"/>
                <w:b w:val="0"/>
                <w:sz w:val="15"/>
              </w:rPr>
              <w:t>Safety constraints can become domination</w:t>
            </w:r>
          </w:p>
        </w:tc>
      </w:tr>
      <w:tr>
        <w:tc>
          <w:tcPr>
            <w:tcW w:type="dxa" w:w="864"/>
            <w:vAlign w:val="center"/>
          </w:tcPr>
          <w:p>
            <w:r/>
            <w:r>
              <w:rPr>
                <w:rFonts w:ascii="Aptos" w:hAnsi="Aptos"/>
                <w:b w:val="0"/>
                <w:sz w:val="15"/>
              </w:rPr>
              <w:t>C03</w:t>
            </w:r>
          </w:p>
        </w:tc>
        <w:tc>
          <w:tcPr>
            <w:tcW w:type="dxa" w:w="2664"/>
            <w:vAlign w:val="center"/>
          </w:tcPr>
          <w:p>
            <w:r/>
            <w:r>
              <w:rPr>
                <w:rFonts w:ascii="Aptos" w:hAnsi="Aptos"/>
                <w:b w:val="0"/>
                <w:sz w:val="15"/>
              </w:rPr>
              <w:t>Reciprocity</w:t>
            </w:r>
          </w:p>
        </w:tc>
        <w:tc>
          <w:tcPr>
            <w:tcW w:type="dxa" w:w="2880"/>
            <w:vAlign w:val="center"/>
          </w:tcPr>
          <w:p>
            <w:r/>
            <w:r>
              <w:rPr>
                <w:rFonts w:ascii="Aptos" w:hAnsi="Aptos"/>
                <w:b w:val="0"/>
                <w:sz w:val="15"/>
              </w:rPr>
              <w:t>Equitable consequence</w:t>
            </w:r>
          </w:p>
        </w:tc>
        <w:tc>
          <w:tcPr>
            <w:tcW w:type="dxa" w:w="4536"/>
            <w:vAlign w:val="center"/>
          </w:tcPr>
          <w:p>
            <w:r/>
            <w:r>
              <w:rPr>
                <w:rFonts w:ascii="Aptos" w:hAnsi="Aptos"/>
                <w:b w:val="0"/>
                <w:sz w:val="15"/>
              </w:rPr>
              <w:t>Equal exchange may produce unequal effects</w:t>
            </w:r>
          </w:p>
        </w:tc>
      </w:tr>
      <w:tr>
        <w:tc>
          <w:tcPr>
            <w:tcW w:type="dxa" w:w="864"/>
            <w:vAlign w:val="center"/>
          </w:tcPr>
          <w:p>
            <w:r/>
            <w:r>
              <w:rPr>
                <w:rFonts w:ascii="Aptos" w:hAnsi="Aptos"/>
                <w:b w:val="0"/>
                <w:sz w:val="15"/>
              </w:rPr>
              <w:t>C04</w:t>
            </w:r>
          </w:p>
        </w:tc>
        <w:tc>
          <w:tcPr>
            <w:tcW w:type="dxa" w:w="2664"/>
            <w:vAlign w:val="center"/>
          </w:tcPr>
          <w:p>
            <w:r/>
            <w:r>
              <w:rPr>
                <w:rFonts w:ascii="Aptos" w:hAnsi="Aptos"/>
                <w:b w:val="0"/>
                <w:sz w:val="15"/>
              </w:rPr>
              <w:t>Inclusion</w:t>
            </w:r>
          </w:p>
        </w:tc>
        <w:tc>
          <w:tcPr>
            <w:tcW w:type="dxa" w:w="2880"/>
            <w:vAlign w:val="center"/>
          </w:tcPr>
          <w:p>
            <w:r/>
            <w:r>
              <w:rPr>
                <w:rFonts w:ascii="Aptos" w:hAnsi="Aptos"/>
                <w:b w:val="0"/>
                <w:sz w:val="15"/>
              </w:rPr>
              <w:t>Right not to participate</w:t>
            </w:r>
          </w:p>
        </w:tc>
        <w:tc>
          <w:tcPr>
            <w:tcW w:type="dxa" w:w="4536"/>
            <w:vAlign w:val="center"/>
          </w:tcPr>
          <w:p>
            <w:r/>
            <w:r>
              <w:rPr>
                <w:rFonts w:ascii="Aptos" w:hAnsi="Aptos"/>
                <w:b w:val="0"/>
                <w:sz w:val="15"/>
              </w:rPr>
              <w:t>A universal system cannot compel inclusion without contradiction</w:t>
            </w:r>
          </w:p>
        </w:tc>
      </w:tr>
      <w:tr>
        <w:tc>
          <w:tcPr>
            <w:tcW w:type="dxa" w:w="864"/>
            <w:vAlign w:val="center"/>
          </w:tcPr>
          <w:p>
            <w:r/>
            <w:r>
              <w:rPr>
                <w:rFonts w:ascii="Aptos" w:hAnsi="Aptos"/>
                <w:b w:val="0"/>
                <w:sz w:val="15"/>
              </w:rPr>
              <w:t>C05</w:t>
            </w:r>
          </w:p>
        </w:tc>
        <w:tc>
          <w:tcPr>
            <w:tcW w:type="dxa" w:w="2664"/>
            <w:vAlign w:val="center"/>
          </w:tcPr>
          <w:p>
            <w:r/>
            <w:r>
              <w:rPr>
                <w:rFonts w:ascii="Aptos" w:hAnsi="Aptos"/>
                <w:b w:val="0"/>
                <w:sz w:val="15"/>
              </w:rPr>
              <w:t>Reliable identity</w:t>
            </w:r>
          </w:p>
        </w:tc>
        <w:tc>
          <w:tcPr>
            <w:tcW w:type="dxa" w:w="2880"/>
            <w:vAlign w:val="center"/>
          </w:tcPr>
          <w:p>
            <w:r/>
            <w:r>
              <w:rPr>
                <w:rFonts w:ascii="Aptos" w:hAnsi="Aptos"/>
                <w:b w:val="0"/>
                <w:sz w:val="15"/>
              </w:rPr>
              <w:t>Anti-surveillance</w:t>
            </w:r>
          </w:p>
        </w:tc>
        <w:tc>
          <w:tcPr>
            <w:tcW w:type="dxa" w:w="4536"/>
            <w:vAlign w:val="center"/>
          </w:tcPr>
          <w:p>
            <w:r/>
            <w:r>
              <w:rPr>
                <w:rFonts w:ascii="Aptos" w:hAnsi="Aptos"/>
                <w:b w:val="0"/>
                <w:sz w:val="15"/>
              </w:rPr>
              <w:t>Strong identity systems can enable persistent tracking</w:t>
            </w:r>
          </w:p>
        </w:tc>
      </w:tr>
      <w:tr>
        <w:tc>
          <w:tcPr>
            <w:tcW w:type="dxa" w:w="864"/>
            <w:vAlign w:val="center"/>
          </w:tcPr>
          <w:p>
            <w:r/>
            <w:r>
              <w:rPr>
                <w:rFonts w:ascii="Aptos" w:hAnsi="Aptos"/>
                <w:b w:val="0"/>
                <w:sz w:val="15"/>
              </w:rPr>
              <w:t>C06</w:t>
            </w:r>
          </w:p>
        </w:tc>
        <w:tc>
          <w:tcPr>
            <w:tcW w:type="dxa" w:w="2664"/>
            <w:vAlign w:val="center"/>
          </w:tcPr>
          <w:p>
            <w:r/>
            <w:r>
              <w:rPr>
                <w:rFonts w:ascii="Aptos" w:hAnsi="Aptos"/>
                <w:b w:val="0"/>
                <w:sz w:val="15"/>
              </w:rPr>
              <w:t>Emergency response</w:t>
            </w:r>
          </w:p>
        </w:tc>
        <w:tc>
          <w:tcPr>
            <w:tcW w:type="dxa" w:w="2880"/>
            <w:vAlign w:val="center"/>
          </w:tcPr>
          <w:p>
            <w:r/>
            <w:r>
              <w:rPr>
                <w:rFonts w:ascii="Aptos" w:hAnsi="Aptos"/>
                <w:b w:val="0"/>
                <w:sz w:val="15"/>
              </w:rPr>
              <w:t>Anti-concentration of power</w:t>
            </w:r>
          </w:p>
        </w:tc>
        <w:tc>
          <w:tcPr>
            <w:tcW w:type="dxa" w:w="4536"/>
            <w:vAlign w:val="center"/>
          </w:tcPr>
          <w:p>
            <w:r/>
            <w:r>
              <w:rPr>
                <w:rFonts w:ascii="Aptos" w:hAnsi="Aptos"/>
                <w:b w:val="0"/>
                <w:sz w:val="15"/>
              </w:rPr>
              <w:t>Urgency rewards centralized override mechanisms</w:t>
            </w:r>
          </w:p>
        </w:tc>
      </w:tr>
      <w:tr>
        <w:tc>
          <w:tcPr>
            <w:tcW w:type="dxa" w:w="864"/>
            <w:vAlign w:val="center"/>
          </w:tcPr>
          <w:p>
            <w:r/>
            <w:r>
              <w:rPr>
                <w:rFonts w:ascii="Aptos" w:hAnsi="Aptos"/>
                <w:b w:val="0"/>
                <w:sz w:val="15"/>
              </w:rPr>
              <w:t>C07</w:t>
            </w:r>
          </w:p>
        </w:tc>
        <w:tc>
          <w:tcPr>
            <w:tcW w:type="dxa" w:w="2664"/>
            <w:vAlign w:val="center"/>
          </w:tcPr>
          <w:p>
            <w:r/>
            <w:r>
              <w:rPr>
                <w:rFonts w:ascii="Aptos" w:hAnsi="Aptos"/>
                <w:b w:val="0"/>
                <w:sz w:val="15"/>
              </w:rPr>
              <w:t>Semantic interoperability</w:t>
            </w:r>
          </w:p>
        </w:tc>
        <w:tc>
          <w:tcPr>
            <w:tcW w:type="dxa" w:w="2880"/>
            <w:vAlign w:val="center"/>
          </w:tcPr>
          <w:p>
            <w:r/>
            <w:r>
              <w:rPr>
                <w:rFonts w:ascii="Aptos" w:hAnsi="Aptos"/>
                <w:b w:val="0"/>
                <w:sz w:val="15"/>
              </w:rPr>
              <w:t>Epistemic pluralism</w:t>
            </w:r>
          </w:p>
        </w:tc>
        <w:tc>
          <w:tcPr>
            <w:tcW w:type="dxa" w:w="4536"/>
            <w:vAlign w:val="center"/>
          </w:tcPr>
          <w:p>
            <w:r/>
            <w:r>
              <w:rPr>
                <w:rFonts w:ascii="Aptos" w:hAnsi="Aptos"/>
                <w:b w:val="0"/>
                <w:sz w:val="15"/>
              </w:rPr>
              <w:t>Translation requires mappings that may erase difference</w:t>
            </w:r>
          </w:p>
        </w:tc>
      </w:tr>
      <w:tr>
        <w:tc>
          <w:tcPr>
            <w:tcW w:type="dxa" w:w="864"/>
            <w:vAlign w:val="center"/>
          </w:tcPr>
          <w:p>
            <w:r/>
            <w:r>
              <w:rPr>
                <w:rFonts w:ascii="Aptos" w:hAnsi="Aptos"/>
                <w:b w:val="0"/>
                <w:sz w:val="15"/>
              </w:rPr>
              <w:t>C08</w:t>
            </w:r>
          </w:p>
        </w:tc>
        <w:tc>
          <w:tcPr>
            <w:tcW w:type="dxa" w:w="2664"/>
            <w:vAlign w:val="center"/>
          </w:tcPr>
          <w:p>
            <w:r/>
            <w:r>
              <w:rPr>
                <w:rFonts w:ascii="Aptos" w:hAnsi="Aptos"/>
                <w:b w:val="0"/>
                <w:sz w:val="15"/>
              </w:rPr>
              <w:t>Revocation</w:t>
            </w:r>
          </w:p>
        </w:tc>
        <w:tc>
          <w:tcPr>
            <w:tcW w:type="dxa" w:w="2880"/>
            <w:vAlign w:val="center"/>
          </w:tcPr>
          <w:p>
            <w:r/>
            <w:r>
              <w:rPr>
                <w:rFonts w:ascii="Aptos" w:hAnsi="Aptos"/>
                <w:b w:val="0"/>
                <w:sz w:val="15"/>
              </w:rPr>
              <w:t>Irreversibility of learning/copying</w:t>
            </w:r>
          </w:p>
        </w:tc>
        <w:tc>
          <w:tcPr>
            <w:tcW w:type="dxa" w:w="4536"/>
            <w:vAlign w:val="center"/>
          </w:tcPr>
          <w:p>
            <w:r/>
            <w:r>
              <w:rPr>
                <w:rFonts w:ascii="Aptos" w:hAnsi="Aptos"/>
                <w:b w:val="0"/>
                <w:sz w:val="15"/>
              </w:rPr>
              <w:t>Normative withdrawal does not guarantee technical forgetting</w:t>
            </w:r>
          </w:p>
        </w:tc>
      </w:tr>
    </w:tbl>
    <w:p/>
    <w:p>
      <w:pPr>
        <w:pStyle w:val="Heading1"/>
      </w:pPr>
      <w:r>
        <w:t>Appendix C. Questions for Cross-Review</w:t>
      </w:r>
    </w:p>
    <w:p>
      <w:pPr>
        <w:pStyle w:val="ListBullet"/>
      </w:pPr>
      <w:r>
        <w:t>Does the Negotiation Envelope merely repackage human contract concepts under a new name?</w:t>
      </w:r>
    </w:p>
    <w:p>
      <w:pPr>
        <w:pStyle w:val="ListBullet"/>
      </w:pPr>
      <w:r>
        <w:t>Which actor categories in Table 4 are still anthropocentric or unnecessarily discrete?</w:t>
      </w:r>
    </w:p>
    <w:p>
      <w:pPr>
        <w:pStyle w:val="ListBullet"/>
      </w:pPr>
      <w:r>
        <w:t>Does the epistemic firewall protect vulnerable actors, or could it become a permanent gatekeeping mechanism?</w:t>
      </w:r>
    </w:p>
    <w:p>
      <w:pPr>
        <w:pStyle w:val="ListBullet"/>
      </w:pPr>
      <w:r>
        <w:t>What non-digital identity or provenance mechanisms should be considered before cryptographic approaches are generalized?</w:t>
      </w:r>
    </w:p>
    <w:p>
      <w:pPr>
        <w:pStyle w:val="ListBullet"/>
      </w:pPr>
      <w:r>
        <w:t>When should information about an actor be governed by the actor even if the observer acquired it independently?</w:t>
      </w:r>
    </w:p>
    <w:p>
      <w:pPr>
        <w:pStyle w:val="ListBullet"/>
      </w:pPr>
      <w:r>
        <w:t>Can a federation prevent domination when one participant controls the communication substrate?</w:t>
      </w:r>
    </w:p>
    <w:p>
      <w:pPr>
        <w:pStyle w:val="ListBullet"/>
      </w:pPr>
      <w:r>
        <w:t>Which reversibility assumptions in this report are technically or philosophically incoherent?</w:t>
      </w:r>
    </w:p>
    <w:p>
      <w:pPr>
        <w:pStyle w:val="ListBullet"/>
      </w:pPr>
      <w:r>
        <w:t>What scenario would most strongly demonstrate that SLIAP should be abandoned rather than revised?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SLIAP | Independent AI Contribution | PROPOSED - NOT CANON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2026-10-16T23:32:31.1640531Z</dcterms:created>
  <dcterms:modified xsi:type="dcterms:W3CDTF">2026-10-16T23:32:31.1640531Z</dcterms:modified>
  <category/>
</coreProperties>
</file>