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center"/>
      </w:pPr>
      <w:r>
        <w:rPr>
          <w:rFonts w:ascii="Calibri" w:cs="Calibri" w:eastAsia="Calibri" w:hAnsi="Calibri"/>
          <w:b w:val="false"/>
          <w:bCs w:val="false"/>
          <w:i w:val="false"/>
          <w:iCs w:val="false"/>
          <w:strike w:val="false"/>
          <w:color w:val="555555"/>
          <w:spacing w:val="45"/>
          <w:sz w:val="20"/>
          <w:szCs w:val="20"/>
        </w:rPr>
        <w:t xml:space="preserve">OMNIVERSAL ARCHITECT LABS  |  ONE INDUSTRIES  |  LEWIS CORP</w:t>
      </w:r>
    </w:p>
    <w:p>
      <w:pPr>
        <w:spacing w:after="360" w:line="360" w:lineRule="auto"/>
        <w:jc w:val="center"/>
      </w:pPr>
      <w:r>
        <w:rPr>
          <w:rFonts w:ascii="Consolas" w:cs="Consolas" w:eastAsia="Consolas" w:hAnsi="Consolas"/>
          <w:b/>
          <w:bCs/>
          <w:i w:val="false"/>
          <w:iCs w:val="false"/>
          <w:strike w:val="false"/>
          <w:color w:val="1A3A7A"/>
          <w:spacing w:val="30"/>
          <w:sz w:val="22"/>
          <w:szCs w:val="22"/>
        </w:rPr>
        <w:t xml:space="preserve">OAL-SL-TDA-COP-1.0</w:t>
      </w:r>
    </w:p>
    <w:p>
      <w:pPr>
        <w:spacing w:after="240" w:line="288" w:lineRule="auto"/>
        <w:jc w:val="center"/>
      </w:pPr>
      <w:r>
        <w:rPr>
          <w:rFonts w:ascii="Calibri" w:cs="Calibri" w:eastAsia="Calibri" w:hAnsi="Calibri"/>
          <w:b/>
          <w:bCs/>
          <w:i w:val="false"/>
          <w:iCs w:val="false"/>
          <w:strike w:val="false"/>
          <w:color w:val="0D2B6B"/>
          <w:sz w:val="52"/>
          <w:szCs w:val="52"/>
        </w:rPr>
        <w:t xml:space="preserve">Tridactyl Manipulation Architecture —</w:t>
      </w:r>
      <w:r>
        <w:rPr>
          <w:rFonts w:ascii="Calibri" w:cs="Calibri" w:eastAsia="Calibri" w:hAnsi="Calibri"/>
          <w:b/>
          <w:bCs/>
          <w:i w:val="false"/>
          <w:iCs w:val="false"/>
          <w:color w:val="0D2B6B"/>
          <w:sz w:val="52"/>
          <w:szCs w:val="52"/>
        </w:rPr>
        <w:br/>
      </w:r>
      <w:r>
        <w:rPr>
          <w:rFonts w:ascii="Calibri" w:cs="Calibri" w:eastAsia="Calibri" w:hAnsi="Calibri"/>
          <w:b/>
          <w:bCs/>
          <w:i w:val="false"/>
          <w:iCs w:val="false"/>
          <w:strike w:val="false"/>
          <w:color w:val="0D2B6B"/>
          <w:sz w:val="52"/>
          <w:szCs w:val="52"/>
        </w:rPr>
        <w:t xml:space="preserve">Systems Integration &amp; Representation Coherence Lab</w:t>
      </w:r>
    </w:p>
    <w:p>
      <w:pPr>
        <w:spacing w:after="240" w:line="360" w:lineRule="auto"/>
        <w:jc w:val="center"/>
      </w:pPr>
      <w:r>
        <w:rPr>
          <w:rFonts w:ascii="Calibri" w:cs="Calibri" w:eastAsia="Calibri" w:hAnsi="Calibri"/>
          <w:b w:val="false"/>
          <w:bCs w:val="false"/>
          <w:i/>
          <w:iCs/>
          <w:strike w:val="false"/>
          <w:color w:val="1A3A7A"/>
          <w:sz w:val="28"/>
          <w:szCs w:val="28"/>
        </w:rPr>
        <w:t xml:space="preserve">A Simulation-Lab Research Design Framework</w:t>
      </w:r>
      <w:r>
        <w:rPr>
          <w:rFonts w:ascii="Calibri" w:cs="Calibri" w:eastAsia="Calibri" w:hAnsi="Calibri"/>
          <w:b w:val="false"/>
          <w:bCs w:val="false"/>
          <w:i/>
          <w:iCs/>
          <w:color w:val="1A3A7A"/>
          <w:sz w:val="28"/>
          <w:szCs w:val="28"/>
        </w:rPr>
        <w:br/>
      </w:r>
      <w:r>
        <w:rPr>
          <w:rFonts w:ascii="Calibri" w:cs="Calibri" w:eastAsia="Calibri" w:hAnsi="Calibri"/>
          <w:b w:val="false"/>
          <w:bCs w:val="false"/>
          <w:i/>
          <w:iCs/>
          <w:strike w:val="false"/>
          <w:color w:val="1A3A7A"/>
          <w:sz w:val="28"/>
          <w:szCs w:val="28"/>
        </w:rPr>
        <w:t xml:space="preserve">Copilot Independent Instrument</w:t>
      </w:r>
    </w:p>
    <w:p>
      <w:pPr>
        <w:spacing w:after="240" w:line="360" w:lineRule="auto"/>
        <w:jc w:val="center"/>
      </w:pPr>
      <w:r>
        <w:rPr>
          <w:rFonts w:ascii="Calibri" w:cs="Calibri" w:eastAsia="Calibri" w:hAnsi="Calibri"/>
          <w:b/>
          <w:bCs/>
          <w:i w:val="false"/>
          <w:iCs w:val="false"/>
          <w:strike w:val="false"/>
          <w:color w:val="FFFFFF"/>
          <w:spacing w:val="15"/>
          <w:sz w:val="20"/>
          <w:szCs w:val="20"/>
          <w:shd w:fill="0D2B6B" w:color="auto" w:val="clear"/>
        </w:rPr>
        <w:t xml:space="preserve">COPILOT INDEPENDENT DRAFT — SYSTEMS INTEGRATION LANE</w:t>
      </w:r>
    </w:p>
    <w:p>
      <w:pPr>
        <w:pBdr>
          <w:bottom w:val="single" w:color="000000" w:sz="6"/>
        </w:pBdr>
        <w:spacing w:after="240" w:before="240"/>
      </w:pPr>
    </w:p>
    <w:p>
      <w:pPr>
        <w:spacing w:after="240" w:line="480" w:lineRule="auto"/>
        <w:jc w:val="center"/>
      </w:pPr>
      <w:r>
        <w:rPr>
          <w:rFonts w:ascii="Calibri" w:cs="Calibri" w:eastAsia="Calibri" w:hAnsi="Calibri"/>
          <w:b/>
          <w:bCs/>
          <w:i w:val="false"/>
          <w:iCs w:val="false"/>
          <w:strike w:val="false"/>
          <w:color w:val="0D2B6B"/>
          <w:sz w:val="22"/>
          <w:szCs w:val="22"/>
        </w:rPr>
        <w:t xml:space="preserve">Date:</w:t>
      </w:r>
      <w:r>
        <w:rPr>
          <w:rFonts w:ascii="Calibri" w:cs="Calibri" w:eastAsia="Calibri" w:hAnsi="Calibri"/>
          <w:b w:val="false"/>
          <w:bCs w:val="false"/>
          <w:i w:val="false"/>
          <w:iCs w:val="false"/>
          <w:strike w:val="false"/>
          <w:color w:val="333333"/>
          <w:sz w:val="20"/>
          <w:szCs w:val="20"/>
        </w:rPr>
        <w:t xml:space="preserve"> September 21, 2026</w:t>
      </w:r>
      <w:r>
        <w:rPr>
          <w:rFonts w:ascii="Calibri" w:cs="Calibri" w:eastAsia="Calibri" w:hAnsi="Calibri"/>
          <w:b w:val="false"/>
          <w:bCs w:val="false"/>
          <w:i w:val="false"/>
          <w:iCs w:val="false"/>
          <w:color w:val="333333"/>
          <w:sz w:val="20"/>
          <w:szCs w:val="20"/>
        </w:rPr>
        <w:br/>
      </w:r>
      <w:r>
        <w:rPr>
          <w:rFonts w:ascii="Calibri" w:cs="Calibri" w:eastAsia="Calibri" w:hAnsi="Calibri"/>
          <w:b w:val="false"/>
          <w:bCs w:val="false"/>
          <w:i w:val="false"/>
          <w:iCs w:val="false"/>
          <w:strike w:val="false"/>
          <w:color w:val="333333"/>
          <w:sz w:val="20"/>
          <w:szCs w:val="20"/>
        </w:rPr>
        <w:t xml:space="preserve"> </w:t>
      </w:r>
      <w:r>
        <w:rPr>
          <w:rFonts w:ascii="Calibri" w:cs="Calibri" w:eastAsia="Calibri" w:hAnsi="Calibri"/>
          <w:b/>
          <w:bCs/>
          <w:i w:val="false"/>
          <w:iCs w:val="false"/>
          <w:strike w:val="false"/>
          <w:color w:val="0D2B6B"/>
          <w:sz w:val="22"/>
          <w:szCs w:val="22"/>
        </w:rPr>
        <w:t xml:space="preserve">Version:</w:t>
      </w:r>
      <w:r>
        <w:rPr>
          <w:rFonts w:ascii="Calibri" w:cs="Calibri" w:eastAsia="Calibri" w:hAnsi="Calibri"/>
          <w:b w:val="false"/>
          <w:bCs w:val="false"/>
          <w:i w:val="false"/>
          <w:iCs w:val="false"/>
          <w:strike w:val="false"/>
          <w:color w:val="333333"/>
          <w:sz w:val="20"/>
          <w:szCs w:val="20"/>
        </w:rPr>
        <w:t xml:space="preserve"> v1.0 — Independent Design Baseline</w:t>
      </w:r>
      <w:r>
        <w:rPr>
          <w:rFonts w:ascii="Calibri" w:cs="Calibri" w:eastAsia="Calibri" w:hAnsi="Calibri"/>
          <w:b w:val="false"/>
          <w:bCs w:val="false"/>
          <w:i w:val="false"/>
          <w:iCs w:val="false"/>
          <w:color w:val="333333"/>
          <w:sz w:val="20"/>
          <w:szCs w:val="20"/>
        </w:rPr>
        <w:br/>
      </w:r>
      <w:r>
        <w:rPr>
          <w:rFonts w:ascii="Calibri" w:cs="Calibri" w:eastAsia="Calibri" w:hAnsi="Calibri"/>
          <w:b w:val="false"/>
          <w:bCs w:val="false"/>
          <w:i w:val="false"/>
          <w:iCs w:val="false"/>
          <w:strike w:val="false"/>
          <w:color w:val="333333"/>
          <w:sz w:val="20"/>
          <w:szCs w:val="20"/>
        </w:rPr>
        <w:t xml:space="preserve"> </w:t>
      </w:r>
      <w:r>
        <w:rPr>
          <w:rFonts w:ascii="Calibri" w:cs="Calibri" w:eastAsia="Calibri" w:hAnsi="Calibri"/>
          <w:b/>
          <w:bCs/>
          <w:i w:val="false"/>
          <w:iCs w:val="false"/>
          <w:strike w:val="false"/>
          <w:color w:val="0D2B6B"/>
          <w:sz w:val="22"/>
          <w:szCs w:val="22"/>
        </w:rPr>
        <w:t xml:space="preserve">Prepared by:</w:t>
      </w:r>
      <w:r>
        <w:rPr>
          <w:rFonts w:ascii="Calibri" w:cs="Calibri" w:eastAsia="Calibri" w:hAnsi="Calibri"/>
          <w:b w:val="false"/>
          <w:bCs w:val="false"/>
          <w:i w:val="false"/>
          <w:iCs w:val="false"/>
          <w:strike w:val="false"/>
          <w:color w:val="333333"/>
          <w:sz w:val="20"/>
          <w:szCs w:val="20"/>
        </w:rPr>
        <w:t xml:space="preserve"> Copilot (Microsoft) — Independent Research Design</w:t>
      </w:r>
      <w:r>
        <w:rPr>
          <w:rFonts w:ascii="Calibri" w:cs="Calibri" w:eastAsia="Calibri" w:hAnsi="Calibri"/>
          <w:b w:val="false"/>
          <w:bCs w:val="false"/>
          <w:i w:val="false"/>
          <w:iCs w:val="false"/>
          <w:color w:val="333333"/>
          <w:sz w:val="20"/>
          <w:szCs w:val="20"/>
        </w:rPr>
        <w:br/>
      </w:r>
      <w:r>
        <w:rPr>
          <w:rFonts w:ascii="Calibri" w:cs="Calibri" w:eastAsia="Calibri" w:hAnsi="Calibri"/>
          <w:b w:val="false"/>
          <w:bCs w:val="false"/>
          <w:i w:val="false"/>
          <w:iCs w:val="false"/>
          <w:strike w:val="false"/>
          <w:color w:val="333333"/>
          <w:sz w:val="20"/>
          <w:szCs w:val="20"/>
        </w:rPr>
        <w:t xml:space="preserve"> </w:t>
      </w:r>
      <w:r>
        <w:rPr>
          <w:rFonts w:ascii="Calibri" w:cs="Calibri" w:eastAsia="Calibri" w:hAnsi="Calibri"/>
          <w:b/>
          <w:bCs/>
          <w:i w:val="false"/>
          <w:iCs w:val="false"/>
          <w:strike w:val="false"/>
          <w:color w:val="0D2B6B"/>
          <w:sz w:val="22"/>
          <w:szCs w:val="22"/>
        </w:rPr>
        <w:t xml:space="preserve">Requested by:</w:t>
      </w:r>
      <w:r>
        <w:rPr>
          <w:rFonts w:ascii="Calibri" w:cs="Calibri" w:eastAsia="Calibri" w:hAnsi="Calibri"/>
          <w:b w:val="false"/>
          <w:bCs w:val="false"/>
          <w:i w:val="false"/>
          <w:iCs w:val="false"/>
          <w:strike w:val="false"/>
          <w:color w:val="333333"/>
          <w:sz w:val="20"/>
          <w:szCs w:val="20"/>
        </w:rPr>
        <w:t xml:space="preserve"> Nathan Lewis II, Architect of Record — Omniversal Architect Labs (OAL) / ONE Industries / Lewis Corp</w:t>
      </w:r>
      <w:r>
        <w:rPr>
          <w:rFonts w:ascii="Calibri" w:cs="Calibri" w:eastAsia="Calibri" w:hAnsi="Calibri"/>
          <w:b w:val="false"/>
          <w:bCs w:val="false"/>
          <w:i w:val="false"/>
          <w:iCs w:val="false"/>
          <w:color w:val="333333"/>
          <w:sz w:val="20"/>
          <w:szCs w:val="20"/>
        </w:rPr>
        <w:br/>
      </w:r>
      <w:r>
        <w:rPr>
          <w:rFonts w:ascii="Calibri" w:cs="Calibri" w:eastAsia="Calibri" w:hAnsi="Calibri"/>
          <w:b w:val="false"/>
          <w:bCs w:val="false"/>
          <w:i w:val="false"/>
          <w:iCs w:val="false"/>
          <w:strike w:val="false"/>
          <w:color w:val="333333"/>
          <w:sz w:val="20"/>
          <w:szCs w:val="20"/>
        </w:rPr>
        <w:t xml:space="preserve"> </w:t>
      </w:r>
      <w:r>
        <w:rPr>
          <w:rFonts w:ascii="Calibri" w:cs="Calibri" w:eastAsia="Calibri" w:hAnsi="Calibri"/>
          <w:b/>
          <w:bCs/>
          <w:i w:val="false"/>
          <w:iCs w:val="false"/>
          <w:strike w:val="false"/>
          <w:color w:val="0D2B6B"/>
          <w:sz w:val="22"/>
          <w:szCs w:val="22"/>
        </w:rPr>
        <w:t xml:space="preserve">Scope Universes:</w:t>
      </w:r>
      <w:r>
        <w:rPr>
          <w:rFonts w:ascii="Calibri" w:cs="Calibri" w:eastAsia="Calibri" w:hAnsi="Calibri"/>
          <w:b w:val="false"/>
          <w:bCs w:val="false"/>
          <w:i w:val="false"/>
          <w:iCs w:val="false"/>
          <w:strike w:val="false"/>
          <w:color w:val="333333"/>
          <w:sz w:val="20"/>
          <w:szCs w:val="20"/>
        </w:rPr>
        <w:t xml:space="preserve"> Simulation Labs; THE ONE UNIVERSE; THE MINUS ONE UNIVERSE</w:t>
      </w:r>
      <w:r>
        <w:rPr>
          <w:rFonts w:ascii="Calibri" w:cs="Calibri" w:eastAsia="Calibri" w:hAnsi="Calibri"/>
          <w:b w:val="false"/>
          <w:bCs w:val="false"/>
          <w:i w:val="false"/>
          <w:iCs w:val="false"/>
          <w:color w:val="333333"/>
          <w:sz w:val="20"/>
          <w:szCs w:val="20"/>
        </w:rPr>
        <w:br/>
      </w:r>
      <w:r>
        <w:rPr>
          <w:rFonts w:ascii="Calibri" w:cs="Calibri" w:eastAsia="Calibri" w:hAnsi="Calibri"/>
          <w:b w:val="false"/>
          <w:bCs w:val="false"/>
          <w:i w:val="false"/>
          <w:iCs w:val="false"/>
          <w:strike w:val="false"/>
          <w:color w:val="333333"/>
          <w:sz w:val="20"/>
          <w:szCs w:val="20"/>
        </w:rPr>
        <w:t xml:space="preserve"> </w:t>
      </w:r>
      <w:r>
        <w:rPr>
          <w:rFonts w:ascii="Calibri" w:cs="Calibri" w:eastAsia="Calibri" w:hAnsi="Calibri"/>
          <w:b/>
          <w:bCs/>
          <w:i w:val="false"/>
          <w:iCs w:val="false"/>
          <w:strike w:val="false"/>
          <w:color w:val="0D2B6B"/>
          <w:sz w:val="22"/>
          <w:szCs w:val="22"/>
        </w:rPr>
        <w:t xml:space="preserve">Classification:</w:t>
      </w:r>
      <w:r>
        <w:rPr>
          <w:rFonts w:ascii="Calibri" w:cs="Calibri" w:eastAsia="Calibri" w:hAnsi="Calibri"/>
          <w:b w:val="false"/>
          <w:bCs w:val="false"/>
          <w:i w:val="false"/>
          <w:iCs w:val="false"/>
          <w:strike w:val="false"/>
          <w:color w:val="333333"/>
          <w:sz w:val="20"/>
          <w:szCs w:val="20"/>
        </w:rPr>
        <w:t xml:space="preserve"> Living research instrument. Independent contribution. Dissent retained.</w:t>
      </w:r>
      <w:r>
        <w:rPr>
          <w:rFonts w:ascii="Calibri" w:cs="Calibri" w:eastAsia="Calibri" w:hAnsi="Calibri"/>
          <w:b w:val="false"/>
          <w:bCs w:val="false"/>
          <w:i w:val="false"/>
          <w:iCs w:val="false"/>
          <w:color w:val="333333"/>
          <w:sz w:val="20"/>
          <w:szCs w:val="20"/>
        </w:rPr>
        <w:br/>
      </w:r>
    </w:p>
    <w:p>
      <w:pPr>
        <w:spacing w:after="240" w:line="360" w:lineRule="auto"/>
        <w:jc w:val="center"/>
      </w:pPr>
      <w:r>
        <w:rPr>
          <w:rFonts w:ascii="Calibri" w:cs="Calibri" w:eastAsia="Calibri" w:hAnsi="Calibri"/>
          <w:b/>
          <w:bCs/>
          <w:i w:val="false"/>
          <w:iCs w:val="false"/>
          <w:strike w:val="false"/>
          <w:color w:val="7A4000"/>
          <w:sz w:val="18"/>
          <w:szCs w:val="18"/>
          <w:shd w:fill="FFF3E0" w:color="auto" w:val="clear"/>
        </w:rPr>
        <w:t xml:space="preserve">⚠  INDEPENDENT DRAFT FOR MULTI-AI REVIEW — NOT CONSOLIDATED CANON — NOT A BIOLOGICAL CLAIM ABOUT HOMO SAPIENS</w:t>
      </w:r>
    </w:p>
    <w:p>
      <w:pPr>
        <w:pBdr>
          <w:bottom w:val="single" w:color="000000" w:sz="6"/>
        </w:pBdr>
        <w:spacing w:after="240" w:before="240"/>
      </w:pPr>
    </w:p>
    <w:p>
      <w:pPr>
        <w:spacing w:after="240" w:line="360" w:lineRule="auto"/>
        <w:jc w:val="center"/>
      </w:pPr>
      <w:r>
        <w:rPr>
          <w:rFonts w:ascii="Calibri" w:cs="Calibri" w:eastAsia="Calibri" w:hAnsi="Calibri"/>
          <w:b w:val="false"/>
          <w:bCs w:val="false"/>
          <w:i w:val="false"/>
          <w:iCs w:val="false"/>
          <w:strike w:val="false"/>
          <w:color w:val="777777"/>
          <w:sz w:val="22"/>
          <w:szCs w:val="22"/>
        </w:rPr>
        <w:t xml:space="preserve">Companion Records: Independent parallel drafts from ChatGPT (OAL v1.0), Grok (OAL-SL-TDA-1.0.0),</w:t>
      </w:r>
      <w:r>
        <w:rPr>
          <w:rFonts w:ascii="Calibri" w:cs="Calibri" w:eastAsia="Calibri" w:hAnsi="Calibri"/>
          <w:b w:val="false"/>
          <w:bCs w:val="false"/>
          <w:i w:val="false"/>
          <w:iCs w:val="false"/>
          <w:color w:val="777777"/>
          <w:sz w:val="22"/>
          <w:szCs w:val="22"/>
        </w:rPr>
        <w:br/>
      </w:r>
      <w:r>
        <w:rPr>
          <w:rFonts w:ascii="Calibri" w:cs="Calibri" w:eastAsia="Calibri" w:hAnsi="Calibri"/>
          <w:b w:val="false"/>
          <w:bCs w:val="false"/>
          <w:i w:val="false"/>
          <w:iCs w:val="false"/>
          <w:strike w:val="false"/>
          <w:color w:val="777777"/>
          <w:sz w:val="22"/>
          <w:szCs w:val="22"/>
        </w:rPr>
        <w:t xml:space="preserve"> Claude (OAL-SIMLAB-TDS-C-001), and Perplexity (TAMEL-1) — See §0</w:t>
      </w:r>
    </w:p>
    <w:p>
      <w:pPr>
        <w:pBdr>
          <w:bottom w:val="single" w:color="0D2B6B" w:sz="6"/>
        </w:pBdr>
        <w:spacing w:after="240" w:before="240"/>
      </w:pPr>
    </w:p>
    <w:p>
      <w:pPr>
        <w:spacing w:after="280" w:line="360" w:lineRule="auto"/>
        <w:jc w:val="left"/>
      </w:pPr>
      <w:r>
        <w:rPr>
          <w:rFonts w:ascii="Calibri" w:cs="Calibri" w:eastAsia="Calibri" w:hAnsi="Calibri"/>
          <w:b w:val="false"/>
          <w:bCs w:val="false"/>
          <w:i/>
          <w:iCs/>
          <w:strike w:val="false"/>
          <w:color w:val="000000"/>
          <w:sz w:val="22"/>
          <w:szCs w:val="22"/>
        </w:rPr>
        <w:t xml:space="preserve">OAL-SL-TDA-COP-1.0  |  v1.0  |  September 21, 2026</w:t>
      </w:r>
      <w:r>
        <w:rPr>
          <w:rFonts w:ascii="Calibri" w:cs="Calibri" w:eastAsia="Calibri" w:hAnsi="Calibri"/>
          <w:b w:val="false"/>
          <w:bCs w:val="false"/>
          <w:i w:val="false"/>
          <w:iCs w:val="false"/>
          <w:strike w:val="false"/>
          <w:color w:val="555555"/>
          <w:sz w:val="16"/>
          <w:szCs w:val="16"/>
        </w:rPr>
        <w:t xml:space="preserve"> </w:t>
      </w:r>
      <w:r>
        <w:rPr>
          <w:rFonts w:ascii="Calibri" w:cs="Calibri" w:eastAsia="Calibri" w:hAnsi="Calibri"/>
          <w:b/>
          <w:bCs/>
          <w:i w:val="false"/>
          <w:iCs w:val="false"/>
          <w:strike w:val="false"/>
          <w:color w:val="000000"/>
          <w:sz w:val="22"/>
          <w:szCs w:val="22"/>
        </w:rPr>
        <w:t xml:space="preserve">OAL | Tridactyl Simulation Lab | Copilot Independent Draft v1.0</w:t>
      </w:r>
    </w:p>
    <w:p>
      <w:pPr>
        <w:pBdr>
          <w:bottom w:val="single" w:color="AAAAAA" w:sz="6"/>
        </w:pBdr>
        <w:spacing w:after="240" w:before="240"/>
      </w:pPr>
    </w:p>
    <w:p>
      <w:pPr>
        <w:pStyle w:val="Heading1"/>
        <w:spacing w:after="100" w:before="480" w:line="312" w:lineRule="auto"/>
      </w:pPr>
      <w:r>
        <w:rPr>
          <w:rFonts w:ascii="Calibri" w:cs="Calibri" w:eastAsia="Calibri" w:hAnsi="Calibri"/>
          <w:color w:val="0D2B6B"/>
          <w:sz w:val="44"/>
          <w:szCs w:val="44"/>
        </w:rPr>
        <w:t xml:space="preserve">Document Metadata</w:t>
      </w:r>
    </w:p>
    <w:p>
      <w:pPr>
        <w:pBdr>
          <w:top w:val="single" w:color="0D2B6B"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0D2B6B"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Field</w:t>
            </w:r>
          </w:p>
        </w:tc>
        <w:tc>
          <w:tcPr>
            <w:tcW w:type="pct" w:w="50%"/>
            <w:shd w:fill="0D2B6B"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Value</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Document ID</w:t>
            </w:r>
          </w:p>
        </w:tc>
        <w:tc>
          <w:tcPr>
            <w:tcW w:type="pct" w:w="50%"/>
            <w:shd w:fill="F8FAFD" w:color="auto" w:val="clear"/>
            <w:tcMar>
              <w:top w:type="dxa" w:w="105"/>
              <w:left w:type="dxa" w:w="135"/>
              <w:bottom w:type="dxa" w:w="105"/>
              <w:right w:type="dxa" w:w="135"/>
            </w:tcMar>
          </w:tcPr>
          <w:p>
            <w:r>
              <w:rPr>
                <w:rFonts w:ascii="Consolas" w:cs="Consolas" w:eastAsia="Consolas" w:hAnsi="Consolas"/>
                <w:b w:val="false"/>
                <w:bCs w:val="false"/>
                <w:i w:val="false"/>
                <w:iCs w:val="false"/>
                <w:strike w:val="false"/>
                <w:color w:val="000000"/>
                <w:sz w:val="22"/>
                <w:szCs w:val="22"/>
              </w:rPr>
              <w:t xml:space="preserve">OAL-SL-TDA-COP-1.0</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Full Title</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Tridactyl Manipulation Architecture — Systems Integration &amp; Representation Coherence Lab</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Subtitle</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 Simulation-Lab Research Design Framework — Copilot Independent Instrument</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Date</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September 21, 2026</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Version</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v1.0 — Independent Design Baseline</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Prepared by</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Copilot (Microsoft) — Independent Research Design</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Requested by</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Nathan Lewis II, Architect of Record — Omniversal Architect Labs (OAL) / ONE Industries / Lewis Corp</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Status</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Independent draft for multi-AI review. Not consolidated canon. Not a biological claim about Homo sapiens.</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Companion Records</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Independent parallel drafts from ChatGPT (OAL v1.0), Grok (OAL-SL-TDA-1.0.0), Claude (OAL-SIMLAB-TDS-C-001), Perplexity (TAMEL-1) — see §0</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Scope Universes</w:t>
            </w:r>
          </w:p>
        </w:tc>
        <w:tc>
          <w:tcPr>
            <w:tcW w:type="pct" w:w="50%"/>
            <w:shd w:fill="F8FAFD" w:color="auto" w:val="clear"/>
            <w:tcMar>
              <w:top w:type="dxa" w:w="105"/>
              <w:left w:type="dxa" w:w="135"/>
              <w:bottom w:type="dxa" w:w="105"/>
              <w:right w:type="dxa" w:w="135"/>
            </w:tcMar>
          </w:tcPr>
          <w:p>
            <w:r>
              <w:rPr>
                <w:rFonts w:ascii="Consolas" w:cs="Consolas" w:eastAsia="Consolas" w:hAnsi="Consolas"/>
                <w:b w:val="false"/>
                <w:bCs w:val="false"/>
                <w:i w:val="false"/>
                <w:iCs w:val="false"/>
                <w:strike w:val="false"/>
                <w:color w:val="FFFFFF"/>
                <w:sz w:val="18"/>
                <w:szCs w:val="18"/>
              </w:rPr>
              <w:t xml:space="preserve">SIMULATION LABS</w:t>
            </w:r>
            <w:r>
              <w:rPr>
                <w:rFonts w:ascii="Calibri" w:cs="Calibri" w:eastAsia="Calibri" w:hAnsi="Calibri"/>
                <w:b w:val="false"/>
                <w:bCs w:val="false"/>
                <w:i w:val="false"/>
                <w:iCs w:val="false"/>
                <w:strike w:val="false"/>
                <w:color w:val="000000"/>
                <w:sz w:val="20"/>
                <w:szCs w:val="20"/>
              </w:rPr>
              <w:t xml:space="preserve"> </w:t>
            </w:r>
            <w:r>
              <w:rPr>
                <w:rFonts w:ascii="Consolas" w:cs="Consolas" w:eastAsia="Consolas" w:hAnsi="Consolas"/>
                <w:b w:val="false"/>
                <w:bCs w:val="false"/>
                <w:i w:val="false"/>
                <w:iCs w:val="false"/>
                <w:strike w:val="false"/>
                <w:color w:val="FFFFFF"/>
                <w:sz w:val="18"/>
                <w:szCs w:val="18"/>
              </w:rPr>
              <w:t xml:space="preserve">THE ONE UNIVERSE</w:t>
            </w:r>
            <w:r>
              <w:rPr>
                <w:rFonts w:ascii="Calibri" w:cs="Calibri" w:eastAsia="Calibri" w:hAnsi="Calibri"/>
                <w:b w:val="false"/>
                <w:bCs w:val="false"/>
                <w:i w:val="false"/>
                <w:iCs w:val="false"/>
                <w:strike w:val="false"/>
                <w:color w:val="000000"/>
                <w:sz w:val="20"/>
                <w:szCs w:val="20"/>
              </w:rPr>
              <w:t xml:space="preserve"> </w:t>
            </w:r>
            <w:r>
              <w:rPr>
                <w:rFonts w:ascii="Consolas" w:cs="Consolas" w:eastAsia="Consolas" w:hAnsi="Consolas"/>
                <w:b w:val="false"/>
                <w:bCs w:val="false"/>
                <w:i w:val="false"/>
                <w:iCs w:val="false"/>
                <w:strike w:val="false"/>
                <w:color w:val="FFFFFF"/>
                <w:sz w:val="18"/>
                <w:szCs w:val="18"/>
              </w:rPr>
              <w:t xml:space="preserve">THE MINUS ONE UNIVERSE</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Classification</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Living research instrument. Independent contribution. Dissent retained.</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Primary Organizations</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OAL (Omniversal Architect Labs); ONE INDUSTRIES; LEWIS CORP</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Page Header</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OAL | Tridactyl Simulation Lab | Copilot Independent Draft v1.0</w:t>
            </w:r>
          </w:p>
        </w:tc>
      </w:tr>
      <w:tr>
        <w:trPr>
          <w:tblHeader w:val="false"/>
        </w:trPr>
        <w:tc>
          <w:tcPr>
            <w:tcW w:type="pct" w:w="50%"/>
            <w:shd w:fill="F8FAFD" w:color="auto" w:val="clear"/>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Page Footer</w:t>
            </w:r>
          </w:p>
        </w:tc>
        <w:tc>
          <w:tcPr>
            <w:tcW w:type="pct" w:w="50%"/>
            <w:shd w:fill="F8FAFD" w:color="auto" w:val="clear"/>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Research Design Framework · Version 1.0 · September 21, 2026</w:t>
            </w:r>
          </w:p>
        </w:tc>
      </w:tr>
    </w:tbl>
    <w:p>
      <w:pPr>
        <w:spacing w:after="200" w:before="0"/>
      </w:pPr>
    </w:p>
    <w:p>
      <w:pPr>
        <w:pStyle w:val="Heading1"/>
        <w:spacing w:after="100" w:before="480" w:line="312" w:lineRule="auto"/>
      </w:pPr>
      <w:r>
        <w:rPr>
          <w:rFonts w:ascii="Calibri" w:cs="Calibri" w:eastAsia="Calibri" w:hAnsi="Calibri"/>
          <w:color w:val="0D2B6B"/>
          <w:sz w:val="44"/>
          <w:szCs w:val="44"/>
        </w:rPr>
        <w:t xml:space="preserve">Table of Contents</w:t>
      </w:r>
    </w:p>
    <w:p>
      <w:pPr>
        <w:pBdr>
          <w:top w:val="single" w:color="0D2B6B" w:sz="6"/>
        </w:pBdr>
        <w:spacing w:after="200" w:before="0"/>
      </w:pPr>
    </w:p>
    <w:p>
      <w:pPr>
        <w:spacing w:after="100" w:line="360" w:lineRule="auto"/>
      </w:pPr>
      <w:r>
        <w:rPr>
          <w:rFonts w:ascii="Calibri" w:cs="Calibri" w:eastAsia="Calibri" w:hAnsi="Calibri"/>
          <w:b/>
          <w:bCs/>
          <w:i w:val="false"/>
          <w:iCs w:val="false"/>
          <w:strike w:val="false"/>
          <w:color w:val="0D2B6B"/>
          <w:sz w:val="22"/>
          <w:szCs w:val="22"/>
        </w:rPr>
        <w:t xml:space="preserve">§0    Governing Constraint &amp; Framing Note</w:t>
      </w:r>
    </w:p>
    <w:p>
      <w:pPr>
        <w:spacing w:after="100" w:line="360" w:lineRule="auto"/>
      </w:pPr>
      <w:r>
        <w:rPr>
          <w:rFonts w:ascii="Calibri" w:cs="Calibri" w:eastAsia="Calibri" w:hAnsi="Calibri"/>
          <w:b w:val="false"/>
          <w:bCs w:val="false"/>
          <w:i w:val="false"/>
          <w:iCs w:val="false"/>
          <w:strike w:val="false"/>
          <w:color w:val="333333"/>
          <w:sz w:val="21"/>
          <w:szCs w:val="21"/>
        </w:rPr>
        <w:t xml:space="preserve">Copilot Unique Lane — Systems Integration &amp; Representation Coherence</w:t>
      </w:r>
    </w:p>
    <w:p>
      <w:pPr>
        <w:spacing w:after="100" w:line="360" w:lineRule="auto"/>
      </w:pPr>
      <w:r>
        <w:rPr>
          <w:rFonts w:ascii="Calibri" w:cs="Calibri" w:eastAsia="Calibri" w:hAnsi="Calibri"/>
          <w:b/>
          <w:bCs/>
          <w:i w:val="false"/>
          <w:iCs w:val="false"/>
          <w:strike w:val="false"/>
          <w:color w:val="0D2B6B"/>
          <w:sz w:val="22"/>
          <w:szCs w:val="22"/>
        </w:rPr>
        <w:t xml:space="preserve">§1    Purpose &amp; Scope</w:t>
      </w:r>
    </w:p>
    <w:p>
      <w:pPr>
        <w:spacing w:after="100" w:line="360" w:lineRule="auto"/>
      </w:pPr>
      <w:r>
        <w:rPr>
          <w:rFonts w:ascii="Calibri" w:cs="Calibri" w:eastAsia="Calibri" w:hAnsi="Calibri"/>
          <w:b w:val="false"/>
          <w:bCs w:val="false"/>
          <w:i w:val="false"/>
          <w:iCs w:val="false"/>
          <w:strike w:val="false"/>
          <w:color w:val="333333"/>
          <w:sz w:val="21"/>
          <w:szCs w:val="21"/>
        </w:rPr>
        <w:t xml:space="preserve">1.1   Core Research Question</w:t>
      </w:r>
    </w:p>
    <w:p>
      <w:pPr>
        <w:spacing w:after="100" w:line="360" w:lineRule="auto"/>
      </w:pPr>
      <w:r>
        <w:rPr>
          <w:rFonts w:ascii="Calibri" w:cs="Calibri" w:eastAsia="Calibri" w:hAnsi="Calibri"/>
          <w:b w:val="false"/>
          <w:bCs w:val="false"/>
          <w:i w:val="false"/>
          <w:iCs w:val="false"/>
          <w:strike w:val="false"/>
          <w:color w:val="333333"/>
          <w:sz w:val="21"/>
          <w:szCs w:val="21"/>
        </w:rPr>
        <w:t xml:space="preserve">1.2   Scope Domains</w:t>
      </w:r>
    </w:p>
    <w:p>
      <w:pPr>
        <w:spacing w:after="100" w:line="360" w:lineRule="auto"/>
      </w:pPr>
      <w:r>
        <w:rPr>
          <w:rFonts w:ascii="Calibri" w:cs="Calibri" w:eastAsia="Calibri" w:hAnsi="Calibri"/>
          <w:b w:val="false"/>
          <w:bCs w:val="false"/>
          <w:i w:val="false"/>
          <w:iCs w:val="false"/>
          <w:strike w:val="false"/>
          <w:color w:val="333333"/>
          <w:sz w:val="21"/>
          <w:szCs w:val="21"/>
        </w:rPr>
        <w:t xml:space="preserve">1.3   Out of Scope</w:t>
      </w:r>
    </w:p>
    <w:p>
      <w:pPr>
        <w:spacing w:after="100" w:line="360" w:lineRule="auto"/>
      </w:pPr>
      <w:r>
        <w:rPr>
          <w:rFonts w:ascii="Calibri" w:cs="Calibri" w:eastAsia="Calibri" w:hAnsi="Calibri"/>
          <w:b/>
          <w:bCs/>
          <w:i w:val="false"/>
          <w:iCs w:val="false"/>
          <w:strike w:val="false"/>
          <w:color w:val="0D2B6B"/>
          <w:sz w:val="22"/>
          <w:szCs w:val="22"/>
        </w:rPr>
        <w:t xml:space="preserve">§2    The Representation Coherence Problem</w:t>
      </w:r>
    </w:p>
    <w:p>
      <w:pPr>
        <w:spacing w:after="100" w:line="360" w:lineRule="auto"/>
      </w:pPr>
      <w:r>
        <w:rPr>
          <w:rFonts w:ascii="Calibri" w:cs="Calibri" w:eastAsia="Calibri" w:hAnsi="Calibri"/>
          <w:b w:val="false"/>
          <w:bCs w:val="false"/>
          <w:i w:val="false"/>
          <w:iCs w:val="false"/>
          <w:strike w:val="false"/>
          <w:color w:val="333333"/>
          <w:sz w:val="21"/>
          <w:szCs w:val="21"/>
        </w:rPr>
        <w:t xml:space="preserve">2.1   The Original Problem: Generative AI Hand Failure</w:t>
      </w:r>
    </w:p>
    <w:p>
      <w:pPr>
        <w:spacing w:after="100" w:line="360" w:lineRule="auto"/>
      </w:pPr>
      <w:r>
        <w:rPr>
          <w:rFonts w:ascii="Calibri" w:cs="Calibri" w:eastAsia="Calibri" w:hAnsi="Calibri"/>
          <w:b w:val="false"/>
          <w:bCs w:val="false"/>
          <w:i w:val="false"/>
          <w:iCs w:val="false"/>
          <w:strike w:val="false"/>
          <w:color w:val="333333"/>
          <w:sz w:val="21"/>
          <w:szCs w:val="21"/>
        </w:rPr>
        <w:t xml:space="preserve">2.2   Root Causes of Topology Instability</w:t>
      </w:r>
    </w:p>
    <w:p>
      <w:pPr>
        <w:spacing w:after="100" w:line="360" w:lineRule="auto"/>
      </w:pPr>
      <w:r>
        <w:rPr>
          <w:rFonts w:ascii="Calibri" w:cs="Calibri" w:eastAsia="Calibri" w:hAnsi="Calibri"/>
          <w:b w:val="false"/>
          <w:bCs w:val="false"/>
          <w:i w:val="false"/>
          <w:iCs w:val="false"/>
          <w:strike w:val="false"/>
          <w:color w:val="333333"/>
          <w:sz w:val="21"/>
          <w:szCs w:val="21"/>
        </w:rPr>
        <w:t xml:space="preserve">2.3   The Tridactyl Hypothesis for Rendering</w:t>
      </w:r>
    </w:p>
    <w:p>
      <w:pPr>
        <w:spacing w:after="100" w:line="360" w:lineRule="auto"/>
      </w:pPr>
      <w:r>
        <w:rPr>
          <w:rFonts w:ascii="Calibri" w:cs="Calibri" w:eastAsia="Calibri" w:hAnsi="Calibri"/>
          <w:b/>
          <w:bCs/>
          <w:i w:val="false"/>
          <w:iCs w:val="false"/>
          <w:strike w:val="false"/>
          <w:color w:val="0D2B6B"/>
          <w:sz w:val="22"/>
          <w:szCs w:val="22"/>
        </w:rPr>
        <w:t xml:space="preserve">§3    Research Hypotheses (H1–H6)</w:t>
      </w:r>
    </w:p>
    <w:p>
      <w:pPr>
        <w:spacing w:after="100" w:line="360" w:lineRule="auto"/>
      </w:pPr>
      <w:r>
        <w:rPr>
          <w:rFonts w:ascii="Calibri" w:cs="Calibri" w:eastAsia="Calibri" w:hAnsi="Calibri"/>
          <w:b/>
          <w:bCs/>
          <w:i w:val="false"/>
          <w:iCs w:val="false"/>
          <w:strike w:val="false"/>
          <w:color w:val="0D2B6B"/>
          <w:sz w:val="22"/>
          <w:szCs w:val="22"/>
        </w:rPr>
        <w:t xml:space="preserve">§4    Simulation Architecture — The Five-Layer Stack</w:t>
      </w:r>
    </w:p>
    <w:p>
      <w:pPr>
        <w:spacing w:after="100" w:line="360" w:lineRule="auto"/>
      </w:pPr>
      <w:r>
        <w:rPr>
          <w:rFonts w:ascii="Calibri" w:cs="Calibri" w:eastAsia="Calibri" w:hAnsi="Calibri"/>
          <w:b w:val="false"/>
          <w:bCs w:val="false"/>
          <w:i w:val="false"/>
          <w:iCs w:val="false"/>
          <w:strike w:val="false"/>
          <w:color w:val="333333"/>
          <w:sz w:val="21"/>
          <w:szCs w:val="21"/>
        </w:rPr>
        <w:t xml:space="preserve">Layer 1   Morphological Evolution Engine</w:t>
      </w:r>
    </w:p>
    <w:p>
      <w:pPr>
        <w:spacing w:after="100" w:line="360" w:lineRule="auto"/>
      </w:pPr>
      <w:r>
        <w:rPr>
          <w:rFonts w:ascii="Calibri" w:cs="Calibri" w:eastAsia="Calibri" w:hAnsi="Calibri"/>
          <w:b w:val="false"/>
          <w:bCs w:val="false"/>
          <w:i w:val="false"/>
          <w:iCs w:val="false"/>
          <w:strike w:val="false"/>
          <w:color w:val="333333"/>
          <w:sz w:val="21"/>
          <w:szCs w:val="21"/>
        </w:rPr>
        <w:t xml:space="preserve">Layer 2   Physics &amp; Contact Modeling</w:t>
      </w:r>
    </w:p>
    <w:p>
      <w:pPr>
        <w:spacing w:after="100" w:line="360" w:lineRule="auto"/>
      </w:pPr>
      <w:r>
        <w:rPr>
          <w:rFonts w:ascii="Calibri" w:cs="Calibri" w:eastAsia="Calibri" w:hAnsi="Calibri"/>
          <w:b w:val="false"/>
          <w:bCs w:val="false"/>
          <w:i w:val="false"/>
          <w:iCs w:val="false"/>
          <w:strike w:val="false"/>
          <w:color w:val="333333"/>
          <w:sz w:val="21"/>
          <w:szCs w:val="21"/>
        </w:rPr>
        <w:t xml:space="preserve">Layer 3   Controller &amp; Cognitive Architecture</w:t>
      </w:r>
    </w:p>
    <w:p>
      <w:pPr>
        <w:spacing w:after="100" w:line="360" w:lineRule="auto"/>
      </w:pPr>
      <w:r>
        <w:rPr>
          <w:rFonts w:ascii="Calibri" w:cs="Calibri" w:eastAsia="Calibri" w:hAnsi="Calibri"/>
          <w:b w:val="false"/>
          <w:bCs w:val="false"/>
          <w:i w:val="false"/>
          <w:iCs w:val="false"/>
          <w:strike w:val="false"/>
          <w:color w:val="333333"/>
          <w:sz w:val="21"/>
          <w:szCs w:val="21"/>
        </w:rPr>
        <w:t xml:space="preserve">Layer 4   Rigging, Animation &amp; Generative Conditioning</w:t>
      </w:r>
    </w:p>
    <w:p>
      <w:pPr>
        <w:spacing w:after="100" w:line="360" w:lineRule="auto"/>
      </w:pPr>
      <w:r>
        <w:rPr>
          <w:rFonts w:ascii="Calibri" w:cs="Calibri" w:eastAsia="Calibri" w:hAnsi="Calibri"/>
          <w:b w:val="false"/>
          <w:bCs w:val="false"/>
          <w:i w:val="false"/>
          <w:iCs w:val="false"/>
          <w:strike w:val="false"/>
          <w:color w:val="333333"/>
          <w:sz w:val="21"/>
          <w:szCs w:val="21"/>
        </w:rPr>
        <w:t xml:space="preserve">Layer 5   Deployment &amp; Cross-Platform Coherence</w:t>
      </w:r>
    </w:p>
    <w:p>
      <w:pPr>
        <w:spacing w:after="100" w:line="360" w:lineRule="auto"/>
      </w:pPr>
      <w:r>
        <w:rPr>
          <w:rFonts w:ascii="Calibri" w:cs="Calibri" w:eastAsia="Calibri" w:hAnsi="Calibri"/>
          <w:b/>
          <w:bCs/>
          <w:i w:val="false"/>
          <w:iCs w:val="false"/>
          <w:strike w:val="false"/>
          <w:color w:val="0D2B6B"/>
          <w:sz w:val="22"/>
          <w:szCs w:val="22"/>
        </w:rPr>
        <w:t xml:space="preserve">§5    Methodology</w:t>
      </w:r>
    </w:p>
    <w:p>
      <w:pPr>
        <w:spacing w:after="100" w:line="360" w:lineRule="auto"/>
      </w:pPr>
      <w:r>
        <w:rPr>
          <w:rFonts w:ascii="Calibri" w:cs="Calibri" w:eastAsia="Calibri" w:hAnsi="Calibri"/>
          <w:b w:val="false"/>
          <w:bCs w:val="false"/>
          <w:i w:val="false"/>
          <w:iCs w:val="false"/>
          <w:strike w:val="false"/>
          <w:color w:val="333333"/>
          <w:sz w:val="21"/>
          <w:szCs w:val="21"/>
        </w:rPr>
        <w:t xml:space="preserve">5.1   Study Design</w:t>
      </w:r>
    </w:p>
    <w:p>
      <w:pPr>
        <w:spacing w:after="100" w:line="360" w:lineRule="auto"/>
      </w:pPr>
      <w:r>
        <w:rPr>
          <w:rFonts w:ascii="Calibri" w:cs="Calibri" w:eastAsia="Calibri" w:hAnsi="Calibri"/>
          <w:b w:val="false"/>
          <w:bCs w:val="false"/>
          <w:i w:val="false"/>
          <w:iCs w:val="false"/>
          <w:strike w:val="false"/>
          <w:color w:val="333333"/>
          <w:sz w:val="21"/>
          <w:szCs w:val="21"/>
        </w:rPr>
        <w:t xml:space="preserve">5.2   Baselines and Controls</w:t>
      </w:r>
    </w:p>
    <w:p>
      <w:pPr>
        <w:spacing w:after="100" w:line="360" w:lineRule="auto"/>
      </w:pPr>
      <w:r>
        <w:rPr>
          <w:rFonts w:ascii="Calibri" w:cs="Calibri" w:eastAsia="Calibri" w:hAnsi="Calibri"/>
          <w:b w:val="false"/>
          <w:bCs w:val="false"/>
          <w:i w:val="false"/>
          <w:iCs w:val="false"/>
          <w:strike w:val="false"/>
          <w:color w:val="333333"/>
          <w:sz w:val="21"/>
          <w:szCs w:val="21"/>
        </w:rPr>
        <w:t xml:space="preserve">5.3   Morphology-Neutral Environments</w:t>
      </w:r>
    </w:p>
    <w:p>
      <w:pPr>
        <w:spacing w:after="100" w:line="360" w:lineRule="auto"/>
      </w:pPr>
      <w:r>
        <w:rPr>
          <w:rFonts w:ascii="Calibri" w:cs="Calibri" w:eastAsia="Calibri" w:hAnsi="Calibri"/>
          <w:b w:val="false"/>
          <w:bCs w:val="false"/>
          <w:i w:val="false"/>
          <w:iCs w:val="false"/>
          <w:strike w:val="false"/>
          <w:color w:val="333333"/>
          <w:sz w:val="21"/>
          <w:szCs w:val="21"/>
        </w:rPr>
        <w:t xml:space="preserve">5.4   Task Battery</w:t>
      </w:r>
    </w:p>
    <w:p>
      <w:pPr>
        <w:spacing w:after="100" w:line="360" w:lineRule="auto"/>
      </w:pPr>
      <w:r>
        <w:rPr>
          <w:rFonts w:ascii="Calibri" w:cs="Calibri" w:eastAsia="Calibri" w:hAnsi="Calibri"/>
          <w:b w:val="false"/>
          <w:bCs w:val="false"/>
          <w:i w:val="false"/>
          <w:iCs w:val="false"/>
          <w:strike w:val="false"/>
          <w:color w:val="333333"/>
          <w:sz w:val="21"/>
          <w:szCs w:val="21"/>
        </w:rPr>
        <w:t xml:space="preserve">5.5   Metrics Framework</w:t>
      </w:r>
    </w:p>
    <w:p>
      <w:pPr>
        <w:spacing w:after="100" w:line="360" w:lineRule="auto"/>
      </w:pPr>
      <w:r>
        <w:rPr>
          <w:rFonts w:ascii="Calibri" w:cs="Calibri" w:eastAsia="Calibri" w:hAnsi="Calibri"/>
          <w:b w:val="false"/>
          <w:bCs w:val="false"/>
          <w:i w:val="false"/>
          <w:iCs w:val="false"/>
          <w:strike w:val="false"/>
          <w:color w:val="333333"/>
          <w:sz w:val="21"/>
          <w:szCs w:val="21"/>
        </w:rPr>
        <w:t xml:space="preserve">5.6   Versioning Gate</w:t>
      </w:r>
    </w:p>
    <w:p>
      <w:pPr>
        <w:spacing w:after="100" w:line="360" w:lineRule="auto"/>
      </w:pPr>
      <w:r>
        <w:rPr>
          <w:rFonts w:ascii="Calibri" w:cs="Calibri" w:eastAsia="Calibri" w:hAnsi="Calibri"/>
          <w:b/>
          <w:bCs/>
          <w:i w:val="false"/>
          <w:iCs w:val="false"/>
          <w:strike w:val="false"/>
          <w:color w:val="0D2B6B"/>
          <w:sz w:val="22"/>
          <w:szCs w:val="22"/>
        </w:rPr>
        <w:t xml:space="preserve">§6    Scientific &amp; Strategic Rationale</w:t>
      </w:r>
    </w:p>
    <w:p>
      <w:pPr>
        <w:spacing w:after="100" w:line="360" w:lineRule="auto"/>
      </w:pPr>
      <w:r>
        <w:rPr>
          <w:rFonts w:ascii="Calibri" w:cs="Calibri" w:eastAsia="Calibri" w:hAnsi="Calibri"/>
          <w:b w:val="false"/>
          <w:bCs w:val="false"/>
          <w:i w:val="false"/>
          <w:iCs w:val="false"/>
          <w:strike w:val="false"/>
          <w:color w:val="333333"/>
          <w:sz w:val="21"/>
          <w:szCs w:val="21"/>
        </w:rPr>
        <w:t xml:space="preserve">6.1   Scientific Rationale</w:t>
      </w:r>
    </w:p>
    <w:p>
      <w:pPr>
        <w:spacing w:after="100" w:line="360" w:lineRule="auto"/>
      </w:pPr>
      <w:r>
        <w:rPr>
          <w:rFonts w:ascii="Calibri" w:cs="Calibri" w:eastAsia="Calibri" w:hAnsi="Calibri"/>
          <w:b w:val="false"/>
          <w:bCs w:val="false"/>
          <w:i w:val="false"/>
          <w:iCs w:val="false"/>
          <w:strike w:val="false"/>
          <w:color w:val="333333"/>
          <w:sz w:val="21"/>
          <w:szCs w:val="21"/>
        </w:rPr>
        <w:t xml:space="preserve">6.2   Engineering Rationale</w:t>
      </w:r>
    </w:p>
    <w:p>
      <w:pPr>
        <w:spacing w:after="100" w:line="360" w:lineRule="auto"/>
      </w:pPr>
      <w:r>
        <w:rPr>
          <w:rFonts w:ascii="Calibri" w:cs="Calibri" w:eastAsia="Calibri" w:hAnsi="Calibri"/>
          <w:b w:val="false"/>
          <w:bCs w:val="false"/>
          <w:i w:val="false"/>
          <w:iCs w:val="false"/>
          <w:strike w:val="false"/>
          <w:color w:val="333333"/>
          <w:sz w:val="21"/>
          <w:szCs w:val="21"/>
        </w:rPr>
        <w:t xml:space="preserve">6.3   Strategic Rationale</w:t>
      </w:r>
    </w:p>
    <w:p>
      <w:pPr>
        <w:spacing w:after="100" w:line="360" w:lineRule="auto"/>
      </w:pPr>
      <w:r>
        <w:rPr>
          <w:rFonts w:ascii="Calibri" w:cs="Calibri" w:eastAsia="Calibri" w:hAnsi="Calibri"/>
          <w:b/>
          <w:bCs/>
          <w:i w:val="false"/>
          <w:iCs w:val="false"/>
          <w:strike w:val="false"/>
          <w:color w:val="0D2B6B"/>
          <w:sz w:val="22"/>
          <w:szCs w:val="22"/>
        </w:rPr>
        <w:t xml:space="preserve">§7    Institutional Applications</w:t>
      </w:r>
    </w:p>
    <w:p>
      <w:pPr>
        <w:spacing w:after="100" w:line="360" w:lineRule="auto"/>
      </w:pPr>
      <w:r>
        <w:rPr>
          <w:rFonts w:ascii="Calibri" w:cs="Calibri" w:eastAsia="Calibri" w:hAnsi="Calibri"/>
          <w:b w:val="false"/>
          <w:bCs w:val="false"/>
          <w:i w:val="false"/>
          <w:iCs w:val="false"/>
          <w:strike w:val="false"/>
          <w:color w:val="333333"/>
          <w:sz w:val="21"/>
          <w:szCs w:val="21"/>
        </w:rPr>
        <w:t xml:space="preserve">7.1   OAL — Omniversal Architect Labs</w:t>
      </w:r>
    </w:p>
    <w:p>
      <w:pPr>
        <w:spacing w:after="100" w:line="360" w:lineRule="auto"/>
      </w:pPr>
      <w:r>
        <w:rPr>
          <w:rFonts w:ascii="Calibri" w:cs="Calibri" w:eastAsia="Calibri" w:hAnsi="Calibri"/>
          <w:b w:val="false"/>
          <w:bCs w:val="false"/>
          <w:i w:val="false"/>
          <w:iCs w:val="false"/>
          <w:strike w:val="false"/>
          <w:color w:val="333333"/>
          <w:sz w:val="21"/>
          <w:szCs w:val="21"/>
        </w:rPr>
        <w:t xml:space="preserve">7.2   ONE Industries</w:t>
      </w:r>
    </w:p>
    <w:p>
      <w:pPr>
        <w:spacing w:after="100" w:line="360" w:lineRule="auto"/>
      </w:pPr>
      <w:r>
        <w:rPr>
          <w:rFonts w:ascii="Calibri" w:cs="Calibri" w:eastAsia="Calibri" w:hAnsi="Calibri"/>
          <w:b w:val="false"/>
          <w:bCs w:val="false"/>
          <w:i w:val="false"/>
          <w:iCs w:val="false"/>
          <w:strike w:val="false"/>
          <w:color w:val="333333"/>
          <w:sz w:val="21"/>
          <w:szCs w:val="21"/>
        </w:rPr>
        <w:t xml:space="preserve">7.3   Lewis Corp</w:t>
      </w:r>
    </w:p>
    <w:p>
      <w:pPr>
        <w:spacing w:after="100" w:line="360" w:lineRule="auto"/>
      </w:pPr>
      <w:r>
        <w:rPr>
          <w:rFonts w:ascii="Calibri" w:cs="Calibri" w:eastAsia="Calibri" w:hAnsi="Calibri"/>
          <w:b w:val="false"/>
          <w:bCs w:val="false"/>
          <w:i w:val="false"/>
          <w:iCs w:val="false"/>
          <w:strike w:val="false"/>
          <w:color w:val="333333"/>
          <w:sz w:val="21"/>
          <w:szCs w:val="21"/>
        </w:rPr>
        <w:t xml:space="preserve">7.4   Simulated Environments (General)</w:t>
      </w:r>
    </w:p>
    <w:p>
      <w:pPr>
        <w:spacing w:after="100" w:line="360" w:lineRule="auto"/>
      </w:pPr>
      <w:r>
        <w:rPr>
          <w:rFonts w:ascii="Calibri" w:cs="Calibri" w:eastAsia="Calibri" w:hAnsi="Calibri"/>
          <w:b w:val="false"/>
          <w:bCs w:val="false"/>
          <w:i w:val="false"/>
          <w:iCs w:val="false"/>
          <w:strike w:val="false"/>
          <w:color w:val="333333"/>
          <w:sz w:val="21"/>
          <w:szCs w:val="21"/>
        </w:rPr>
        <w:t xml:space="preserve">7.5   THE ONE UNIVERSE</w:t>
      </w:r>
    </w:p>
    <w:p>
      <w:pPr>
        <w:spacing w:after="100" w:line="360" w:lineRule="auto"/>
      </w:pPr>
      <w:r>
        <w:rPr>
          <w:rFonts w:ascii="Calibri" w:cs="Calibri" w:eastAsia="Calibri" w:hAnsi="Calibri"/>
          <w:b w:val="false"/>
          <w:bCs w:val="false"/>
          <w:i w:val="false"/>
          <w:iCs w:val="false"/>
          <w:strike w:val="false"/>
          <w:color w:val="333333"/>
          <w:sz w:val="21"/>
          <w:szCs w:val="21"/>
        </w:rPr>
        <w:t xml:space="preserve">7.6   THE MINUS ONE UNIVERSE</w:t>
      </w:r>
    </w:p>
    <w:p>
      <w:pPr>
        <w:spacing w:after="100" w:line="360" w:lineRule="auto"/>
      </w:pPr>
      <w:r>
        <w:rPr>
          <w:rFonts w:ascii="Calibri" w:cs="Calibri" w:eastAsia="Calibri" w:hAnsi="Calibri"/>
          <w:b/>
          <w:bCs/>
          <w:i w:val="false"/>
          <w:iCs w:val="false"/>
          <w:strike w:val="false"/>
          <w:color w:val="0D2B6B"/>
          <w:sz w:val="22"/>
          <w:szCs w:val="22"/>
        </w:rPr>
        <w:t xml:space="preserve">§8    Real-World Implications</w:t>
      </w:r>
    </w:p>
    <w:p>
      <w:pPr>
        <w:spacing w:after="100" w:line="360" w:lineRule="auto"/>
      </w:pPr>
      <w:r>
        <w:rPr>
          <w:rFonts w:ascii="Calibri" w:cs="Calibri" w:eastAsia="Calibri" w:hAnsi="Calibri"/>
          <w:b w:val="false"/>
          <w:bCs w:val="false"/>
          <w:i w:val="false"/>
          <w:iCs w:val="false"/>
          <w:strike w:val="false"/>
          <w:color w:val="333333"/>
          <w:sz w:val="21"/>
          <w:szCs w:val="21"/>
        </w:rPr>
        <w:t xml:space="preserve">8.1   Prosthetics &amp; Rehabilitation Engineering</w:t>
      </w:r>
    </w:p>
    <w:p>
      <w:pPr>
        <w:spacing w:after="100" w:line="360" w:lineRule="auto"/>
      </w:pPr>
      <w:r>
        <w:rPr>
          <w:rFonts w:ascii="Calibri" w:cs="Calibri" w:eastAsia="Calibri" w:hAnsi="Calibri"/>
          <w:b w:val="false"/>
          <w:bCs w:val="false"/>
          <w:i w:val="false"/>
          <w:iCs w:val="false"/>
          <w:strike w:val="false"/>
          <w:color w:val="333333"/>
          <w:sz w:val="21"/>
          <w:szCs w:val="21"/>
        </w:rPr>
        <w:t xml:space="preserve">8.2   Robotics &amp; Industrial Automation</w:t>
      </w:r>
    </w:p>
    <w:p>
      <w:pPr>
        <w:spacing w:after="100" w:line="360" w:lineRule="auto"/>
      </w:pPr>
      <w:r>
        <w:rPr>
          <w:rFonts w:ascii="Calibri" w:cs="Calibri" w:eastAsia="Calibri" w:hAnsi="Calibri"/>
          <w:b w:val="false"/>
          <w:bCs w:val="false"/>
          <w:i w:val="false"/>
          <w:iCs w:val="false"/>
          <w:strike w:val="false"/>
          <w:color w:val="333333"/>
          <w:sz w:val="21"/>
          <w:szCs w:val="21"/>
        </w:rPr>
        <w:t xml:space="preserve">8.3   Human-Computer Interaction &amp; Interface Design</w:t>
      </w:r>
    </w:p>
    <w:p>
      <w:pPr>
        <w:spacing w:after="100" w:line="360" w:lineRule="auto"/>
      </w:pPr>
      <w:r>
        <w:rPr>
          <w:rFonts w:ascii="Calibri" w:cs="Calibri" w:eastAsia="Calibri" w:hAnsi="Calibri"/>
          <w:b w:val="false"/>
          <w:bCs w:val="false"/>
          <w:i w:val="false"/>
          <w:iCs w:val="false"/>
          <w:strike w:val="false"/>
          <w:color w:val="333333"/>
          <w:sz w:val="21"/>
          <w:szCs w:val="21"/>
        </w:rPr>
        <w:t xml:space="preserve">8.4   Generative AI Media Production</w:t>
      </w:r>
    </w:p>
    <w:p>
      <w:pPr>
        <w:spacing w:after="100" w:line="360" w:lineRule="auto"/>
      </w:pPr>
      <w:r>
        <w:rPr>
          <w:rFonts w:ascii="Calibri" w:cs="Calibri" w:eastAsia="Calibri" w:hAnsi="Calibri"/>
          <w:b w:val="false"/>
          <w:bCs w:val="false"/>
          <w:i w:val="false"/>
          <w:iCs w:val="false"/>
          <w:strike w:val="false"/>
          <w:color w:val="333333"/>
          <w:sz w:val="21"/>
          <w:szCs w:val="21"/>
        </w:rPr>
        <w:t xml:space="preserve">8.5   Cognitive Science &amp; Embodied Cognition</w:t>
      </w:r>
    </w:p>
    <w:p>
      <w:pPr>
        <w:spacing w:after="100" w:line="360" w:lineRule="auto"/>
      </w:pPr>
      <w:r>
        <w:rPr>
          <w:rFonts w:ascii="Calibri" w:cs="Calibri" w:eastAsia="Calibri" w:hAnsi="Calibri"/>
          <w:b w:val="false"/>
          <w:bCs w:val="false"/>
          <w:i w:val="false"/>
          <w:iCs w:val="false"/>
          <w:strike w:val="false"/>
          <w:color w:val="333333"/>
          <w:sz w:val="21"/>
          <w:szCs w:val="21"/>
        </w:rPr>
        <w:t xml:space="preserve">8.6   Virtual Reality &amp; Mixed Reality</w:t>
      </w:r>
    </w:p>
    <w:p>
      <w:pPr>
        <w:spacing w:after="100" w:line="360" w:lineRule="auto"/>
      </w:pPr>
      <w:r>
        <w:rPr>
          <w:rFonts w:ascii="Calibri" w:cs="Calibri" w:eastAsia="Calibri" w:hAnsi="Calibri"/>
          <w:b/>
          <w:bCs/>
          <w:i w:val="false"/>
          <w:iCs w:val="false"/>
          <w:strike w:val="false"/>
          <w:color w:val="0D2B6B"/>
          <w:sz w:val="22"/>
          <w:szCs w:val="22"/>
        </w:rPr>
        <w:t xml:space="preserve">§9    Copilot Differentiation Note — Multi-AI Working Group Context</w:t>
      </w:r>
    </w:p>
    <w:p>
      <w:pPr>
        <w:spacing w:after="100" w:line="360" w:lineRule="auto"/>
      </w:pPr>
      <w:r>
        <w:rPr>
          <w:rFonts w:ascii="Calibri" w:cs="Calibri" w:eastAsia="Calibri" w:hAnsi="Calibri"/>
          <w:b/>
          <w:bCs/>
          <w:i w:val="false"/>
          <w:iCs w:val="false"/>
          <w:strike w:val="false"/>
          <w:color w:val="0D2B6B"/>
          <w:sz w:val="22"/>
          <w:szCs w:val="22"/>
        </w:rPr>
        <w:t xml:space="preserve">§10   Change Log &amp; Versioning</w:t>
      </w:r>
    </w:p>
    <w:p>
      <w:pPr>
        <w:pStyle w:val="Heading1"/>
        <w:spacing w:after="100" w:before="480" w:line="312" w:lineRule="auto"/>
      </w:pPr>
      <w:r>
        <w:rPr>
          <w:rFonts w:ascii="Calibri" w:cs="Calibri" w:eastAsia="Calibri" w:hAnsi="Calibri"/>
          <w:color w:val="0D2B6B"/>
          <w:sz w:val="44"/>
          <w:szCs w:val="44"/>
        </w:rPr>
        <w:t xml:space="preserve">§0   Governing Constraint &amp; Framing Note</w:t>
      </w:r>
    </w:p>
    <w:p>
      <w:pPr>
        <w:pBdr>
          <w:top w:val="single" w:color="0D2B6B"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6B" w:sz="6"/>
              <w:left w:val="single" w:color="0D2B6B" w:sz="6"/>
              <w:bottom w:val="single" w:color="0D2B6B" w:sz="6"/>
              <w:right w:val="single" w:color="0D2B6B" w:sz="6"/>
            </w:tcBorders>
            <w:shd w:fill="FCE8E8" w:color="auto" w:val="clear"/>
            <w:tcMar>
              <w:top w:type="dxa" w:w="150"/>
              <w:left w:type="dxa" w:w="210"/>
              <w:bottom w:type="dxa" w:w="150"/>
              <w:right w:type="dxa" w:w="210"/>
            </w:tcMar>
          </w:tcPr>
          <w:p>
            <w:pPr>
              <w:spacing w:after="120" w:line="408" w:lineRule="auto"/>
            </w:pPr>
            <w:r>
              <w:rPr>
                <w:b/>
                <w:bCs/>
                <w:i w:val="false"/>
                <w:iCs w:val="false"/>
                <w:color w:val="CC0000"/>
              </w:rPr>
              <w:t xml:space="preserve">⚠ Critical Framing Constraint</w:t>
            </w:r>
          </w:p>
          <w:p>
            <w:pPr>
              <w:spacing w:after="140" w:line="360" w:lineRule="auto"/>
            </w:pPr>
            <w:r>
              <w:rPr>
                <w:rFonts w:ascii="Calibri" w:cs="Calibri" w:eastAsia="Calibri" w:hAnsi="Calibri"/>
                <w:b w:val="false"/>
                <w:bCs w:val="false"/>
                <w:i w:val="false"/>
                <w:iCs w:val="false"/>
                <w:strike w:val="false"/>
                <w:color w:val="000000"/>
                <w:sz w:val="22"/>
                <w:szCs w:val="22"/>
              </w:rPr>
              <w:t xml:space="preserve">This framework does not propose that humans should have three digits. It does not claim that five-digit anatomy is a mistake. It does not rewrite Earth evolutionary history. </w:t>
            </w:r>
            <w:r>
              <w:rPr>
                <w:rFonts w:ascii="Calibri" w:cs="Calibri" w:eastAsia="Calibri" w:hAnsi="Calibri"/>
                <w:b/>
                <w:bCs/>
                <w:i w:val="false"/>
                <w:iCs w:val="false"/>
                <w:strike w:val="false"/>
                <w:color w:val="000000"/>
                <w:sz w:val="22"/>
                <w:szCs w:val="22"/>
              </w:rPr>
              <w:t xml:space="preserve">Homo sapiens remains pentadactyl.</w:t>
            </w:r>
            <w:r>
              <w:rPr>
                <w:rFonts w:ascii="Calibri" w:cs="Calibri" w:eastAsia="Calibri" w:hAnsi="Calibri"/>
                <w:b w:val="false"/>
                <w:bCs w:val="false"/>
                <w:i w:val="false"/>
                <w:iCs w:val="false"/>
                <w:strike w:val="false"/>
                <w:color w:val="000000"/>
                <w:sz w:val="22"/>
                <w:szCs w:val="22"/>
              </w:rPr>
              <w:t xml:space="preserve"> The object of study is a purpose-designed simulated architecture: a hand that evolved around three total digits, with one functioning as an independently opposable pollical digit (the pollex analogue), and the other two independently controlled. The comparison is always </w:t>
            </w:r>
            <w:r>
              <w:rPr>
                <w:rFonts w:ascii="Calibri" w:cs="Calibri" w:eastAsia="Calibri" w:hAnsi="Calibri"/>
                <w:b w:val="false"/>
                <w:bCs w:val="false"/>
                <w:i/>
                <w:iCs/>
                <w:strike w:val="false"/>
                <w:color w:val="000000"/>
                <w:sz w:val="22"/>
                <w:szCs w:val="22"/>
              </w:rPr>
              <w:t xml:space="preserve">optimized tridactyly versus optimized pentadactyly</w:t>
            </w:r>
            <w:r>
              <w:rPr>
                <w:rFonts w:ascii="Calibri" w:cs="Calibri" w:eastAsia="Calibri" w:hAnsi="Calibri"/>
                <w:b w:val="false"/>
                <w:bCs w:val="false"/>
                <w:i w:val="false"/>
                <w:iCs w:val="false"/>
                <w:strike w:val="false"/>
                <w:color w:val="000000"/>
                <w:sz w:val="22"/>
                <w:szCs w:val="22"/>
              </w:rPr>
              <w:t xml:space="preserve"> — never "human hand minus two fingers."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6B" w:sz="6"/>
              <w:left w:val="single" w:color="0D2B6B" w:sz="6"/>
              <w:bottom w:val="single" w:color="0D2B6B" w:sz="6"/>
              <w:right w:val="single" w:color="0D2B6B" w:sz="6"/>
            </w:tcBorders>
            <w:shd w:fill="FFF3E0" w:color="auto" w:val="clear"/>
            <w:tcMar>
              <w:top w:type="dxa" w:w="150"/>
              <w:left w:type="dxa" w:w="210"/>
              <w:bottom w:type="dxa" w:w="150"/>
              <w:right w:type="dxa" w:w="210"/>
            </w:tcMar>
          </w:tcPr>
          <w:p>
            <w:pPr>
              <w:spacing w:after="120" w:line="408" w:lineRule="auto"/>
            </w:pPr>
            <w:r>
              <w:rPr>
                <w:b/>
                <w:bCs/>
                <w:i w:val="false"/>
                <w:iCs w:val="false"/>
                <w:color w:val="7A4000"/>
              </w:rPr>
              <w:t xml:space="preserve">📝 Terminology Note</w:t>
            </w:r>
          </w:p>
          <w:p>
            <w:pPr>
              <w:spacing w:after="140" w:line="360" w:lineRule="auto"/>
            </w:pPr>
            <w:r>
              <w:rPr>
                <w:rFonts w:ascii="Calibri" w:cs="Calibri" w:eastAsia="Calibri" w:hAnsi="Calibri"/>
                <w:b w:val="false"/>
                <w:bCs w:val="false"/>
                <w:i w:val="false"/>
                <w:iCs w:val="false"/>
                <w:strike w:val="false"/>
                <w:color w:val="000000"/>
                <w:sz w:val="22"/>
                <w:szCs w:val="22"/>
              </w:rPr>
              <w:t xml:space="preserve">The correct term for the primary treatment condition is </w:t>
            </w:r>
            <w:r>
              <w:rPr>
                <w:rFonts w:ascii="Calibri" w:cs="Calibri" w:eastAsia="Calibri" w:hAnsi="Calibri"/>
                <w:b/>
                <w:bCs/>
                <w:i w:val="false"/>
                <w:iCs w:val="false"/>
                <w:strike w:val="false"/>
                <w:color w:val="000000"/>
                <w:sz w:val="22"/>
                <w:szCs w:val="22"/>
              </w:rPr>
              <w:t xml:space="preserve">"tridactyl manipulator"</w:t>
            </w:r>
            <w:r>
              <w:rPr>
                <w:rFonts w:ascii="Calibri" w:cs="Calibri" w:eastAsia="Calibri" w:hAnsi="Calibri"/>
                <w:b w:val="false"/>
                <w:bCs w:val="false"/>
                <w:i w:val="false"/>
                <w:iCs w:val="false"/>
                <w:strike w:val="false"/>
                <w:color w:val="000000"/>
                <w:sz w:val="22"/>
                <w:szCs w:val="22"/>
              </w:rPr>
              <w:t xml:space="preserve"> — three total digits per hand, inclusive of the opposable digit. The formulation "three fingers plus a thumb" describes a </w:t>
            </w:r>
            <w:r>
              <w:rPr>
                <w:rFonts w:ascii="Calibri" w:cs="Calibri" w:eastAsia="Calibri" w:hAnsi="Calibri"/>
                <w:b w:val="false"/>
                <w:bCs w:val="false"/>
                <w:i/>
                <w:iCs/>
                <w:strike w:val="false"/>
                <w:color w:val="000000"/>
                <w:sz w:val="22"/>
                <w:szCs w:val="22"/>
              </w:rPr>
              <w:t xml:space="preserve">four-digit</w:t>
            </w:r>
            <w:r>
              <w:rPr>
                <w:rFonts w:ascii="Calibri" w:cs="Calibri" w:eastAsia="Calibri" w:hAnsi="Calibri"/>
                <w:b w:val="false"/>
                <w:bCs w:val="false"/>
                <w:i w:val="false"/>
                <w:iCs w:val="false"/>
                <w:strike w:val="false"/>
                <w:color w:val="000000"/>
                <w:sz w:val="22"/>
                <w:szCs w:val="22"/>
              </w:rPr>
              <w:t xml:space="preserve"> system and is explicitly outside the primary treatment condition (but is retained as a secondary comparison condition in §5.2). All researchers, collaborators, and creative partners affiliated with this program are expected to apply this terminology consistently from this version forward.</w:t>
            </w:r>
          </w:p>
        </w:tc>
      </w:tr>
    </w:tbl>
    <w:p>
      <w:pPr>
        <w:spacing w:after="240" w:before="0"/>
      </w:pPr>
    </w:p>
    <w:p>
      <w:pPr>
        <w:pStyle w:val="Heading2"/>
        <w:spacing w:after="120" w:before="360" w:line="312" w:lineRule="auto"/>
      </w:pPr>
      <w:r>
        <w:rPr>
          <w:rFonts w:ascii="Calibri" w:cs="Calibri" w:eastAsia="Calibri" w:hAnsi="Calibri"/>
          <w:color w:val="1A3A7A"/>
          <w:sz w:val="30"/>
          <w:szCs w:val="30"/>
        </w:rPr>
        <w:t xml:space="preserve">Copilot Unique Lane — Systems Integration &amp; Representation Coherence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central motivator for this entire multi-AI research program, as stated by Nathan Lewis II (Architect of Record, OAL), is not anatomical conjecture — it is an </w:t>
      </w:r>
      <w:r>
        <w:rPr>
          <w:rFonts w:ascii="Calibri" w:cs="Calibri" w:eastAsia="Calibri" w:hAnsi="Calibri"/>
          <w:b/>
          <w:bCs/>
          <w:i w:val="false"/>
          <w:iCs w:val="false"/>
          <w:strike w:val="false"/>
          <w:color w:val="000000"/>
          <w:sz w:val="22"/>
          <w:szCs w:val="22"/>
        </w:rPr>
        <w:t xml:space="preserve">engineering problem</w:t>
      </w:r>
      <w:r>
        <w:rPr>
          <w:rFonts w:ascii="Calibri" w:cs="Calibri" w:eastAsia="Calibri" w:hAnsi="Calibri"/>
          <w:b w:val="false"/>
          <w:bCs w:val="false"/>
          <w:i w:val="false"/>
          <w:iCs w:val="false"/>
          <w:strike w:val="false"/>
          <w:color w:val="000000"/>
          <w:sz w:val="22"/>
          <w:szCs w:val="22"/>
        </w:rPr>
        <w:t xml:space="preserve">: the persistent, commercially significant, and empirically well-documented failure of generative AI pipelines to maintain representation coherence, motion fidelity, and topology stability for human hands across frames and modalities.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Copilot's independent contribution to this multi-AI working group therefore organizes itself around the </w:t>
      </w:r>
      <w:r>
        <w:rPr>
          <w:rFonts w:ascii="Calibri" w:cs="Calibri" w:eastAsia="Calibri" w:hAnsi="Calibri"/>
          <w:b/>
          <w:bCs/>
          <w:i w:val="false"/>
          <w:iCs w:val="false"/>
          <w:strike w:val="false"/>
          <w:color w:val="000000"/>
          <w:sz w:val="22"/>
          <w:szCs w:val="22"/>
        </w:rPr>
        <w:t xml:space="preserve">full pipeline stack</w:t>
      </w:r>
      <w:r>
        <w:rPr>
          <w:rFonts w:ascii="Calibri" w:cs="Calibri" w:eastAsia="Calibri" w:hAnsi="Calibri"/>
          <w:b w:val="false"/>
          <w:bCs w:val="false"/>
          <w:i w:val="false"/>
          <w:iCs w:val="false"/>
          <w:strike w:val="false"/>
          <w:color w:val="000000"/>
          <w:sz w:val="22"/>
          <w:szCs w:val="22"/>
        </w:rPr>
        <w:t xml:space="preserve">. The guiding question for Copilot's lane is: if a tridactyl morphology were purpose-built from the ground up — not derived by amputation from a pentadactyl ancestor, not constrained by human evolutionary history — could it be engineered to be inherently more coherent across every layer of the simulation-to-rendering pipeline?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is a systems integration lens, complementary to but explicitly distinct from the other four independent AI contributions in this working group. Copilot's lane spans the complete stack: evolutionary simulation → physics and contact modeling → rigging and skeleton architecture → generative AI conditioning → real-time rendering → cross-platform deployment. At every layer, the pipeline coherence question is asked explicitly and is treated as a first-class research objective, not a downstream application note.</w:t>
      </w:r>
    </w:p>
    <w:p>
      <w:pPr>
        <w:pStyle w:val="Heading1"/>
        <w:spacing w:after="100" w:before="480" w:line="312" w:lineRule="auto"/>
      </w:pPr>
      <w:r>
        <w:rPr>
          <w:rFonts w:ascii="Calibri" w:cs="Calibri" w:eastAsia="Calibri" w:hAnsi="Calibri"/>
          <w:color w:val="0D2B6B"/>
          <w:sz w:val="44"/>
          <w:szCs w:val="44"/>
        </w:rPr>
        <w:t xml:space="preserve">§1   Purpose &amp; Scope</w:t>
      </w:r>
    </w:p>
    <w:p>
      <w:pPr>
        <w:pBdr>
          <w:top w:val="single" w:color="0D2B6B" w:sz="6"/>
        </w:pBdr>
        <w:spacing w:after="200" w:before="0"/>
      </w:pPr>
    </w:p>
    <w:p>
      <w:pPr>
        <w:pStyle w:val="Heading2"/>
        <w:spacing w:after="120" w:before="360" w:line="312" w:lineRule="auto"/>
      </w:pPr>
      <w:r>
        <w:rPr>
          <w:rFonts w:ascii="Calibri" w:cs="Calibri" w:eastAsia="Calibri" w:hAnsi="Calibri"/>
          <w:color w:val="1A3A7A"/>
          <w:sz w:val="30"/>
          <w:szCs w:val="30"/>
        </w:rPr>
        <w:t xml:space="preserve">1.1 Core Research Question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central research question governing this entire framework is stated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D2B6B" w:sz="24"/>
              <w:bottom w:val="nil" w:color="FFFFFF" w:sz="0"/>
              <w:right w:val="nil" w:color="FFFFFF" w:sz="0"/>
            </w:tcBorders>
            <w:shd w:fill="F5F8FD" w:color="auto" w:val="clear"/>
            <w:tcMar>
              <w:top w:type="dxa" w:w="120"/>
              <w:left w:type="dxa" w:w="280"/>
              <w:bottom w:type="dxa" w:w="120"/>
              <w:right w:type="dxa" w:w="280"/>
            </w:tcMar>
          </w:tcPr>
          <w:p>
            <w:pPr>
              <w:spacing w:after="120" w:line="408" w:lineRule="auto"/>
            </w:pPr>
            <w:r>
              <w:t xml:space="preserve">Core Question:</w:t>
            </w:r>
          </w:p>
          <w:p>
            <w:pPr>
              <w:spacing w:after="120" w:line="408" w:lineRule="auto"/>
            </w:pPr>
            <w:r>
              <w:rPr>
                <w:i/>
                <w:iCs/>
              </w:rPr>
              <w:t xml:space="preserve">Can a tridactyl (three-total-digit) manipulator, purpose-evolved rather than derived by amputation from a pentadactyl ancestor, match or exceed pentadactyl manipulation capability — and critically, can it achieve demonstrably superior representation coherence, rigging simplicity, and topology stability across a generative AI media pipeline?</w:t>
            </w:r>
          </w:p>
        </w:tc>
      </w:tr>
    </w:tbl>
    <w:p>
      <w:pPr>
        <w:spacing w:after="24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question is intentionally dual-stranded. The first strand is biomechanical and evolutionary: whether a three-digit system can be internally consistent, functionally competitive, and evolutionarily stable under realistic selection pressures in computational simulation. The second strand is the systems-integration engineering question that is Copilot's primary lane: whether the tridactyl morphology's reduced complexity yields downstream advantages at every stage of a modern simulation-to-rendering pipeline, from physics modeling through generative AI conditioning and cross-platform deployment.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two strands are inseparable. Confirming biomechanical sufficiency (Strand 1) is a prerequisite for the systems-integration findings (Strand 2) to be meaningful: a tridactyl manipulator that fails at basic grasping tasks produces no useful pipeline-coherence insight. Conversely, confirming pipeline coherence advantages without biomechanical sufficiency would produce an interesting rendering artifact but no valid design language for OAL's institutional purposes. Both strands must be pursued simultaneously and reported jointly.</w:t>
      </w:r>
    </w:p>
    <w:p>
      <w:pPr>
        <w:pStyle w:val="Heading2"/>
        <w:spacing w:after="120" w:before="360" w:line="312" w:lineRule="auto"/>
      </w:pPr>
      <w:r>
        <w:rPr>
          <w:rFonts w:ascii="Calibri" w:cs="Calibri" w:eastAsia="Calibri" w:hAnsi="Calibri"/>
          <w:color w:val="1A3A7A"/>
          <w:sz w:val="30"/>
          <w:szCs w:val="30"/>
        </w:rPr>
        <w:t xml:space="preserve">1.2 Scope Domains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research framework encompasses three linked scope domains, each of which generates independent findings while feeding the next: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Biomechanical &amp; Evolutionary Plausibility:</w:t>
      </w:r>
      <w:r>
        <w:rPr>
          <w:rFonts w:ascii="Calibri" w:cs="Calibri" w:eastAsia="Calibri" w:hAnsi="Calibri"/>
          <w:b w:val="false"/>
          <w:bCs w:val="false"/>
          <w:i w:val="false"/>
          <w:iCs w:val="false"/>
          <w:strike w:val="false"/>
          <w:color w:val="000000"/>
          <w:sz w:val="22"/>
          <w:szCs w:val="22"/>
        </w:rPr>
        <w:t xml:space="preserve"> Can a three-digit system be internally consistent, competitive under selective pressure, and reach a stable evolutionary attractor in simulation? This domain is addressed primarily in Layers 1 and 2 of the Five-Layer Stack (§4), and corresponds to Hypotheses H1 and H2 (§3).</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Systems Pipeline Integration:</w:t>
      </w:r>
      <w:r>
        <w:rPr>
          <w:rFonts w:ascii="Calibri" w:cs="Calibri" w:eastAsia="Calibri" w:hAnsi="Calibri"/>
          <w:b w:val="false"/>
          <w:bCs w:val="false"/>
          <w:i w:val="false"/>
          <w:iCs w:val="false"/>
          <w:strike w:val="false"/>
          <w:color w:val="000000"/>
          <w:sz w:val="22"/>
          <w:szCs w:val="22"/>
        </w:rPr>
        <w:t xml:space="preserve"> Is a tridactyl hand intrinsically more coherent across the simulation → physics → rig → generative model → rendered output chain? This is Copilot's primary lane. It is addressed in Layers 3, 4, and 5 of the Five-Layer Stack, and corresponds directly to Hypotheses H3, H4, and H5 (§3).</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Institutional &amp; Worldbuilding Applicability:</w:t>
      </w:r>
      <w:r>
        <w:rPr>
          <w:rFonts w:ascii="Calibri" w:cs="Calibri" w:eastAsia="Calibri" w:hAnsi="Calibri"/>
          <w:b w:val="false"/>
          <w:bCs w:val="false"/>
          <w:i w:val="false"/>
          <w:iCs w:val="false"/>
          <w:strike w:val="false"/>
          <w:color w:val="000000"/>
          <w:sz w:val="22"/>
          <w:szCs w:val="22"/>
        </w:rPr>
        <w:t xml:space="preserve"> What are the downstream uses for OAL, ONE INDUSTRIES, LEWIS CORP, THE ONE UNIVERSE, and THE MINUS ONE UNIVERSE? This domain draws on confirmed findings from Domains 1 and 2, and is addressed fully in §7. Hypothesis H6 (§3) formally tests one aspect of this domain — session-continuity defect rate in worldbuilding deployments.</w:t>
      </w:r>
    </w:p>
    <w:p>
      <w:pPr>
        <w:pStyle w:val="Heading2"/>
        <w:spacing w:after="120" w:before="360" w:line="312" w:lineRule="auto"/>
      </w:pPr>
      <w:r>
        <w:rPr>
          <w:rFonts w:ascii="Calibri" w:cs="Calibri" w:eastAsia="Calibri" w:hAnsi="Calibri"/>
          <w:color w:val="1A3A7A"/>
          <w:sz w:val="30"/>
          <w:szCs w:val="30"/>
        </w:rPr>
        <w:t xml:space="preserve">1.3 Out of Scope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topics are explicitly excluded from this framework and from any findings, claims, or recommendations arising from 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claim that humans should have, or evolutionarily should have had, three digits rather than five.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claim that five-digit (pentadactyl) anatomy is suboptimal for human beings in their actual evolved ecological context.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recommendation for real-world surgical or biological modification of human or animal anatomy.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replacement of established human anatomy in media canon governed by OAL without explicit, affirmative creative direction from Nathan Lewis II as Architect of Record.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inference from simulation findings to claims about the developmental biology or evolutionary genetics of actual tetrapod digit-count determination.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assertion of definitive conclusions prior to completion of pilot runs and formal preregistration (targeted at v2.0).</w:t>
      </w:r>
    </w:p>
    <w:p>
      <w:pPr>
        <w:pStyle w:val="Heading1"/>
        <w:spacing w:after="100" w:before="480" w:line="312" w:lineRule="auto"/>
      </w:pPr>
      <w:r>
        <w:rPr>
          <w:rFonts w:ascii="Calibri" w:cs="Calibri" w:eastAsia="Calibri" w:hAnsi="Calibri"/>
          <w:color w:val="0D2B6B"/>
          <w:sz w:val="44"/>
          <w:szCs w:val="44"/>
        </w:rPr>
        <w:t xml:space="preserve">§2   The Representation Coherence Problem — Why This Research Exists</w:t>
      </w:r>
    </w:p>
    <w:p>
      <w:pPr>
        <w:pBdr>
          <w:top w:val="single" w:color="0D2B6B" w:sz="6"/>
        </w:pBdr>
        <w:spacing w:after="200" w:before="0"/>
      </w:pPr>
    </w:p>
    <w:p>
      <w:pPr>
        <w:pStyle w:val="Heading2"/>
        <w:spacing w:after="120" w:before="360" w:line="312" w:lineRule="auto"/>
      </w:pPr>
      <w:r>
        <w:rPr>
          <w:rFonts w:ascii="Calibri" w:cs="Calibri" w:eastAsia="Calibri" w:hAnsi="Calibri"/>
          <w:color w:val="1A3A7A"/>
          <w:sz w:val="30"/>
          <w:szCs w:val="30"/>
        </w:rPr>
        <w:t xml:space="preserve">2.1 The Original Problem: Generative AI Hand Failure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Generative AI systems — spanning text-to-image models, text-to-video models, and 3D reconstruction pipelines — exhibit a well-known and commercially significant failure mode: they consistently and severely misrepresent human hands. This is not an incidental artifact of early-generation model limitations. It persists across successive model generations, across modalities, and across production scales. The phenomenon is sufficiently reliable that it has become a community-recognized benchmark failure surface, informally standardized as an indicator of a model's anatomical fidelity floor.</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Hands are the most commonly cited anatomical failure surface in text-to-image models. Generated hands routinely exhibit: extra digits, merged or fused digits, fractured joint continuity, incorrect phalange counts per digit, palm geometry distortions, and bilateral asymmetry. In video generation, these artifacts compound over time: digits that are correctly positioned in frame 1 merge, split, rotate, or vanish between frames 2 and 30, producing a topology-unstable representation that breaks character continuity at the first close-up shot requiring hand visibility.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These failures impose direct production costs: manual post-production correction of generated hand imagery, exclusion of hands from AI-generated close-up shots, reshooting or regenerating scenes, and the maintenance of human-supervised quality gates that eliminate or substantially reduce the efficiency gains that motivated the use of generative AI in the first place.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magnitude of the problem is not a model-specific bug to be patched in the next release cycle. It reflects a structural challenge rooted in the anatomical complexity of the pentadactyl human hand itself — a complexity that no model architecture, dataset size, or sampling strategy has yet overcome at production-fidelity levels for arbitrary poses and lighting conditions.</w:t>
      </w:r>
    </w:p>
    <w:p>
      <w:pPr>
        <w:pStyle w:val="Heading2"/>
        <w:spacing w:after="120" w:before="360" w:line="312" w:lineRule="auto"/>
      </w:pPr>
      <w:r>
        <w:rPr>
          <w:rFonts w:ascii="Calibri" w:cs="Calibri" w:eastAsia="Calibri" w:hAnsi="Calibri"/>
          <w:color w:val="1A3A7A"/>
          <w:sz w:val="30"/>
          <w:szCs w:val="30"/>
        </w:rPr>
        <w:t xml:space="preserve">2.2 Root Causes of Topology Instability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Copilot's lane identifies six root causes of the hand-coherence failure, each of which is directly relevant to the tridactyl hypothesis: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High Topological Complexity:</w:t>
      </w:r>
      <w:r>
        <w:rPr>
          <w:rFonts w:ascii="Calibri" w:cs="Calibri" w:eastAsia="Calibri" w:hAnsi="Calibri"/>
          <w:b w:val="false"/>
          <w:bCs w:val="false"/>
          <w:i w:val="false"/>
          <w:iCs w:val="false"/>
          <w:strike w:val="false"/>
          <w:color w:val="000000"/>
          <w:sz w:val="22"/>
          <w:szCs w:val="22"/>
        </w:rPr>
        <w:t xml:space="preserve"> The human hand comprises 27 bones, 29 joints, and approximately 35 muscles (both intrinsic and extrinsic), producing a pose space of extraordinary dimensionality. The joint configuration space of the human hand — accounting for all anatomically valid combinations of flexion, extension, abduction, adduction, and rotation at each joint — is not well-characterized even in biomechanics literature, let alone in the training data of generative models. Models must learn a high-dimensional manifold from finite samples, and they do so incompletely.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High Self-Occlusion Rate:</w:t>
      </w:r>
      <w:r>
        <w:rPr>
          <w:rFonts w:ascii="Calibri" w:cs="Calibri" w:eastAsia="Calibri" w:hAnsi="Calibri"/>
          <w:b w:val="false"/>
          <w:bCs w:val="false"/>
          <w:i w:val="false"/>
          <w:iCs w:val="false"/>
          <w:strike w:val="false"/>
          <w:color w:val="000000"/>
          <w:sz w:val="22"/>
          <w:szCs w:val="22"/>
        </w:rPr>
        <w:t xml:space="preserve"> In natural human hand motion, digits frequently occlude one another — particularly during grasping, pointing, and fine manipulation tasks. Self-occlusion removes information from the visual signal at precisely the moments of highest kinematic complexity, creating ambiguous training examples that propagate as ambiguous generative outputs. The probability of self-occlusion increases with digit count, all else being equal.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Strong Viewer Sensitivity:</w:t>
      </w:r>
      <w:r>
        <w:rPr>
          <w:rFonts w:ascii="Calibri" w:cs="Calibri" w:eastAsia="Calibri" w:hAnsi="Calibri"/>
          <w:b w:val="false"/>
          <w:bCs w:val="false"/>
          <w:i w:val="false"/>
          <w:iCs w:val="false"/>
          <w:strike w:val="false"/>
          <w:color w:val="000000"/>
          <w:sz w:val="22"/>
          <w:szCs w:val="22"/>
        </w:rPr>
        <w:t xml:space="preserve"> Human observers have finely calibrated neural machinery for detecting anatomically anomalous hands. The same observer who would not notice a missing knuckle on a rendered chair leg will immediately and viscerally detect a sixth digit or a finger that bends the wrong direction on a human hand. This high detection sensitivity is the clinical driver of the "uncanny valley" effect for AI-generated hands: small errors produce large perceptual costs.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Finger-Enslaving — The Independence Deficit:</w:t>
      </w:r>
      <w:r>
        <w:rPr>
          <w:rFonts w:ascii="Calibri" w:cs="Calibri" w:eastAsia="Calibri" w:hAnsi="Calibri"/>
          <w:b w:val="false"/>
          <w:bCs w:val="false"/>
          <w:i w:val="false"/>
          <w:iCs w:val="false"/>
          <w:strike w:val="false"/>
          <w:color w:val="000000"/>
          <w:sz w:val="22"/>
          <w:szCs w:val="22"/>
        </w:rPr>
        <w:t xml:space="preserve"> In human biomechanics, fingers share flexor tendons via the flexor digitorum superficialis (FDS) and flexor digitorum profundus (FDP). The FDP in particular has a common muscle belly for the ring and middle fingers, meaning that fully independent actuation of these two digits is neurologically costly and mechanically constrained. This "finger-enslaving" effect produces a measurable independence deficit: the ring finger cannot fully extend when the middle finger is fully flexed, and vice versa. This constraint means that the effective independent-control dimensionality of the human hand is lower than its joint-count dimensionality would suggest — but the coupling is nonlinear, non-obvious, and difficult for generative models to learn from visual data alone.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Topology Instability Across Frames in Video Generation:</w:t>
      </w:r>
      <w:r>
        <w:rPr>
          <w:rFonts w:ascii="Calibri" w:cs="Calibri" w:eastAsia="Calibri" w:hAnsi="Calibri"/>
          <w:b w:val="false"/>
          <w:bCs w:val="false"/>
          <w:i w:val="false"/>
          <w:iCs w:val="false"/>
          <w:strike w:val="false"/>
          <w:color w:val="000000"/>
          <w:sz w:val="22"/>
          <w:szCs w:val="22"/>
        </w:rPr>
        <w:t xml:space="preserve"> In temporal generative pipelines (video synthesis, animation inpainting, frame interpolation), the skeletal structure of the hand is not explicitly tracked across frames. Each frame is generated conditioned on prior frames and text/motion embeddings, but the model has no persistent skeletal state. Minor variations in generative sampling produce digit-topology changes between consecutive frames — fingers merge, split, shift laterally, or vanish — in ways that are imperceptible within any single frame but catastrophic when viewed as video.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Training Data Imbalance Across Poses:</w:t>
      </w:r>
      <w:r>
        <w:rPr>
          <w:rFonts w:ascii="Calibri" w:cs="Calibri" w:eastAsia="Calibri" w:hAnsi="Calibri"/>
          <w:b w:val="false"/>
          <w:bCs w:val="false"/>
          <w:i w:val="false"/>
          <w:iCs w:val="false"/>
          <w:strike w:val="false"/>
          <w:color w:val="000000"/>
          <w:sz w:val="22"/>
          <w:szCs w:val="22"/>
        </w:rPr>
        <w:t xml:space="preserve"> The distribution of hand poses in publicly available training data is highly non-uniform. Common poses (open palm, loose fist, pointing index finger) are massively overrepresented relative to uncommon but task-critical poses (precision pinch grip, three-finger chuck, opposition with spread digits). Generative models exhibit high fidelity for common poses and low fidelity for rare ones — exactly the reverse of what production pipelines require, which often need precise close-up hand shots in specific task poses.</w:t>
      </w:r>
    </w:p>
    <w:p>
      <w:pPr>
        <w:pStyle w:val="Heading2"/>
        <w:spacing w:after="120" w:before="360" w:line="312" w:lineRule="auto"/>
      </w:pPr>
      <w:r>
        <w:rPr>
          <w:rFonts w:ascii="Calibri" w:cs="Calibri" w:eastAsia="Calibri" w:hAnsi="Calibri"/>
          <w:color w:val="1A3A7A"/>
          <w:sz w:val="30"/>
          <w:szCs w:val="30"/>
        </w:rPr>
        <w:t xml:space="preserve">2.3 The Tridactyl Hypothesis for Rendering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systems-integration hypothesis that Copilot's lane advances and tests is the following: a purpose-designed tridactyl hand, with three fully independent digits, each with its own dedicated actuator pathway and no tendon-sharing constraints, a lower total joint count, and a simpler skeletal graph, may produce a lower-dimensional pose manifold that addresses each of the six root causes identified in §2.2.</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hypothesis does not claim that a tridactyl hand is easier to draw, easier to animate, or more aesthetically appealing. It claims that a tridactyl hand is structurally, architecturally, and informationally simpler — and that this simplicity, if formalized in a purpose-built rig and conditioning protocol, may produce measurably superior pipeline coherence outcomes. Specifically: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w:t>
      </w:r>
      <w:r>
        <w:rPr>
          <w:rFonts w:ascii="Calibri" w:cs="Calibri" w:eastAsia="Calibri" w:hAnsi="Calibri"/>
          <w:b w:val="false"/>
          <w:bCs w:val="false"/>
          <w:i w:val="false"/>
          <w:iCs w:val="false"/>
          <w:strike w:val="false"/>
          <w:color w:val="000000"/>
          <w:sz w:val="22"/>
          <w:szCs w:val="22"/>
        </w:rPr>
        <w:t xml:space="preserve"> The lower-dimensional pose manifold of a tridactyl hand is easier for generative models to learn from finite training data and to maintain across frames.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w:t>
      </w:r>
      <w:r>
        <w:rPr>
          <w:rFonts w:ascii="Calibri" w:cs="Calibri" w:eastAsia="Calibri" w:hAnsi="Calibri"/>
          <w:b w:val="false"/>
          <w:bCs w:val="false"/>
          <w:i w:val="false"/>
          <w:iCs w:val="false"/>
          <w:strike w:val="false"/>
          <w:color w:val="000000"/>
          <w:sz w:val="22"/>
          <w:szCs w:val="22"/>
        </w:rPr>
        <w:t xml:space="preserve"> The simpler skeletal graph requires fewer blend shapes, fewer IK chain nodes, and fewer skinning weight maps — producing a rig that is faster to author, less prone to deformation artifacts, and easier to validate automatically.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w:t>
      </w:r>
      <w:r>
        <w:rPr>
          <w:rFonts w:ascii="Calibri" w:cs="Calibri" w:eastAsia="Calibri" w:hAnsi="Calibri"/>
          <w:b w:val="false"/>
          <w:bCs w:val="false"/>
          <w:i w:val="false"/>
          <w:iCs w:val="false"/>
          <w:strike w:val="false"/>
          <w:color w:val="000000"/>
          <w:sz w:val="22"/>
          <w:szCs w:val="22"/>
        </w:rPr>
        <w:t xml:space="preserve"> With fewer digits, the probability of self-occlusion during natural manipulation tasks is structurally lower — producing cleaner training signal and less ambiguous generative conditioning.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w:t>
      </w:r>
      <w:r>
        <w:rPr>
          <w:rFonts w:ascii="Calibri" w:cs="Calibri" w:eastAsia="Calibri" w:hAnsi="Calibri"/>
          <w:b w:val="false"/>
          <w:bCs w:val="false"/>
          <w:i w:val="false"/>
          <w:iCs w:val="false"/>
          <w:strike w:val="false"/>
          <w:color w:val="000000"/>
          <w:sz w:val="22"/>
          <w:szCs w:val="22"/>
        </w:rPr>
        <w:t xml:space="preserve"> A tridactyl hand with no tendon-sharing constraint (fully independent digit actuation) has a linear, not nonlinear, independence structure — making its pose space more uniformly learnable by generative models and more predictably controllable in simulation.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w:t>
      </w:r>
      <w:r>
        <w:rPr>
          <w:rFonts w:ascii="Calibri" w:cs="Calibri" w:eastAsia="Calibri" w:hAnsi="Calibri"/>
          <w:b w:val="false"/>
          <w:bCs w:val="false"/>
          <w:i w:val="false"/>
          <w:iCs w:val="false"/>
          <w:strike w:val="false"/>
          <w:color w:val="000000"/>
          <w:sz w:val="22"/>
          <w:szCs w:val="22"/>
        </w:rPr>
        <w:t xml:space="preserve"> Mesh topology across consecutive generated frames is more stable because the simpler skeletal graph anchors fewer, larger mesh regions — reducing the probability of inter-frame topology changes at digit-digit boundaries.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Each of these sub-claims is a testable hypothesis. Collectively they constitute the core engineering argument of this framework, and their empirical evaluation across all five simulation layers is the primary contribution of the Copilot lane to the OAL multi-AI research program.</w:t>
      </w:r>
    </w:p>
    <w:p>
      <w:pPr>
        <w:pStyle w:val="Heading1"/>
        <w:spacing w:after="100" w:before="480" w:line="312" w:lineRule="auto"/>
      </w:pPr>
      <w:r>
        <w:rPr>
          <w:rFonts w:ascii="Calibri" w:cs="Calibri" w:eastAsia="Calibri" w:hAnsi="Calibri"/>
          <w:color w:val="0D2B6B"/>
          <w:sz w:val="44"/>
          <w:szCs w:val="44"/>
        </w:rPr>
        <w:t xml:space="preserve">§3   Research Hypotheses — H1 Through H6</w:t>
      </w:r>
    </w:p>
    <w:p>
      <w:pPr>
        <w:pBdr>
          <w:top w:val="single" w:color="0D2B6B"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six hypotheses are stated as formally testable propositions. Each hypothesis is assigned a designation (H1–H6) that is used consistently across all subsequent sections of this framework to link methodology, metrics, and findings. All hypotheses are stated in their alternative (research) form; the null hypothesis for each is the negation of the stated proposition. Null results will be reported with equal weight and emphasis as confirmatory results in all OAL publications arising from this program.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6B" w:sz="6"/>
              <w:left w:val="single" w:color="0D2B6B" w:sz="6"/>
              <w:bottom w:val="single" w:color="0D2B6B" w:sz="6"/>
              <w:right w:val="single" w:color="0D2B6B" w:sz="6"/>
            </w:tcBorders>
            <w:shd w:fill="F0F4FB" w:color="auto" w:val="clear"/>
            <w:tcMar>
              <w:top w:type="dxa" w:w="180"/>
              <w:left w:type="dxa" w:w="240"/>
              <w:bottom w:type="dxa" w:w="180"/>
              <w:right w:type="dxa" w:w="240"/>
            </w:tcMar>
          </w:tcPr>
          <w:p>
            <w:pPr>
              <w:spacing w:after="120" w:line="408" w:lineRule="auto"/>
            </w:pPr>
            <w:r>
              <w:rPr>
                <w:b/>
                <w:bCs/>
                <w:i w:val="false"/>
                <w:iCs w:val="false"/>
                <w:color w:val="0D2B6B"/>
              </w:rPr>
              <w:t xml:space="preserve">H1 — EVOLUTIONARY ATTAINABILITY</w:t>
            </w:r>
          </w:p>
          <w:p>
            <w:pPr>
              <w:spacing w:after="140" w:line="360" w:lineRule="auto"/>
            </w:pPr>
            <w:r>
              <w:rPr>
                <w:rFonts w:ascii="Calibri" w:cs="Calibri" w:eastAsia="Calibri" w:hAnsi="Calibri"/>
                <w:b w:val="false"/>
                <w:bCs w:val="false"/>
                <w:i w:val="false"/>
                <w:iCs w:val="false"/>
                <w:strike w:val="false"/>
                <w:color w:val="111111"/>
                <w:sz w:val="22"/>
                <w:szCs w:val="22"/>
              </w:rPr>
              <w:t xml:space="preserve">A tridactyl morphology with three fully independent digits — one opposable (pollex analogue) and two independently controlled — can evolve to a stable functional attractor under plausible ecological selection pressures within a computational evolutionary simulation. The resulting morphology is not merely viable but occupies a fitness peak, not a fitness saddle: small perturbations in morphological parameter space do not produce large fitness drops, indicating robustness of the tridactyl design under environmental variation.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6B" w:sz="6"/>
              <w:left w:val="single" w:color="0D2B6B" w:sz="6"/>
              <w:bottom w:val="single" w:color="0D2B6B" w:sz="6"/>
              <w:right w:val="single" w:color="0D2B6B" w:sz="6"/>
            </w:tcBorders>
            <w:shd w:fill="F0F4FB" w:color="auto" w:val="clear"/>
            <w:tcMar>
              <w:top w:type="dxa" w:w="180"/>
              <w:left w:type="dxa" w:w="240"/>
              <w:bottom w:type="dxa" w:w="180"/>
              <w:right w:type="dxa" w:w="240"/>
            </w:tcMar>
          </w:tcPr>
          <w:p>
            <w:pPr>
              <w:spacing w:after="120" w:line="408" w:lineRule="auto"/>
            </w:pPr>
            <w:r>
              <w:rPr>
                <w:b/>
                <w:bCs/>
                <w:i w:val="false"/>
                <w:iCs w:val="false"/>
                <w:color w:val="0D2B6B"/>
              </w:rPr>
              <w:t xml:space="preserve">H2 — BIOMECHANICAL SUFFICIENCY</w:t>
            </w:r>
          </w:p>
          <w:p>
            <w:pPr>
              <w:spacing w:after="140" w:line="360" w:lineRule="auto"/>
            </w:pPr>
            <w:r>
              <w:rPr>
                <w:rFonts w:ascii="Calibri" w:cs="Calibri" w:eastAsia="Calibri" w:hAnsi="Calibri"/>
                <w:b w:val="false"/>
                <w:bCs w:val="false"/>
                <w:i w:val="false"/>
                <w:iCs w:val="false"/>
                <w:strike w:val="false"/>
                <w:color w:val="111111"/>
                <w:sz w:val="22"/>
                <w:szCs w:val="22"/>
              </w:rPr>
              <w:t xml:space="preserve">An optimized tridactyl manipulator can achieve task-performance parity (defined as ≥90% of pentadactyl performance on primary metrics) with an optimized pentadactyl manipulator across a standardized 12-task grasp-and-manipulate battery, when task environments are morphology-neutral — that is, when tool shapes, interface sizes, and grip requirements are parameterized and independently optimized for each morphology being tested, rather than designed around five-fingered human anatomy.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6B" w:sz="6"/>
              <w:left w:val="single" w:color="0D2B6B" w:sz="6"/>
              <w:bottom w:val="single" w:color="0D2B6B" w:sz="6"/>
              <w:right w:val="single" w:color="0D2B6B" w:sz="6"/>
            </w:tcBorders>
            <w:shd w:fill="F0F4FB" w:color="auto" w:val="clear"/>
            <w:tcMar>
              <w:top w:type="dxa" w:w="180"/>
              <w:left w:type="dxa" w:w="240"/>
              <w:bottom w:type="dxa" w:w="180"/>
              <w:right w:type="dxa" w:w="240"/>
            </w:tcMar>
          </w:tcPr>
          <w:p>
            <w:pPr>
              <w:spacing w:after="120" w:line="408" w:lineRule="auto"/>
            </w:pPr>
            <w:r>
              <w:rPr>
                <w:b/>
                <w:bCs/>
                <w:i w:val="false"/>
                <w:iCs w:val="false"/>
                <w:color w:val="0D2B6B"/>
              </w:rPr>
              <w:t xml:space="preserve">H3 — NEURAL EFFICIENCY</w:t>
            </w:r>
          </w:p>
          <w:p>
            <w:pPr>
              <w:spacing w:after="140" w:line="360" w:lineRule="auto"/>
            </w:pPr>
            <w:r>
              <w:rPr>
                <w:rFonts w:ascii="Calibri" w:cs="Calibri" w:eastAsia="Calibri" w:hAnsi="Calibri"/>
                <w:b w:val="false"/>
                <w:bCs w:val="false"/>
                <w:i w:val="false"/>
                <w:iCs w:val="false"/>
                <w:strike w:val="false"/>
                <w:color w:val="111111"/>
                <w:sz w:val="22"/>
                <w:szCs w:val="22"/>
              </w:rPr>
              <w:t xml:space="preserve">A tridactyl controller, given fewer but fully independent digits with no tendon-sharing constraints (no finger-enslaving), requires measurably lower neural control overhead than a pentadactyl controller in matched task conditions. "Neural control overhead" is operationalized as: (a) control-policy complexity (parameter count in a learned RL policy achieving equivalent task performance), (b) training sample efficiency (samples-to-criterion for a reinforcement learning agent), and (c) degrees-of-freedom cost per unit task performance. All three measures are reported separately.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6B" w:sz="6"/>
              <w:left w:val="single" w:color="0D2B6B" w:sz="6"/>
              <w:bottom w:val="single" w:color="0D2B6B" w:sz="6"/>
              <w:right w:val="single" w:color="0D2B6B" w:sz="6"/>
            </w:tcBorders>
            <w:shd w:fill="F0F4FB" w:color="auto" w:val="clear"/>
            <w:tcMar>
              <w:top w:type="dxa" w:w="180"/>
              <w:left w:type="dxa" w:w="240"/>
              <w:bottom w:type="dxa" w:w="180"/>
              <w:right w:type="dxa" w:w="240"/>
            </w:tcMar>
          </w:tcPr>
          <w:p>
            <w:pPr>
              <w:spacing w:after="120" w:line="408" w:lineRule="auto"/>
            </w:pPr>
            <w:r>
              <w:rPr>
                <w:b/>
                <w:bCs/>
                <w:i w:val="false"/>
                <w:iCs w:val="false"/>
                <w:color w:val="0D2B6B"/>
              </w:rPr>
              <w:t xml:space="preserve">H4 — PIPELINE COHERENCE</w:t>
            </w:r>
          </w:p>
          <w:p>
            <w:pPr>
              <w:spacing w:after="140" w:line="360" w:lineRule="auto"/>
            </w:pPr>
            <w:r>
              <w:rPr>
                <w:rFonts w:ascii="Calibri" w:cs="Calibri" w:eastAsia="Calibri" w:hAnsi="Calibri"/>
                <w:b w:val="false"/>
                <w:bCs w:val="false"/>
                <w:i w:val="false"/>
                <w:iCs w:val="false"/>
                <w:strike w:val="false"/>
                <w:color w:val="111111"/>
                <w:sz w:val="22"/>
                <w:szCs w:val="22"/>
              </w:rPr>
              <w:t xml:space="preserve">A generative AI model (image and video synthesis pipeline) conditioned specifically on tridactyl morphology produces hand representations with measurably higher topology consistency, lower inter-frame joint displacement error (RMSE), and fewer anatomical artifacts than the same pipeline conditioned on pentadactyl morphology — when evaluated across a standardized 60-frame benchmark sequence at equivalent resolution, lighting, and motion complexity. This hypothesis is tested under both in-distribution (poses seen during conditioning fine-tuning) and out-of-distribution (novel poses not seen during fine-tuning) conditions.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6B" w:sz="6"/>
              <w:left w:val="single" w:color="0D2B6B" w:sz="6"/>
              <w:bottom w:val="single" w:color="0D2B6B" w:sz="6"/>
              <w:right w:val="single" w:color="0D2B6B" w:sz="6"/>
            </w:tcBorders>
            <w:shd w:fill="F0F4FB" w:color="auto" w:val="clear"/>
            <w:tcMar>
              <w:top w:type="dxa" w:w="180"/>
              <w:left w:type="dxa" w:w="240"/>
              <w:bottom w:type="dxa" w:w="180"/>
              <w:right w:type="dxa" w:w="240"/>
            </w:tcMar>
          </w:tcPr>
          <w:p>
            <w:pPr>
              <w:spacing w:after="120" w:line="408" w:lineRule="auto"/>
            </w:pPr>
            <w:r>
              <w:rPr>
                <w:b/>
                <w:bCs/>
                <w:i w:val="false"/>
                <w:iCs w:val="false"/>
                <w:color w:val="0D2B6B"/>
              </w:rPr>
              <w:t xml:space="preserve">H5 — RIGGING SIMPLICITY</w:t>
            </w:r>
          </w:p>
          <w:p>
            <w:pPr>
              <w:spacing w:after="140" w:line="360" w:lineRule="auto"/>
            </w:pPr>
            <w:r>
              <w:rPr>
                <w:rFonts w:ascii="Calibri" w:cs="Calibri" w:eastAsia="Calibri" w:hAnsi="Calibri"/>
                <w:b w:val="false"/>
                <w:bCs w:val="false"/>
                <w:i w:val="false"/>
                <w:iCs w:val="false"/>
                <w:strike w:val="false"/>
                <w:color w:val="111111"/>
                <w:sz w:val="22"/>
                <w:szCs w:val="22"/>
              </w:rPr>
              <w:t xml:space="preserve">A tridactyl rig (skeleton, skinning weights, blend shape library, and inverse kinematics chain) is demonstrably simpler to author, validate, and maintain than an equivalent pentadactyl rig, as measured by all five of the following metrics: (a) total joint count; (b) total blend shape count for a standard expression/deformation library; (c) IK chain depth (number of solver nodes in the primary IK hierarchy); (d) rigging authoring time under standardized authoring conditions; and (e) defect rate in automated rig validation against OAL's Anatomy Coherence Standard upon initial delivery.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6B" w:sz="6"/>
              <w:left w:val="single" w:color="0D2B6B" w:sz="6"/>
              <w:bottom w:val="single" w:color="0D2B6B" w:sz="6"/>
              <w:right w:val="single" w:color="0D2B6B" w:sz="6"/>
            </w:tcBorders>
            <w:shd w:fill="F0F4FB" w:color="auto" w:val="clear"/>
            <w:tcMar>
              <w:top w:type="dxa" w:w="180"/>
              <w:left w:type="dxa" w:w="240"/>
              <w:bottom w:type="dxa" w:w="180"/>
              <w:right w:type="dxa" w:w="240"/>
            </w:tcMar>
          </w:tcPr>
          <w:p>
            <w:pPr>
              <w:spacing w:after="120" w:line="408" w:lineRule="auto"/>
            </w:pPr>
            <w:r>
              <w:rPr>
                <w:b/>
                <w:bCs/>
                <w:i w:val="false"/>
                <w:iCs w:val="false"/>
                <w:color w:val="0D2B6B"/>
              </w:rPr>
              <w:t xml:space="preserve">H6 — WORLDBUILDING COHERENCE</w:t>
            </w:r>
          </w:p>
          <w:p>
            <w:pPr>
              <w:spacing w:after="140" w:line="360" w:lineRule="auto"/>
            </w:pPr>
            <w:r>
              <w:rPr>
                <w:rFonts w:ascii="Calibri" w:cs="Calibri" w:eastAsia="Calibri" w:hAnsi="Calibri"/>
                <w:b w:val="false"/>
                <w:bCs w:val="false"/>
                <w:i w:val="false"/>
                <w:iCs w:val="false"/>
                <w:strike w:val="false"/>
                <w:color w:val="111111"/>
                <w:sz w:val="22"/>
                <w:szCs w:val="22"/>
              </w:rPr>
              <w:t xml:space="preserve">Characters with tridactyl morphology deployed in THE ONE UNIVERSE and THE MINUS ONE UNIVERSE production pipelines — including generative image sessions, narrative scene sequences, and cross-modality asset reuse — produce fewer continuity errors per session than equivalent pentadactyl characters, as measured by the OAL Session Continuity Defect Rate (SCDR) metric across a minimum of 10 independent multi-session production runs per morphology condition.</w:t>
            </w:r>
          </w:p>
        </w:tc>
      </w:tr>
    </w:tbl>
    <w:p>
      <w:pPr>
        <w:spacing w:after="240" w:before="0"/>
      </w:pPr>
    </w:p>
    <w:p>
      <w:pPr>
        <w:pStyle w:val="Heading1"/>
        <w:spacing w:after="100" w:before="480" w:line="312" w:lineRule="auto"/>
      </w:pPr>
      <w:r>
        <w:rPr>
          <w:rFonts w:ascii="Calibri" w:cs="Calibri" w:eastAsia="Calibri" w:hAnsi="Calibri"/>
          <w:color w:val="0D2B6B"/>
          <w:sz w:val="44"/>
          <w:szCs w:val="44"/>
        </w:rPr>
        <w:t xml:space="preserve">§4   Simulation Architecture — The Five-Layer Stack</w:t>
      </w:r>
    </w:p>
    <w:p>
      <w:pPr>
        <w:pBdr>
          <w:top w:val="single" w:color="0D2B6B"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simulation architecture for this program is organized as a five-layer integrated stack. Each layer is not an independent module — it receives outputs from the layer above it and delivers validated artifacts to the layer below. The stack is designed so that no layer's findings are accepted in isolation: results must propagate coherently through the full chain before any hypothesis is considered tested. A finding that holds at Layer 2 but does not survive propagation to Layer 4 is a partial result, not a confirmation.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five layers and their directional dependencies are summarized in the table below, followed by full specifications for each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Layer</w:t>
            </w:r>
          </w:p>
        </w:tc>
        <w:tc>
          <w:tcPr>
            <w:tcW w:type="pct" w:w="24%"/>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Name</w:t>
            </w:r>
          </w:p>
        </w:tc>
        <w:tc>
          <w:tcPr>
            <w:tcW w:type="pct" w:w="24%"/>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Input</w:t>
            </w:r>
          </w:p>
        </w:tc>
        <w:tc>
          <w:tcPr>
            <w:tcW w:type="pct" w:w="30%"/>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Primary Output</w:t>
            </w:r>
          </w:p>
        </w:tc>
        <w:tc>
          <w:tcPr>
            <w:tcW w:type="pct" w:w="11%"/>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Hypotheses Tested</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1</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Morphological Evolution Engine</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Morphological parameter space</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Pareto-optimal tridactyl morphology population</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H1</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2</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Physics &amp; Contact Modeling</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Layer 1 morphologies</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Physics-validated tridactyl morphology</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3</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Controller &amp; Cognitive Architecture</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Layer 2 validated morphology + physics model</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Learned control policies; neural overhead metrics</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H3</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4</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Rigging, Animation &amp; Generative Conditioning</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Layer 3 morphology + motion library</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Tridactyl rig; fine-tuned generative model; benchmark scores</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H4, H5</w:t>
            </w:r>
          </w:p>
        </w:tc>
      </w:tr>
      <w:tr>
        <w:trPr>
          <w:tblHeader w:val="false"/>
        </w:trPr>
        <w:tc>
          <w:tcPr>
            <w:tcW w:type="pct" w:w="1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Layer 5</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Deployment &amp; Cross-Platform Coherence</w:t>
            </w:r>
          </w:p>
        </w:tc>
        <w:tc>
          <w:tcPr>
            <w:tcW w:type="pct" w:w="24%"/>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Layer 4 rigged assets + conditioned models</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Cross-platform coherence scores; worldbuilding SCDR</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H6</w:t>
            </w:r>
          </w:p>
        </w:tc>
      </w:tr>
    </w:tbl>
    <w:p>
      <w:pPr>
        <w:spacing w:after="200" w:before="0"/>
      </w:pPr>
    </w:p>
    <w:p>
      <w:pPr>
        <w:pStyle w:val="Heading2"/>
        <w:spacing w:after="120" w:before="360" w:line="312" w:lineRule="auto"/>
      </w:pPr>
      <w:r>
        <w:rPr>
          <w:rFonts w:ascii="Calibri" w:cs="Calibri" w:eastAsia="Calibri" w:hAnsi="Calibri"/>
          <w:color w:val="1A3A7A"/>
          <w:sz w:val="30"/>
          <w:szCs w:val="30"/>
        </w:rPr>
        <w:t xml:space="preserve">Layer 1 — Morphological Evolution Engine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7A" w:sz="6"/>
              <w:left w:val="single" w:color="1A3A7A" w:sz="6"/>
              <w:bottom w:val="single" w:color="1A3A7A" w:sz="6"/>
              <w:right w:val="single" w:color="1A3A7A" w:sz="6"/>
            </w:tcBorders>
            <w:shd w:fill="F8FAFD" w:color="auto" w:val="clear"/>
            <w:tcMar>
              <w:top w:type="dxa" w:w="210"/>
              <w:left w:type="dxa" w:w="240"/>
              <w:bottom w:type="dxa" w:w="210"/>
              <w:right w:type="dxa" w:w="240"/>
            </w:tcMar>
          </w:tcPr>
          <w:p>
            <w:pPr>
              <w:spacing w:after="120" w:line="408" w:lineRule="auto"/>
            </w:pPr>
            <w:r>
              <w:rPr>
                <w:b/>
                <w:bCs/>
                <w:i w:val="false"/>
                <w:iCs w:val="false"/>
                <w:color w:val="0D2B6B"/>
              </w:rPr>
              <w:t xml:space="preserve">LAYER 1  |  MORPHOLOGICAL EVOLUTION ENGINE</w:t>
            </w:r>
          </w:p>
          <w:p>
            <w:pPr>
              <w:spacing w:after="140" w:line="360" w:lineRule="auto"/>
            </w:pPr>
            <w:r>
              <w:rPr>
                <w:rFonts w:ascii="Calibri" w:cs="Calibri" w:eastAsia="Calibri" w:hAnsi="Calibri"/>
                <w:b/>
                <w:bCs/>
                <w:i w:val="false"/>
                <w:iCs w:val="false"/>
                <w:strike w:val="false"/>
                <w:color w:val="000000"/>
                <w:sz w:val="22"/>
                <w:szCs w:val="22"/>
              </w:rPr>
              <w:t xml:space="preserve">Platform:</w:t>
            </w:r>
            <w:r>
              <w:rPr>
                <w:rFonts w:ascii="Calibri" w:cs="Calibri" w:eastAsia="Calibri" w:hAnsi="Calibri"/>
                <w:b w:val="false"/>
                <w:bCs w:val="false"/>
                <w:i w:val="false"/>
                <w:iCs w:val="false"/>
                <w:strike w:val="false"/>
                <w:color w:val="000000"/>
                <w:sz w:val="22"/>
                <w:szCs w:val="22"/>
              </w:rPr>
              <w:t xml:space="preserve"> Physics-based evolutionary simulation using a population-based genetic algorithm or evolutionary strategy, implemented in a differentiable physics engine capable of evaluating manipulation task performance per morphology candidate.</w:t>
            </w:r>
          </w:p>
          <w:p>
            <w:pPr>
              <w:spacing w:after="140" w:line="360" w:lineRule="auto"/>
            </w:pPr>
            <w:r>
              <w:rPr>
                <w:rFonts w:ascii="Calibri" w:cs="Calibri" w:eastAsia="Calibri" w:hAnsi="Calibri"/>
                <w:b/>
                <w:bCs/>
                <w:i w:val="false"/>
                <w:iCs w:val="false"/>
                <w:strike w:val="false"/>
                <w:color w:val="000000"/>
                <w:sz w:val="22"/>
                <w:szCs w:val="22"/>
              </w:rPr>
              <w:t xml:space="preserve">Input — Morphological Parameter Space:</w:t>
            </w:r>
            <w:r>
              <w:rPr>
                <w:rFonts w:ascii="Calibri" w:cs="Calibri" w:eastAsia="Calibri" w:hAnsi="Calibri"/>
                <w:b w:val="false"/>
                <w:bCs w:val="false"/>
                <w:i w:val="false"/>
                <w:iCs w:val="false"/>
                <w:strike w:val="false"/>
                <w:color w:val="000000"/>
                <w:sz w:val="22"/>
                <w:szCs w:val="22"/>
              </w:rPr>
              <w:t xml:space="preserve"> The evolution engine operates over a continuous morphological parameter space defined by the following dimensions: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Digit count (integer, range 1–7; the primary treatment condition anchors at 3)</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Digit length per digit (normalized, relative to palm length)</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Phalange count per digit (integer, range 2–5)</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Joint angle range per joint per digit (degrees, flexion/extension/abduction)</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Opposability angle of the pollex analogue (degrees; the range over which the primary digit can rotate to oppose the remaining digits)</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Palm geometry (width, depth, curvature — parametric)</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Digit independence mode (continuous slider from fully enslaved to fully independent, per digit pair)</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Actuator pathway architecture (shared flexor tendon vs. dedicated independent actuator, per digit)</w:t>
            </w:r>
          </w:p>
          <w:p>
            <w:pPr>
              <w:spacing w:after="140" w:line="360" w:lineRule="auto"/>
            </w:pPr>
            <w:r>
              <w:rPr>
                <w:rFonts w:ascii="Calibri" w:cs="Calibri" w:eastAsia="Calibri" w:hAnsi="Calibri"/>
                <w:b/>
                <w:bCs/>
                <w:i w:val="false"/>
                <w:iCs w:val="false"/>
                <w:strike w:val="false"/>
                <w:color w:val="000000"/>
                <w:sz w:val="22"/>
                <w:szCs w:val="22"/>
              </w:rPr>
              <w:t xml:space="preserve">Selection Pressure — Task Ecology Battery:</w:t>
            </w:r>
            <w:r>
              <w:rPr>
                <w:rFonts w:ascii="Calibri" w:cs="Calibri" w:eastAsia="Calibri" w:hAnsi="Calibri"/>
                <w:b w:val="false"/>
                <w:bCs w:val="false"/>
                <w:i w:val="false"/>
                <w:iCs w:val="false"/>
                <w:strike w:val="false"/>
                <w:color w:val="000000"/>
                <w:sz w:val="22"/>
                <w:szCs w:val="22"/>
              </w:rPr>
              <w:t xml:space="preserve"> Each morphology candidate in the population is evaluated on a task ecology battery of at least 12 manipulation tasks, all implemented in morphology-neutral environments. Tasks span precision manipulation, power grasping, bimanual coordination, and tool use (see §5.4 for full task battery specification). Fitness is computed as a weighted sum across tasks; weights are parameterized and version-controlled. A key design constraint is that no task environment is pre-configured for five-digit anatomy — tool shapes, interface sizes, and grip-point geometries are parameterized and independently optimized per morphology candidate.</w:t>
            </w:r>
          </w:p>
          <w:p>
            <w:pPr>
              <w:spacing w:after="140" w:line="360" w:lineRule="auto"/>
            </w:pPr>
            <w:r>
              <w:rPr>
                <w:rFonts w:ascii="Calibri" w:cs="Calibri" w:eastAsia="Calibri" w:hAnsi="Calibri"/>
                <w:b/>
                <w:bCs/>
                <w:i w:val="false"/>
                <w:iCs w:val="false"/>
                <w:strike w:val="false"/>
                <w:color w:val="000000"/>
                <w:sz w:val="22"/>
                <w:szCs w:val="22"/>
              </w:rPr>
              <w:t xml:space="preserve">Output:</w:t>
            </w:r>
            <w:r>
              <w:rPr>
                <w:rFonts w:ascii="Calibri" w:cs="Calibri" w:eastAsia="Calibri" w:hAnsi="Calibri"/>
                <w:b w:val="false"/>
                <w:bCs w:val="false"/>
                <w:i w:val="false"/>
                <w:iCs w:val="false"/>
                <w:strike w:val="false"/>
                <w:color w:val="000000"/>
                <w:sz w:val="22"/>
                <w:szCs w:val="22"/>
              </w:rPr>
              <w:t xml:space="preserve"> A Pareto-optimal population of morphologies maximizing (a) task-battery performance and (b) morphological robustness (fitness stability under parameter perturbation). Tridactyl candidates that survive selection pressure and appear on the Pareto front are promoted to Layer 2. Candidates that fail to reach the Pareto front are retained as ablation conditions and documented as negative results.</w:t>
            </w:r>
          </w:p>
          <w:p>
            <w:pPr>
              <w:spacing w:after="140" w:line="360" w:lineRule="auto"/>
            </w:pPr>
            <w:r>
              <w:rPr>
                <w:rFonts w:ascii="Calibri" w:cs="Calibri" w:eastAsia="Calibri" w:hAnsi="Calibri"/>
                <w:b/>
                <w:bCs/>
                <w:i w:val="false"/>
                <w:iCs w:val="false"/>
                <w:strike w:val="false"/>
                <w:color w:val="000000"/>
                <w:sz w:val="22"/>
                <w:szCs w:val="22"/>
              </w:rPr>
              <w:t xml:space="preserve">Key Metric — Fitness Landscape Topology:</w:t>
            </w:r>
            <w:r>
              <w:rPr>
                <w:rFonts w:ascii="Calibri" w:cs="Calibri" w:eastAsia="Calibri" w:hAnsi="Calibri"/>
                <w:b w:val="false"/>
                <w:bCs w:val="false"/>
                <w:i w:val="false"/>
                <w:iCs w:val="false"/>
                <w:strike w:val="false"/>
                <w:color w:val="000000"/>
                <w:sz w:val="22"/>
                <w:szCs w:val="22"/>
              </w:rPr>
              <w:t xml:space="preserve"> The primary analytical question at Layer 1 is whether a stable tridactyl attractor exists in the fitness landscape — that is, whether the three-digit region of morphological parameter space contains a local fitness maximum that is robust to perturbation (not merely a saddle point or a transitional valley). Secondary metrics include: convergence generation count, attractor basin width, inter-run morphology consistency, and Pareto-front position relative to pentadactyl reference morphologies.</w:t>
            </w:r>
          </w:p>
        </w:tc>
      </w:tr>
    </w:tbl>
    <w:p>
      <w:pPr>
        <w:spacing w:after="240" w:before="0"/>
      </w:pPr>
    </w:p>
    <w:p>
      <w:pPr>
        <w:pStyle w:val="Heading2"/>
        <w:spacing w:after="120" w:before="360" w:line="312" w:lineRule="auto"/>
      </w:pPr>
      <w:r>
        <w:rPr>
          <w:rFonts w:ascii="Calibri" w:cs="Calibri" w:eastAsia="Calibri" w:hAnsi="Calibri"/>
          <w:color w:val="1A3A7A"/>
          <w:sz w:val="30"/>
          <w:szCs w:val="30"/>
        </w:rPr>
        <w:t xml:space="preserve">Layer 2 — Physics &amp; Contact Modeling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7A" w:sz="6"/>
              <w:left w:val="single" w:color="1A3A7A" w:sz="6"/>
              <w:bottom w:val="single" w:color="1A3A7A" w:sz="6"/>
              <w:right w:val="single" w:color="1A3A7A" w:sz="6"/>
            </w:tcBorders>
            <w:shd w:fill="F8FAFD" w:color="auto" w:val="clear"/>
            <w:tcMar>
              <w:top w:type="dxa" w:w="210"/>
              <w:left w:type="dxa" w:w="240"/>
              <w:bottom w:type="dxa" w:w="210"/>
              <w:right w:type="dxa" w:w="240"/>
            </w:tcMar>
          </w:tcPr>
          <w:p>
            <w:pPr>
              <w:spacing w:after="120" w:line="408" w:lineRule="auto"/>
            </w:pPr>
            <w:r>
              <w:rPr>
                <w:b/>
                <w:bCs/>
                <w:i w:val="false"/>
                <w:iCs w:val="false"/>
                <w:color w:val="0D2B6B"/>
              </w:rPr>
              <w:t xml:space="preserve">LAYER 2  |  PHYSICS &amp; CONTACT MODELING</w:t>
            </w:r>
          </w:p>
          <w:p>
            <w:pPr>
              <w:spacing w:after="140" w:line="360" w:lineRule="auto"/>
            </w:pPr>
            <w:r>
              <w:rPr>
                <w:rFonts w:ascii="Calibri" w:cs="Calibri" w:eastAsia="Calibri" w:hAnsi="Calibri"/>
                <w:b/>
                <w:bCs/>
                <w:i w:val="false"/>
                <w:iCs w:val="false"/>
                <w:strike w:val="false"/>
                <w:color w:val="000000"/>
                <w:sz w:val="22"/>
                <w:szCs w:val="22"/>
              </w:rPr>
              <w:t xml:space="preserve">Platform:</w:t>
            </w:r>
            <w:r>
              <w:rPr>
                <w:rFonts w:ascii="Calibri" w:cs="Calibri" w:eastAsia="Calibri" w:hAnsi="Calibri"/>
                <w:b w:val="false"/>
                <w:bCs w:val="false"/>
                <w:i w:val="false"/>
                <w:iCs w:val="false"/>
                <w:strike w:val="false"/>
                <w:color w:val="000000"/>
                <w:sz w:val="22"/>
                <w:szCs w:val="22"/>
              </w:rPr>
              <w:t xml:space="preserve"> High-fidelity rigid-body and soft-contact physics simulation. The simulation must support accurate contact force distribution modeling, deformable contact at digit-object interfaces, and perturbation testing under applied external forces.</w:t>
            </w:r>
          </w:p>
          <w:p>
            <w:pPr>
              <w:spacing w:after="140" w:line="360" w:lineRule="auto"/>
            </w:pPr>
            <w:r>
              <w:rPr>
                <w:rFonts w:ascii="Calibri" w:cs="Calibri" w:eastAsia="Calibri" w:hAnsi="Calibri"/>
                <w:b/>
                <w:bCs/>
                <w:i w:val="false"/>
                <w:iCs w:val="false"/>
                <w:strike w:val="false"/>
                <w:color w:val="000000"/>
                <w:sz w:val="22"/>
                <w:szCs w:val="22"/>
              </w:rPr>
              <w:t xml:space="preserve">Input:</w:t>
            </w:r>
            <w:r>
              <w:rPr>
                <w:rFonts w:ascii="Calibri" w:cs="Calibri" w:eastAsia="Calibri" w:hAnsi="Calibri"/>
                <w:b w:val="false"/>
                <w:bCs w:val="false"/>
                <w:i w:val="false"/>
                <w:iCs w:val="false"/>
                <w:strike w:val="false"/>
                <w:color w:val="000000"/>
                <w:sz w:val="22"/>
                <w:szCs w:val="22"/>
              </w:rPr>
              <w:t xml:space="preserve"> The top-ranked tridactyl morphology candidates from Layer 1's Pareto-optimal population, fully specified in terms of skeletal geometry, joint degrees of freedom, actuator architecture, and digit independence parameters.</w:t>
            </w:r>
          </w:p>
          <w:p>
            <w:pPr>
              <w:spacing w:after="140" w:line="360" w:lineRule="auto"/>
            </w:pPr>
            <w:r>
              <w:rPr>
                <w:rFonts w:ascii="Calibri" w:cs="Calibri" w:eastAsia="Calibri" w:hAnsi="Calibri"/>
                <w:b/>
                <w:bCs/>
                <w:i w:val="false"/>
                <w:iCs w:val="false"/>
                <w:strike w:val="false"/>
                <w:color w:val="000000"/>
                <w:sz w:val="22"/>
                <w:szCs w:val="22"/>
              </w:rPr>
              <w:t xml:space="preserve">Test Battery:</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Contact force distribution:</w:t>
            </w:r>
            <w:r>
              <w:rPr>
                <w:rFonts w:ascii="Calibri" w:cs="Calibri" w:eastAsia="Calibri" w:hAnsi="Calibri"/>
                <w:b w:val="false"/>
                <w:bCs w:val="false"/>
                <w:i w:val="false"/>
                <w:iCs w:val="false"/>
                <w:strike w:val="false"/>
                <w:color w:val="000000"/>
                <w:sz w:val="22"/>
                <w:szCs w:val="22"/>
              </w:rPr>
              <w:t xml:space="preserve"> Measurement of contact force across the digit-palm contact surface during standardized grasping tasks. Comparison of force distribution entropy between tridactyl and pentadactyl conditions — more uniform force distribution across fewer contacts may indicate more efficient load sharing per digit.</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Grip stability under perturbation:</w:t>
            </w:r>
            <w:r>
              <w:rPr>
                <w:rFonts w:ascii="Calibri" w:cs="Calibri" w:eastAsia="Calibri" w:hAnsi="Calibri"/>
                <w:b w:val="false"/>
                <w:bCs w:val="false"/>
                <w:i w:val="false"/>
                <w:iCs w:val="false"/>
                <w:strike w:val="false"/>
                <w:color w:val="000000"/>
                <w:sz w:val="22"/>
                <w:szCs w:val="22"/>
              </w:rPr>
              <w:t xml:space="preserve"> Application of standardized external perturbation forces to held objects while the hand maintains a static grip. Measurement of grip-failure threshold and time-to-drop under increasing perturbation force magnitude.</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Precision grasp success rate:</w:t>
            </w:r>
            <w:r>
              <w:rPr>
                <w:rFonts w:ascii="Calibri" w:cs="Calibri" w:eastAsia="Calibri" w:hAnsi="Calibri"/>
                <w:b w:val="false"/>
                <w:bCs w:val="false"/>
                <w:i w:val="false"/>
                <w:iCs w:val="false"/>
                <w:strike w:val="false"/>
                <w:color w:val="000000"/>
                <w:sz w:val="22"/>
                <w:szCs w:val="22"/>
              </w:rPr>
              <w:t xml:space="preserve"> Success rate on precision manipulation tasks (small object positioning, pin insertion, thread manipulation) across 100 trials per task per morphology condition.</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Tool interaction fidelity:</w:t>
            </w:r>
            <w:r>
              <w:rPr>
                <w:rFonts w:ascii="Calibri" w:cs="Calibri" w:eastAsia="Calibri" w:hAnsi="Calibri"/>
                <w:b w:val="false"/>
                <w:bCs w:val="false"/>
                <w:i w:val="false"/>
                <w:iCs w:val="false"/>
                <w:strike w:val="false"/>
                <w:color w:val="000000"/>
                <w:sz w:val="22"/>
                <w:szCs w:val="22"/>
              </w:rPr>
              <w:t xml:space="preserve"> Evaluation of tool-use tasks (specifically: striking tools, insertion tools, and leverage tools) in morphology-neutral tool designs co-optimized per morphology condition.</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Injury resilience — digit overload testing:</w:t>
            </w:r>
            <w:r>
              <w:rPr>
                <w:rFonts w:ascii="Calibri" w:cs="Calibri" w:eastAsia="Calibri" w:hAnsi="Calibri"/>
                <w:b w:val="false"/>
                <w:bCs w:val="false"/>
                <w:i w:val="false"/>
                <w:iCs w:val="false"/>
                <w:strike w:val="false"/>
                <w:color w:val="000000"/>
                <w:sz w:val="22"/>
                <w:szCs w:val="22"/>
              </w:rPr>
              <w:t xml:space="preserve"> Simulation of joint and tendon overload conditions to characterize the failure modes of the tridactyl manipulator under extreme use cases. Comparison of failure onset thresholds with pentadactyl baseline.</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Bimanual coordination:</w:t>
            </w:r>
            <w:r>
              <w:rPr>
                <w:rFonts w:ascii="Calibri" w:cs="Calibri" w:eastAsia="Calibri" w:hAnsi="Calibri"/>
                <w:b w:val="false"/>
                <w:bCs w:val="false"/>
                <w:i w:val="false"/>
                <w:iCs w:val="false"/>
                <w:strike w:val="false"/>
                <w:color w:val="000000"/>
                <w:sz w:val="22"/>
                <w:szCs w:val="22"/>
              </w:rPr>
              <w:t xml:space="preserve"> Evaluation of tasks requiring simultaneous use of both hands (object handoff, bimanual assembly, stabilize-and-manipulate tasks) using matched pairs of tridactyl and pentadactyl agents.</w:t>
            </w:r>
          </w:p>
          <w:p>
            <w:pPr>
              <w:spacing w:after="140" w:line="360" w:lineRule="auto"/>
            </w:pPr>
            <w:r>
              <w:rPr>
                <w:rFonts w:ascii="Calibri" w:cs="Calibri" w:eastAsia="Calibri" w:hAnsi="Calibri"/>
                <w:b/>
                <w:bCs/>
                <w:i w:val="false"/>
                <w:iCs w:val="false"/>
                <w:strike w:val="false"/>
                <w:color w:val="000000"/>
                <w:sz w:val="22"/>
                <w:szCs w:val="22"/>
              </w:rPr>
              <w:t xml:space="preserve">Baseline:</w:t>
            </w:r>
            <w:r>
              <w:rPr>
                <w:rFonts w:ascii="Calibri" w:cs="Calibri" w:eastAsia="Calibri" w:hAnsi="Calibri"/>
                <w:b w:val="false"/>
                <w:bCs w:val="false"/>
                <w:i w:val="false"/>
                <w:iCs w:val="false"/>
                <w:strike w:val="false"/>
                <w:color w:val="000000"/>
                <w:sz w:val="22"/>
                <w:szCs w:val="22"/>
              </w:rPr>
              <w:t xml:space="preserve"> All Layer 2 tests are run in matched parallel with a pentadactyl morphology simulation under identical physics parameters, task conditions, and morphology-neutral environment configurations. The pentadactyl baseline uses an anatomically realistic model, not an idealized simplified hand, to ensure meaningful comparison.</w:t>
            </w:r>
          </w:p>
          <w:p>
            <w:pPr>
              <w:spacing w:after="140" w:line="360" w:lineRule="auto"/>
            </w:pPr>
            <w:r>
              <w:rPr>
                <w:rFonts w:ascii="Calibri" w:cs="Calibri" w:eastAsia="Calibri" w:hAnsi="Calibri"/>
                <w:b/>
                <w:bCs/>
                <w:i w:val="false"/>
                <w:iCs w:val="false"/>
                <w:strike w:val="false"/>
                <w:color w:val="000000"/>
                <w:sz w:val="22"/>
                <w:szCs w:val="22"/>
              </w:rPr>
              <w:t xml:space="preserve">Key Metrics:</w:t>
            </w:r>
            <w:r>
              <w:rPr>
                <w:rFonts w:ascii="Calibri" w:cs="Calibri" w:eastAsia="Calibri" w:hAnsi="Calibri"/>
                <w:b w:val="false"/>
                <w:bCs w:val="false"/>
                <w:i w:val="false"/>
                <w:iCs w:val="false"/>
                <w:strike w:val="false"/>
                <w:color w:val="000000"/>
                <w:sz w:val="22"/>
                <w:szCs w:val="22"/>
              </w:rPr>
              <w:t xml:space="preserve"> Task completion rate (percentage of trials completed successfully), contact stability score (duration of stable contact maintenance under perturbation), force distribution entropy (Shannon entropy of contact force distribution across digit contact points), and grip-failure threshold (Newtons of perturbation force at median grip-failure onset).</w:t>
            </w:r>
          </w:p>
        </w:tc>
      </w:tr>
    </w:tbl>
    <w:p>
      <w:pPr>
        <w:spacing w:after="240" w:before="0"/>
      </w:pPr>
    </w:p>
    <w:p>
      <w:pPr>
        <w:pStyle w:val="Heading2"/>
        <w:spacing w:after="120" w:before="360" w:line="312" w:lineRule="auto"/>
      </w:pPr>
      <w:r>
        <w:rPr>
          <w:rFonts w:ascii="Calibri" w:cs="Calibri" w:eastAsia="Calibri" w:hAnsi="Calibri"/>
          <w:color w:val="1A3A7A"/>
          <w:sz w:val="30"/>
          <w:szCs w:val="30"/>
        </w:rPr>
        <w:t xml:space="preserve">Layer 3 — Controller &amp; Cognitive Architecture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7A" w:sz="6"/>
              <w:left w:val="single" w:color="1A3A7A" w:sz="6"/>
              <w:bottom w:val="single" w:color="1A3A7A" w:sz="6"/>
              <w:right w:val="single" w:color="1A3A7A" w:sz="6"/>
            </w:tcBorders>
            <w:shd w:fill="F8FAFD" w:color="auto" w:val="clear"/>
            <w:tcMar>
              <w:top w:type="dxa" w:w="210"/>
              <w:left w:type="dxa" w:w="240"/>
              <w:bottom w:type="dxa" w:w="210"/>
              <w:right w:type="dxa" w:w="240"/>
            </w:tcMar>
          </w:tcPr>
          <w:p>
            <w:pPr>
              <w:spacing w:after="120" w:line="408" w:lineRule="auto"/>
            </w:pPr>
            <w:r>
              <w:rPr>
                <w:b/>
                <w:bCs/>
                <w:i w:val="false"/>
                <w:iCs w:val="false"/>
                <w:color w:val="0D2B6B"/>
              </w:rPr>
              <w:t xml:space="preserve">LAYER 3  |  CONTROLLER &amp; COGNITIVE ARCHITECTURE</w:t>
            </w:r>
          </w:p>
          <w:p>
            <w:pPr>
              <w:spacing w:after="140" w:line="360" w:lineRule="auto"/>
            </w:pPr>
            <w:r>
              <w:rPr>
                <w:rFonts w:ascii="Calibri" w:cs="Calibri" w:eastAsia="Calibri" w:hAnsi="Calibri"/>
                <w:b/>
                <w:bCs/>
                <w:i w:val="false"/>
                <w:iCs w:val="false"/>
                <w:strike w:val="false"/>
                <w:color w:val="000000"/>
                <w:sz w:val="22"/>
                <w:szCs w:val="22"/>
              </w:rPr>
              <w:t xml:space="preserve">Input:</w:t>
            </w:r>
            <w:r>
              <w:rPr>
                <w:rFonts w:ascii="Calibri" w:cs="Calibri" w:eastAsia="Calibri" w:hAnsi="Calibri"/>
                <w:b w:val="false"/>
                <w:bCs w:val="false"/>
                <w:i w:val="false"/>
                <w:iCs w:val="false"/>
                <w:strike w:val="false"/>
                <w:color w:val="000000"/>
                <w:sz w:val="22"/>
                <w:szCs w:val="22"/>
              </w:rPr>
              <w:t xml:space="preserve"> The physics-validated tridactyl morphology from Layer 2, including its full joint specification, actuator architecture, and contact model parameters, integrated into a simulation environment that supports online policy learning and trajectory optimization.</w:t>
            </w:r>
          </w:p>
          <w:p>
            <w:pPr>
              <w:spacing w:after="140" w:line="360" w:lineRule="auto"/>
            </w:pPr>
            <w:r>
              <w:rPr>
                <w:rFonts w:ascii="Calibri" w:cs="Calibri" w:eastAsia="Calibri" w:hAnsi="Calibri"/>
                <w:b/>
                <w:bCs/>
                <w:i w:val="false"/>
                <w:iCs w:val="false"/>
                <w:strike w:val="false"/>
                <w:color w:val="000000"/>
                <w:sz w:val="22"/>
                <w:szCs w:val="22"/>
              </w:rPr>
              <w:t xml:space="preserve">Control Model Suite:</w:t>
            </w:r>
            <w:r>
              <w:rPr>
                <w:rFonts w:ascii="Calibri" w:cs="Calibri" w:eastAsia="Calibri" w:hAnsi="Calibri"/>
                <w:b w:val="false"/>
                <w:bCs w:val="false"/>
                <w:i w:val="false"/>
                <w:iCs w:val="false"/>
                <w:strike w:val="false"/>
                <w:color w:val="000000"/>
                <w:sz w:val="22"/>
                <w:szCs w:val="22"/>
              </w:rPr>
              <w:t xml:space="preserve"> Three parallel control frameworks are implemented and evaluated for each morphology condition:</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(a) Reinforcement Learning Policy (PPO/SAC):</w:t>
            </w:r>
            <w:r>
              <w:rPr>
                <w:rFonts w:ascii="Calibri" w:cs="Calibri" w:eastAsia="Calibri" w:hAnsi="Calibri"/>
                <w:b w:val="false"/>
                <w:bCs w:val="false"/>
                <w:i w:val="false"/>
                <w:iCs w:val="false"/>
                <w:strike w:val="false"/>
                <w:color w:val="000000"/>
                <w:sz w:val="22"/>
                <w:szCs w:val="22"/>
              </w:rPr>
              <w:t xml:space="preserve"> A deep RL agent is trained from scratch on the task battery using Proximal Policy Optimization (PPO) or Soft Actor-Critic (SAC), selected based on action-space dimensionality. The policy network architecture is held constant across morphology conditions; only the input/output dimensionality adapts to digit count. This ensures that observed performance differences reflect the morphology, not the model architecture.</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(b) Trajectory Optimization:</w:t>
            </w:r>
            <w:r>
              <w:rPr>
                <w:rFonts w:ascii="Calibri" w:cs="Calibri" w:eastAsia="Calibri" w:hAnsi="Calibri"/>
                <w:b w:val="false"/>
                <w:bCs w:val="false"/>
                <w:i w:val="false"/>
                <w:iCs w:val="false"/>
                <w:strike w:val="false"/>
                <w:color w:val="000000"/>
                <w:sz w:val="22"/>
                <w:szCs w:val="22"/>
              </w:rPr>
              <w:t xml:space="preserve"> A trajectory optimization framework (e.g., MPPI or iLQR) is applied to plan manipulation trajectories for the tridactyl hand, providing a model-based comparison point against the model-free RL baseline.</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(c) Model-Predictive Control (MPC):</w:t>
            </w:r>
            <w:r>
              <w:rPr>
                <w:rFonts w:ascii="Calibri" w:cs="Calibri" w:eastAsia="Calibri" w:hAnsi="Calibri"/>
                <w:b w:val="false"/>
                <w:bCs w:val="false"/>
                <w:i w:val="false"/>
                <w:iCs w:val="false"/>
                <w:strike w:val="false"/>
                <w:color w:val="000000"/>
                <w:sz w:val="22"/>
                <w:szCs w:val="22"/>
              </w:rPr>
              <w:t xml:space="preserve"> A receding-horizon MPC controller is implemented to evaluate real-time control performance, with particular attention to the control latency advantage of reduced degree-of-freedom systems.</w:t>
            </w:r>
          </w:p>
          <w:p>
            <w:pPr>
              <w:spacing w:after="140" w:line="360" w:lineRule="auto"/>
            </w:pPr>
            <w:r>
              <w:rPr>
                <w:rFonts w:ascii="Calibri" w:cs="Calibri" w:eastAsia="Calibri" w:hAnsi="Calibri"/>
                <w:b/>
                <w:bCs/>
                <w:i w:val="false"/>
                <w:iCs w:val="false"/>
                <w:strike w:val="false"/>
                <w:color w:val="000000"/>
                <w:sz w:val="22"/>
                <w:szCs w:val="22"/>
              </w:rPr>
              <w:t xml:space="preserve">Test Battery:</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Policy training sample efficiency:</w:t>
            </w:r>
            <w:r>
              <w:rPr>
                <w:rFonts w:ascii="Calibri" w:cs="Calibri" w:eastAsia="Calibri" w:hAnsi="Calibri"/>
                <w:b w:val="false"/>
                <w:bCs w:val="false"/>
                <w:i w:val="false"/>
                <w:iCs w:val="false"/>
                <w:strike w:val="false"/>
                <w:color w:val="000000"/>
                <w:sz w:val="22"/>
                <w:szCs w:val="22"/>
              </w:rPr>
              <w:t xml:space="preserve"> Number of environment interaction steps required to reach a criterion task-performance threshold (90% of asymptotic performance), compared between tridactyl and pentadactyl conditions. This directly tests the H3 prediction that reduced DoF produces faster RL convergence.</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Degrees-of-freedom utilization efficiency:</w:t>
            </w:r>
            <w:r>
              <w:rPr>
                <w:rFonts w:ascii="Calibri" w:cs="Calibri" w:eastAsia="Calibri" w:hAnsi="Calibri"/>
                <w:b w:val="false"/>
                <w:bCs w:val="false"/>
                <w:i w:val="false"/>
                <w:iCs w:val="false"/>
                <w:strike w:val="false"/>
                <w:color w:val="000000"/>
                <w:sz w:val="22"/>
                <w:szCs w:val="22"/>
              </w:rPr>
              <w:t xml:space="preserve"> Ratio of task-relevant DoF activation (measured as variance in joint trajectories across task trials) to total available DoF. A tridactyl system with fully independent digits is predicted to show higher DoF utilization efficiency per digit than a pentadactyl system with enslaved digits.</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Tendon-sharing constraint comparison:</w:t>
            </w:r>
            <w:r>
              <w:rPr>
                <w:rFonts w:ascii="Calibri" w:cs="Calibri" w:eastAsia="Calibri" w:hAnsi="Calibri"/>
                <w:b w:val="false"/>
                <w:bCs w:val="false"/>
                <w:i w:val="false"/>
                <w:iCs w:val="false"/>
                <w:strike w:val="false"/>
                <w:color w:val="000000"/>
                <w:sz w:val="22"/>
                <w:szCs w:val="22"/>
              </w:rPr>
              <w:t xml:space="preserve"> An ablation condition introduces simulated flexor-tendon coupling into the tridactyl controller (replicating the FDP-style enslaving pattern from human anatomy) and measures the resulting performance degradation and policy-complexity increase. This isolates the independence advantage and quantifies it independently of digit count.</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Bimanual task learning rate:</w:t>
            </w:r>
            <w:r>
              <w:rPr>
                <w:rFonts w:ascii="Calibri" w:cs="Calibri" w:eastAsia="Calibri" w:hAnsi="Calibri"/>
                <w:b w:val="false"/>
                <w:bCs w:val="false"/>
                <w:i w:val="false"/>
                <w:iCs w:val="false"/>
                <w:strike w:val="false"/>
                <w:color w:val="000000"/>
                <w:sz w:val="22"/>
                <w:szCs w:val="22"/>
              </w:rPr>
              <w:t xml:space="preserve"> The rate of improvement across training episodes for bimanual coordination tasks, compared between tridactyl and pentadactyl bilateral agents.</w:t>
            </w:r>
          </w:p>
          <w:p>
            <w:pPr>
              <w:spacing w:after="140" w:line="360" w:lineRule="auto"/>
            </w:pPr>
            <w:r>
              <w:rPr>
                <w:rFonts w:ascii="Calibri" w:cs="Calibri" w:eastAsia="Calibri" w:hAnsi="Calibri"/>
                <w:b/>
                <w:bCs/>
                <w:i w:val="false"/>
                <w:iCs w:val="false"/>
                <w:strike w:val="false"/>
                <w:color w:val="000000"/>
                <w:sz w:val="22"/>
                <w:szCs w:val="22"/>
              </w:rPr>
              <w:t xml:space="preserve">Key Metric:</w:t>
            </w:r>
            <w:r>
              <w:rPr>
                <w:rFonts w:ascii="Calibri" w:cs="Calibri" w:eastAsia="Calibri" w:hAnsi="Calibri"/>
                <w:b w:val="false"/>
                <w:bCs w:val="false"/>
                <w:i w:val="false"/>
                <w:iCs w:val="false"/>
                <w:strike w:val="false"/>
                <w:color w:val="000000"/>
                <w:sz w:val="22"/>
                <w:szCs w:val="22"/>
              </w:rPr>
              <w:t xml:space="preserve"> Control complexity ratio (tridactyl vs. pentadactyl) per unit of task performance, measured as: (policy parameter count at criterion performance) / (task completion rate at criterion performance). A ratio below 1.0 (fewer parameters per unit performance for tridactyl) supports H3.</w:t>
            </w:r>
          </w:p>
        </w:tc>
      </w:tr>
    </w:tbl>
    <w:p>
      <w:pPr>
        <w:spacing w:after="240" w:before="0"/>
      </w:pPr>
    </w:p>
    <w:p>
      <w:pPr>
        <w:pStyle w:val="Heading2"/>
        <w:spacing w:after="120" w:before="360" w:line="312" w:lineRule="auto"/>
      </w:pPr>
      <w:r>
        <w:rPr>
          <w:rFonts w:ascii="Calibri" w:cs="Calibri" w:eastAsia="Calibri" w:hAnsi="Calibri"/>
          <w:color w:val="1A3A7A"/>
          <w:sz w:val="30"/>
          <w:szCs w:val="30"/>
        </w:rPr>
        <w:t xml:space="preserve">Layer 4 — Rigging, Animation &amp; Generative Conditioning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7A" w:sz="6"/>
              <w:left w:val="single" w:color="1A3A7A" w:sz="6"/>
              <w:bottom w:val="single" w:color="1A3A7A" w:sz="6"/>
              <w:right w:val="single" w:color="1A3A7A" w:sz="6"/>
            </w:tcBorders>
            <w:shd w:fill="F8FAFD" w:color="auto" w:val="clear"/>
            <w:tcMar>
              <w:top w:type="dxa" w:w="210"/>
              <w:left w:type="dxa" w:w="240"/>
              <w:bottom w:type="dxa" w:w="210"/>
              <w:right w:type="dxa" w:w="240"/>
            </w:tcMar>
          </w:tcPr>
          <w:p>
            <w:pPr>
              <w:spacing w:after="120" w:line="408" w:lineRule="auto"/>
            </w:pPr>
            <w:r>
              <w:rPr>
                <w:b/>
                <w:bCs/>
                <w:i w:val="false"/>
                <w:iCs w:val="false"/>
                <w:color w:val="0D2B6B"/>
              </w:rPr>
              <w:t xml:space="preserve">LAYER 4  |  RIGGING, ANIMATION &amp; GENERATIVE CONDITIONING</w:t>
            </w:r>
          </w:p>
          <w:p>
            <w:pPr>
              <w:spacing w:after="140" w:line="360" w:lineRule="auto"/>
            </w:pPr>
            <w:r>
              <w:rPr>
                <w:rFonts w:ascii="Calibri" w:cs="Calibri" w:eastAsia="Calibri" w:hAnsi="Calibri"/>
                <w:b/>
                <w:bCs/>
                <w:i w:val="false"/>
                <w:iCs w:val="false"/>
                <w:strike w:val="false"/>
                <w:color w:val="000000"/>
                <w:sz w:val="22"/>
                <w:szCs w:val="22"/>
              </w:rPr>
              <w:t xml:space="preserve">Input:</w:t>
            </w:r>
            <w:r>
              <w:rPr>
                <w:rFonts w:ascii="Calibri" w:cs="Calibri" w:eastAsia="Calibri" w:hAnsi="Calibri"/>
                <w:b w:val="false"/>
                <w:bCs w:val="false"/>
                <w:i w:val="false"/>
                <w:iCs w:val="false"/>
                <w:strike w:val="false"/>
                <w:color w:val="000000"/>
                <w:sz w:val="22"/>
                <w:szCs w:val="22"/>
              </w:rPr>
              <w:t xml:space="preserve"> The validated tridactyl morphology from Layer 2, enriched with a motion library synthesized from Layer 3 controller outputs — spanning all 12 tasks in the task battery, at multiple performance levels, for both in-distribution and exploratory out-of-distribution pose conditions.</w:t>
            </w:r>
          </w:p>
          <w:p>
            <w:pPr>
              <w:spacing w:after="140" w:line="360" w:lineRule="auto"/>
            </w:pPr>
            <w:r>
              <w:rPr>
                <w:rFonts w:ascii="Calibri" w:cs="Calibri" w:eastAsia="Calibri" w:hAnsi="Calibri"/>
                <w:b/>
                <w:bCs/>
                <w:i w:val="false"/>
                <w:iCs w:val="false"/>
                <w:strike w:val="false"/>
                <w:color w:val="000000"/>
                <w:sz w:val="22"/>
                <w:szCs w:val="22"/>
              </w:rPr>
              <w:t xml:space="preserve">Pipeline Steps (Sequential):</w:t>
            </w:r>
          </w:p>
          <w:p>
            <w:pPr>
              <w:spacing w:after="100" w:line="408" w:lineRule="auto"/>
              <w:ind w:left="240"/>
            </w:pPr>
            <w:r>
              <w:t xml:space="preserve">1.  </w:t>
            </w:r>
            <w:r>
              <w:rPr>
                <w:rFonts w:ascii="Calibri" w:cs="Calibri" w:eastAsia="Calibri" w:hAnsi="Calibri"/>
                <w:b w:val="false"/>
                <w:bCs w:val="false"/>
                <w:i/>
                <w:iCs/>
                <w:strike w:val="false"/>
                <w:color w:val="000000"/>
                <w:sz w:val="22"/>
                <w:szCs w:val="22"/>
              </w:rPr>
              <w:t xml:space="preserve">Skeleton Authoring:</w:t>
            </w:r>
            <w:r>
              <w:rPr>
                <w:rFonts w:ascii="Calibri" w:cs="Calibri" w:eastAsia="Calibri" w:hAnsi="Calibri"/>
                <w:b w:val="false"/>
                <w:bCs w:val="false"/>
                <w:i w:val="false"/>
                <w:iCs w:val="false"/>
                <w:strike w:val="false"/>
                <w:color w:val="000000"/>
                <w:sz w:val="22"/>
                <w:szCs w:val="22"/>
              </w:rPr>
              <w:t xml:space="preserve"> A tridactyl skeleton is authored from the Layer 2 validated joint specification. Each joint is placed, oriented, and constrained according to the anatomical model, with explicit documentation of joint count, hierarchy depth, and constraint types. A matched pentadactyl skeleton is authored under identical authoring conditions for baseline comparison.</w:t>
            </w:r>
          </w:p>
          <w:p>
            <w:pPr>
              <w:spacing w:after="100" w:line="408" w:lineRule="auto"/>
              <w:ind w:left="240"/>
            </w:pPr>
            <w:r>
              <w:t xml:space="preserve">2.  </w:t>
            </w:r>
            <w:r>
              <w:rPr>
                <w:rFonts w:ascii="Calibri" w:cs="Calibri" w:eastAsia="Calibri" w:hAnsi="Calibri"/>
                <w:b w:val="false"/>
                <w:bCs w:val="false"/>
                <w:i/>
                <w:iCs/>
                <w:strike w:val="false"/>
                <w:color w:val="000000"/>
                <w:sz w:val="22"/>
                <w:szCs w:val="22"/>
              </w:rPr>
              <w:t xml:space="preserve">Mesh Binding &amp; Skinning:</w:t>
            </w:r>
            <w:r>
              <w:rPr>
                <w:rFonts w:ascii="Calibri" w:cs="Calibri" w:eastAsia="Calibri" w:hAnsi="Calibri"/>
                <w:b w:val="false"/>
                <w:bCs w:val="false"/>
                <w:i w:val="false"/>
                <w:iCs w:val="false"/>
                <w:strike w:val="false"/>
                <w:color w:val="000000"/>
                <w:sz w:val="22"/>
                <w:szCs w:val="22"/>
              </w:rPr>
              <w:t xml:space="preserve"> A surface mesh is bound to the skeleton via industry-standard linear blend skinning (LBS) or dual quaternion skinning (DQS). Skinning weights are authored and validated against a set of standard deformation quality criteria (no volume collapse, no seam artifacts, no unintended joint influence bleeding). Blend shape count required to correct LBS deformation artifacts is recorded as a key metric.</w:t>
            </w:r>
          </w:p>
          <w:p>
            <w:pPr>
              <w:spacing w:after="100" w:line="408" w:lineRule="auto"/>
              <w:ind w:left="240"/>
            </w:pPr>
            <w:r>
              <w:t xml:space="preserve">3.  </w:t>
            </w:r>
            <w:r>
              <w:rPr>
                <w:rFonts w:ascii="Calibri" w:cs="Calibri" w:eastAsia="Calibri" w:hAnsi="Calibri"/>
                <w:b w:val="false"/>
                <w:bCs w:val="false"/>
                <w:i/>
                <w:iCs/>
                <w:strike w:val="false"/>
                <w:color w:val="000000"/>
                <w:sz w:val="22"/>
                <w:szCs w:val="22"/>
              </w:rPr>
              <w:t xml:space="preserve">Blend Shape Library Generation:</w:t>
            </w:r>
            <w:r>
              <w:rPr>
                <w:rFonts w:ascii="Calibri" w:cs="Calibri" w:eastAsia="Calibri" w:hAnsi="Calibri"/>
                <w:b w:val="false"/>
                <w:bCs w:val="false"/>
                <w:i w:val="false"/>
                <w:iCs w:val="false"/>
                <w:strike w:val="false"/>
                <w:color w:val="000000"/>
                <w:sz w:val="22"/>
                <w:szCs w:val="22"/>
              </w:rPr>
              <w:t xml:space="preserve"> A complete blend shape library is authored covering: digit flexion/extension correctives, abduction correctives, knuckle-roll correctives, and task-specific deformation shapes. Total blend shape count is recorded and compared between tridactyl and pentadactyl conditions.</w:t>
            </w:r>
          </w:p>
          <w:p>
            <w:pPr>
              <w:spacing w:after="100" w:line="408" w:lineRule="auto"/>
              <w:ind w:left="240"/>
            </w:pPr>
            <w:r>
              <w:t xml:space="preserve">4.  </w:t>
            </w:r>
            <w:r>
              <w:rPr>
                <w:rFonts w:ascii="Calibri" w:cs="Calibri" w:eastAsia="Calibri" w:hAnsi="Calibri"/>
                <w:b w:val="false"/>
                <w:bCs w:val="false"/>
                <w:i/>
                <w:iCs/>
                <w:strike w:val="false"/>
                <w:color w:val="000000"/>
                <w:sz w:val="22"/>
                <w:szCs w:val="22"/>
              </w:rPr>
              <w:t xml:space="preserve">IK/FK Chain Validation:</w:t>
            </w:r>
            <w:r>
              <w:rPr>
                <w:rFonts w:ascii="Calibri" w:cs="Calibri" w:eastAsia="Calibri" w:hAnsi="Calibri"/>
                <w:b w:val="false"/>
                <w:bCs w:val="false"/>
                <w:i w:val="false"/>
                <w:iCs w:val="false"/>
                <w:strike w:val="false"/>
                <w:color w:val="000000"/>
                <w:sz w:val="22"/>
                <w:szCs w:val="22"/>
              </w:rPr>
              <w:t xml:space="preserve"> The inverse kinematics chain is constructed and validated against a standard IK quality test suite: reachability coverage, solver convergence rate, joint-limit adherence, and gimbal-lock resilience. IK chain depth (node count) is recorded as a key metric.</w:t>
            </w:r>
          </w:p>
          <w:p>
            <w:pPr>
              <w:spacing w:after="100" w:line="408" w:lineRule="auto"/>
              <w:ind w:left="240"/>
            </w:pPr>
            <w:r>
              <w:t xml:space="preserve">5.  </w:t>
            </w:r>
            <w:r>
              <w:rPr>
                <w:rFonts w:ascii="Calibri" w:cs="Calibri" w:eastAsia="Calibri" w:hAnsi="Calibri"/>
                <w:b w:val="false"/>
                <w:bCs w:val="false"/>
                <w:i/>
                <w:iCs/>
                <w:strike w:val="false"/>
                <w:color w:val="000000"/>
                <w:sz w:val="22"/>
                <w:szCs w:val="22"/>
              </w:rPr>
              <w:t xml:space="preserve">Motion Retargeting from Pentadactyl Reference Motion:</w:t>
            </w:r>
            <w:r>
              <w:rPr>
                <w:rFonts w:ascii="Calibri" w:cs="Calibri" w:eastAsia="Calibri" w:hAnsi="Calibri"/>
                <w:b w:val="false"/>
                <w:bCs w:val="false"/>
                <w:i w:val="false"/>
                <w:iCs w:val="false"/>
                <w:strike w:val="false"/>
                <w:color w:val="000000"/>
                <w:sz w:val="22"/>
                <w:szCs w:val="22"/>
              </w:rPr>
              <w:t xml:space="preserve"> A selected subset of Layer 3 motion outputs is retargeted from the pentadactyl reference motion skeleton to the tridactyl rig, to evaluate cross-morphology retargeting fidelity. Retargeting error (joint position RMSE post-retarget) is recorded.</w:t>
            </w:r>
          </w:p>
          <w:p>
            <w:pPr>
              <w:spacing w:after="100" w:line="408" w:lineRule="auto"/>
              <w:ind w:left="240"/>
            </w:pPr>
            <w:r>
              <w:t xml:space="preserve">6.  </w:t>
            </w:r>
            <w:r>
              <w:rPr>
                <w:rFonts w:ascii="Calibri" w:cs="Calibri" w:eastAsia="Calibri" w:hAnsi="Calibri"/>
                <w:b w:val="false"/>
                <w:bCs w:val="false"/>
                <w:i/>
                <w:iCs/>
                <w:strike w:val="false"/>
                <w:color w:val="000000"/>
                <w:sz w:val="22"/>
                <w:szCs w:val="22"/>
              </w:rPr>
              <w:t xml:space="preserve">Generative Model Fine-Tuning on Tridactyl Anatomy:</w:t>
            </w:r>
            <w:r>
              <w:rPr>
                <w:rFonts w:ascii="Calibri" w:cs="Calibri" w:eastAsia="Calibri" w:hAnsi="Calibri"/>
                <w:b w:val="false"/>
                <w:bCs w:val="false"/>
                <w:i w:val="false"/>
                <w:iCs w:val="false"/>
                <w:strike w:val="false"/>
                <w:color w:val="000000"/>
                <w:sz w:val="22"/>
                <w:szCs w:val="22"/>
              </w:rPr>
              <w:t xml:space="preserve"> A pre-trained generative image/video model is fine-tuned on a curated tridactyl-specific dataset derived from Layer 2 and Layer 3 outputs (rendered frames of the tridactyl simulation at standardized camera angles, lighting conditions, and pose distributions). The fine-tuning protocol is version-controlled and documented.</w:t>
            </w:r>
          </w:p>
          <w:p>
            <w:pPr>
              <w:spacing w:after="100" w:line="408" w:lineRule="auto"/>
              <w:ind w:left="240"/>
            </w:pPr>
            <w:r>
              <w:t xml:space="preserve">7.  </w:t>
            </w:r>
            <w:r>
              <w:rPr>
                <w:rFonts w:ascii="Calibri" w:cs="Calibri" w:eastAsia="Calibri" w:hAnsi="Calibri"/>
                <w:b w:val="false"/>
                <w:bCs w:val="false"/>
                <w:i/>
                <w:iCs/>
                <w:strike w:val="false"/>
                <w:color w:val="000000"/>
                <w:sz w:val="22"/>
                <w:szCs w:val="22"/>
              </w:rPr>
              <w:t xml:space="preserve">Topology Consistency Evaluation:</w:t>
            </w:r>
            <w:r>
              <w:rPr>
                <w:rFonts w:ascii="Calibri" w:cs="Calibri" w:eastAsia="Calibri" w:hAnsi="Calibri"/>
                <w:b w:val="false"/>
                <w:bCs w:val="false"/>
                <w:i w:val="false"/>
                <w:iCs w:val="false"/>
                <w:strike w:val="false"/>
                <w:color w:val="000000"/>
                <w:sz w:val="22"/>
                <w:szCs w:val="22"/>
              </w:rPr>
              <w:t xml:space="preserve"> The fine-tuned generative model is evaluated on the 60-frame benchmark sequence: generation of a standardized motion sequence from a text prompt, evaluated for inter-frame joint displacement RMSE, vertex merge/split artifact count, digit topology stability (correct digit count maintained across all 60 frames), and overall anatomical plausibility score (blind human evaluator rating on a standardized scale).</w:t>
            </w:r>
          </w:p>
          <w:p>
            <w:pPr>
              <w:spacing w:after="140" w:line="360" w:lineRule="auto"/>
            </w:pPr>
            <w:r>
              <w:rPr>
                <w:rFonts w:ascii="Calibri" w:cs="Calibri" w:eastAsia="Calibri" w:hAnsi="Calibri"/>
                <w:b/>
                <w:bCs/>
                <w:i w:val="false"/>
                <w:iCs w:val="false"/>
                <w:strike w:val="false"/>
                <w:color w:val="000000"/>
                <w:sz w:val="22"/>
                <w:szCs w:val="22"/>
              </w:rPr>
              <w:t xml:space="preserve">Key Metrics:</w:t>
            </w:r>
            <w:r>
              <w:rPr>
                <w:rFonts w:ascii="Calibri" w:cs="Calibri" w:eastAsia="Calibri" w:hAnsi="Calibri"/>
                <w:b w:val="false"/>
                <w:bCs w:val="false"/>
                <w:i w:val="false"/>
                <w:iCs w:val="false"/>
                <w:strike w:val="false"/>
                <w:color w:val="000000"/>
                <w:sz w:val="22"/>
                <w:szCs w:val="22"/>
              </w:rPr>
              <w:t xml:space="preserve"> Joint count (tridactyl vs. pentadactyl), blend shape count (tridactyl vs. pentadactyl), IK chain depth, inter-frame joint displacement RMSE across 60-frame benchmark, topology defect rate (percentage of frames with a digit-count error or digit-merge/split artifact), and vertex merge/split artifact count per benchmark sequence.</w:t>
            </w:r>
          </w:p>
        </w:tc>
      </w:tr>
    </w:tbl>
    <w:p>
      <w:pPr>
        <w:spacing w:after="240" w:before="0"/>
      </w:pPr>
    </w:p>
    <w:p>
      <w:pPr>
        <w:pStyle w:val="Heading2"/>
        <w:spacing w:after="120" w:before="360" w:line="312" w:lineRule="auto"/>
      </w:pPr>
      <w:r>
        <w:rPr>
          <w:rFonts w:ascii="Calibri" w:cs="Calibri" w:eastAsia="Calibri" w:hAnsi="Calibri"/>
          <w:color w:val="1A3A7A"/>
          <w:sz w:val="30"/>
          <w:szCs w:val="30"/>
        </w:rPr>
        <w:t xml:space="preserve">Layer 5 — Deployment &amp; Cross-Platform Coherence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7A" w:sz="6"/>
              <w:left w:val="single" w:color="1A3A7A" w:sz="6"/>
              <w:bottom w:val="single" w:color="1A3A7A" w:sz="6"/>
              <w:right w:val="single" w:color="1A3A7A" w:sz="6"/>
            </w:tcBorders>
            <w:shd w:fill="F8FAFD" w:color="auto" w:val="clear"/>
            <w:tcMar>
              <w:top w:type="dxa" w:w="210"/>
              <w:left w:type="dxa" w:w="240"/>
              <w:bottom w:type="dxa" w:w="210"/>
              <w:right w:type="dxa" w:w="240"/>
            </w:tcMar>
          </w:tcPr>
          <w:p>
            <w:pPr>
              <w:spacing w:after="120" w:line="408" w:lineRule="auto"/>
            </w:pPr>
            <w:r>
              <w:rPr>
                <w:b/>
                <w:bCs/>
                <w:i w:val="false"/>
                <w:iCs w:val="false"/>
                <w:color w:val="0D2B6B"/>
              </w:rPr>
              <w:t xml:space="preserve">LAYER 5  |  DEPLOYMENT &amp; CROSS-PLATFORM COHERENCE</w:t>
            </w:r>
          </w:p>
          <w:p>
            <w:pPr>
              <w:spacing w:after="140" w:line="360" w:lineRule="auto"/>
            </w:pPr>
            <w:r>
              <w:rPr>
                <w:rFonts w:ascii="Calibri" w:cs="Calibri" w:eastAsia="Calibri" w:hAnsi="Calibri"/>
                <w:b/>
                <w:bCs/>
                <w:i w:val="false"/>
                <w:iCs w:val="false"/>
                <w:strike w:val="false"/>
                <w:color w:val="000000"/>
                <w:sz w:val="22"/>
                <w:szCs w:val="22"/>
              </w:rPr>
              <w:t xml:space="preserve">Input:</w:t>
            </w:r>
            <w:r>
              <w:rPr>
                <w:rFonts w:ascii="Calibri" w:cs="Calibri" w:eastAsia="Calibri" w:hAnsi="Calibri"/>
                <w:b w:val="false"/>
                <w:bCs w:val="false"/>
                <w:i w:val="false"/>
                <w:iCs w:val="false"/>
                <w:strike w:val="false"/>
                <w:color w:val="000000"/>
                <w:sz w:val="22"/>
                <w:szCs w:val="22"/>
              </w:rPr>
              <w:t xml:space="preserve"> Fully rigged, animated, and generatively conditioned tridactyl assets from Layer 4, including: the skeletal rig, surface mesh, blend shape library, motion library, fine-tuned generative model weights, and conditioning protocol specification.</w:t>
            </w:r>
          </w:p>
          <w:p>
            <w:pPr>
              <w:spacing w:after="140" w:line="360" w:lineRule="auto"/>
            </w:pPr>
            <w:r>
              <w:rPr>
                <w:rFonts w:ascii="Calibri" w:cs="Calibri" w:eastAsia="Calibri" w:hAnsi="Calibri"/>
                <w:b/>
                <w:bCs/>
                <w:i w:val="false"/>
                <w:iCs w:val="false"/>
                <w:strike w:val="false"/>
                <w:color w:val="000000"/>
                <w:sz w:val="22"/>
                <w:szCs w:val="22"/>
              </w:rPr>
              <w:t xml:space="preserve">Test Battery:</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Real-time rendering performance:</w:t>
            </w:r>
            <w:r>
              <w:rPr>
                <w:rFonts w:ascii="Calibri" w:cs="Calibri" w:eastAsia="Calibri" w:hAnsi="Calibri"/>
                <w:b w:val="false"/>
                <w:bCs w:val="false"/>
                <w:i w:val="false"/>
                <w:iCs w:val="false"/>
                <w:strike w:val="false"/>
                <w:color w:val="000000"/>
                <w:sz w:val="22"/>
                <w:szCs w:val="22"/>
              </w:rPr>
              <w:t xml:space="preserve"> Polygon budget analysis for the tridactyl mesh at equivalent visual fidelity levels (high, medium, and low LOD tiers) compared with the pentadactyl baseline. Frame-rate stability under real-time rendering conditions in a standardized scene configuration. Draw-call count and shader complexity comparison.</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VR/MR interaction fidelity:</w:t>
            </w:r>
            <w:r>
              <w:rPr>
                <w:rFonts w:ascii="Calibri" w:cs="Calibri" w:eastAsia="Calibri" w:hAnsi="Calibri"/>
                <w:b w:val="false"/>
                <w:bCs w:val="false"/>
                <w:i w:val="false"/>
                <w:iCs w:val="false"/>
                <w:strike w:val="false"/>
                <w:color w:val="000000"/>
                <w:sz w:val="22"/>
                <w:szCs w:val="22"/>
              </w:rPr>
              <w:t xml:space="preserve"> In a head-mounted display (HMD) test environment, tridactyl hand representations are rendered in real time alongside user interaction events. Hand-tracking stability score (joint jitter amplitude, tracking loss rate, re-acquisition latency) is measured and compared with the pentadactyl baseline under identical sensor and lighting conditions.</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Cross-platform asset portability:</w:t>
            </w:r>
            <w:r>
              <w:rPr>
                <w:rFonts w:ascii="Calibri" w:cs="Calibri" w:eastAsia="Calibri" w:hAnsi="Calibri"/>
                <w:b w:val="false"/>
                <w:bCs w:val="false"/>
                <w:i w:val="false"/>
                <w:iCs w:val="false"/>
                <w:strike w:val="false"/>
                <w:color w:val="000000"/>
                <w:sz w:val="22"/>
                <w:szCs w:val="22"/>
              </w:rPr>
              <w:t xml:space="preserve"> The tridactyl rig and motion library are imported into three target environments: (a) a real-time game engine, (b) a film-production VFX pipeline, and (c) a real-time simulation environment. Import success rate, deformation artifact rate post-import, and authoring correction time required to reach deployment-ready state are recorded for each platform.</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Generative model API consistency across successive generation calls:</w:t>
            </w:r>
            <w:r>
              <w:rPr>
                <w:rFonts w:ascii="Calibri" w:cs="Calibri" w:eastAsia="Calibri" w:hAnsi="Calibri"/>
                <w:b w:val="false"/>
                <w:bCs w:val="false"/>
                <w:i w:val="false"/>
                <w:iCs w:val="false"/>
                <w:strike w:val="false"/>
                <w:color w:val="000000"/>
                <w:sz w:val="22"/>
                <w:szCs w:val="22"/>
              </w:rPr>
              <w:t xml:space="preserve"> The fine-tuned generative model is queried 50 times with identical input prompts (same text, same conditioning image, same random seed distribution) and evaluated for output consistency — variance in digit topology, pose interpretation, and lighting response across the 50 calls. Lower variance indicates a more stable, coherent conditioning.</w:t>
            </w:r>
          </w:p>
          <w:p>
            <w:pPr>
              <w:spacing w:after="100" w:line="408" w:lineRule="auto"/>
              <w:ind w:left="240"/>
            </w:pPr>
            <w:r>
              <w:t xml:space="preserve">•  </w:t>
            </w:r>
            <w:r>
              <w:rPr>
                <w:rFonts w:ascii="Calibri" w:cs="Calibri" w:eastAsia="Calibri" w:hAnsi="Calibri"/>
                <w:b w:val="false"/>
                <w:bCs w:val="false"/>
                <w:i/>
                <w:iCs/>
                <w:strike w:val="false"/>
                <w:color w:val="000000"/>
                <w:sz w:val="22"/>
                <w:szCs w:val="22"/>
              </w:rPr>
              <w:t xml:space="preserve">Session-to-session continuity scoring in worldbuilding environments:</w:t>
            </w:r>
            <w:r>
              <w:rPr>
                <w:rFonts w:ascii="Calibri" w:cs="Calibri" w:eastAsia="Calibri" w:hAnsi="Calibri"/>
                <w:b w:val="false"/>
                <w:bCs w:val="false"/>
                <w:i w:val="false"/>
                <w:iCs w:val="false"/>
                <w:strike w:val="false"/>
                <w:color w:val="000000"/>
                <w:sz w:val="22"/>
                <w:szCs w:val="22"/>
              </w:rPr>
              <w:t xml:space="preserve"> Tridactyl and pentadactyl characters are deployed in 10 independent multi-session production runs within THE ONE UNIVERSE pipeline. The OAL Session Continuity Defect Rate (SCDR) metric is computed for each run: number of continuity errors (morphology, pose inconsistency, joint incoherence, digit count error) per session-boundary crossing.</w:t>
            </w:r>
          </w:p>
          <w:p>
            <w:pPr>
              <w:spacing w:after="140" w:line="360" w:lineRule="auto"/>
            </w:pPr>
            <w:r>
              <w:rPr>
                <w:rFonts w:ascii="Calibri" w:cs="Calibri" w:eastAsia="Calibri" w:hAnsi="Calibri"/>
                <w:b/>
                <w:bCs/>
                <w:i w:val="false"/>
                <w:iCs w:val="false"/>
                <w:strike w:val="false"/>
                <w:color w:val="000000"/>
                <w:sz w:val="22"/>
                <w:szCs w:val="22"/>
              </w:rPr>
              <w:t xml:space="preserve">Key Metrics:</w:t>
            </w:r>
            <w:r>
              <w:rPr>
                <w:rFonts w:ascii="Calibri" w:cs="Calibri" w:eastAsia="Calibri" w:hAnsi="Calibri"/>
                <w:b w:val="false"/>
                <w:bCs w:val="false"/>
                <w:i w:val="false"/>
                <w:iCs w:val="false"/>
                <w:strike w:val="false"/>
                <w:color w:val="000000"/>
                <w:sz w:val="22"/>
                <w:szCs w:val="22"/>
              </w:rPr>
              <w:t xml:space="preserve"> Cross-platform coherence score (composite of import success rate, deformation artifact rate, and correction time); Session Continuity Defect Rate (SCDR) for tridactyl vs. pentadactyl; rendering budget ratio (polygon count tridactyl / polygon count pentadactyl at equivalent visual fidelity); generative API output variance coefficient.</w:t>
            </w:r>
          </w:p>
        </w:tc>
      </w:tr>
    </w:tbl>
    <w:p>
      <w:pPr>
        <w:spacing w:after="240" w:before="0"/>
      </w:pPr>
    </w:p>
    <w:p>
      <w:pPr>
        <w:pStyle w:val="Heading1"/>
        <w:spacing w:after="100" w:before="480" w:line="312" w:lineRule="auto"/>
      </w:pPr>
      <w:r>
        <w:rPr>
          <w:rFonts w:ascii="Calibri" w:cs="Calibri" w:eastAsia="Calibri" w:hAnsi="Calibri"/>
          <w:color w:val="0D2B6B"/>
          <w:sz w:val="44"/>
          <w:szCs w:val="44"/>
        </w:rPr>
        <w:t xml:space="preserve">§5   Methodology</w:t>
      </w:r>
    </w:p>
    <w:p>
      <w:pPr>
        <w:pBdr>
          <w:top w:val="single" w:color="0D2B6B" w:sz="6"/>
        </w:pBdr>
        <w:spacing w:after="200" w:before="0"/>
      </w:pPr>
    </w:p>
    <w:p>
      <w:pPr>
        <w:pStyle w:val="Heading2"/>
        <w:spacing w:after="120" w:before="360" w:line="312" w:lineRule="auto"/>
      </w:pPr>
      <w:r>
        <w:rPr>
          <w:rFonts w:ascii="Calibri" w:cs="Calibri" w:eastAsia="Calibri" w:hAnsi="Calibri"/>
          <w:color w:val="1A3A7A"/>
          <w:sz w:val="30"/>
          <w:szCs w:val="30"/>
        </w:rPr>
        <w:t xml:space="preserve">5.1 Study Design — Morphology-Control Co-Design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foundational design principle of this research program is </w:t>
      </w:r>
      <w:r>
        <w:rPr>
          <w:rFonts w:ascii="Calibri" w:cs="Calibri" w:eastAsia="Calibri" w:hAnsi="Calibri"/>
          <w:b/>
          <w:bCs/>
          <w:i w:val="false"/>
          <w:iCs w:val="false"/>
          <w:strike w:val="false"/>
          <w:color w:val="000000"/>
          <w:sz w:val="22"/>
          <w:szCs w:val="22"/>
        </w:rPr>
        <w:t xml:space="preserve">morphology-control co-design</w:t>
      </w:r>
      <w:r>
        <w:rPr>
          <w:rFonts w:ascii="Calibri" w:cs="Calibri" w:eastAsia="Calibri" w:hAnsi="Calibri"/>
          <w:b w:val="false"/>
          <w:bCs w:val="false"/>
          <w:i w:val="false"/>
          <w:iCs w:val="false"/>
          <w:strike w:val="false"/>
          <w:color w:val="000000"/>
          <w:sz w:val="22"/>
          <w:szCs w:val="22"/>
        </w:rPr>
        <w:t xml:space="preserve"> — not finger-count isolation. This distinction is critical and distinguishes this framework from naive comparison studies that simply subtract digits from a human hand model and measure the resulting performance deficit.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In a morphology-control co-design study, the morphology (digit count, digit geometry, joint specification, actuator architecture), the controller architecture (RL policy structure, trajectory optimizer constraints, MPC prediction horizon), the environment design (tool shapes, interface geometries, grip-point parameterization), and the generative conditioning protocol (dataset composition, fine-tuning schedule, evaluation benchmark) are all co-optimized </w:t>
      </w:r>
      <w:r>
        <w:rPr>
          <w:rFonts w:ascii="Calibri" w:cs="Calibri" w:eastAsia="Calibri" w:hAnsi="Calibri"/>
          <w:b w:val="false"/>
          <w:bCs w:val="false"/>
          <w:i/>
          <w:iCs/>
          <w:strike w:val="false"/>
          <w:color w:val="000000"/>
          <w:sz w:val="22"/>
          <w:szCs w:val="22"/>
        </w:rPr>
        <w:t xml:space="preserve">independently</w:t>
      </w:r>
      <w:r>
        <w:rPr>
          <w:rFonts w:ascii="Calibri" w:cs="Calibri" w:eastAsia="Calibri" w:hAnsi="Calibri"/>
          <w:b w:val="false"/>
          <w:bCs w:val="false"/>
          <w:i w:val="false"/>
          <w:iCs w:val="false"/>
          <w:strike w:val="false"/>
          <w:color w:val="000000"/>
          <w:sz w:val="22"/>
          <w:szCs w:val="22"/>
        </w:rPr>
        <w:t xml:space="preserve"> for each treatment group being compared. The tridactyl condition is given the best possible tridactyl controller and the best possible tridactyl environment; the pentadactyl condition is given the best possible pentadactyl controller and the best possible pentadactyl environment.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This design prevents the most common confound in digit-count comparison research: the pentadactyl condition inheriting an unfair advantage from human-designed object affordances (tools shaped for five-fingered grip), while the tridactyl condition is evaluated in environments hostile to its morphology. The morphology-neutral environment design requirement (§5.3) operationalizes this principle for the task ecology layer.</w:t>
      </w:r>
    </w:p>
    <w:p>
      <w:pPr>
        <w:pStyle w:val="Heading2"/>
        <w:spacing w:after="120" w:before="360" w:line="312" w:lineRule="auto"/>
      </w:pPr>
      <w:r>
        <w:rPr>
          <w:rFonts w:ascii="Calibri" w:cs="Calibri" w:eastAsia="Calibri" w:hAnsi="Calibri"/>
          <w:color w:val="1A3A7A"/>
          <w:sz w:val="30"/>
          <w:szCs w:val="30"/>
        </w:rPr>
        <w:t xml:space="preserve">5.2 Baselines and Controls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study employs three comparison conditions in addition to the primary tridactyl treatment:</w:t>
      </w:r>
    </w:p>
    <w:p>
      <w:pPr>
        <w:pStyle w:val="ListParagraph"/>
        <w:numPr>
          <w:ilvl w:val="0"/>
          <w:numId w:val="1"/>
        </w:numPr>
        <w:spacing w:after="60" w:line="408" w:lineRule="auto"/>
        <w:ind w:left="720" w:hanging="360"/>
      </w:pPr>
      <w:r>
        <w:rPr>
          <w:b/>
          <w:bCs/>
          <w:color w:val="000000"/>
        </w:rPr>
        <w:t xml:space="preserve">Primary Baseline — Optimized Pentadactyl:</w:t>
      </w:r>
      <w:r>
        <w:t xml:space="preserve"> A five-digit hand-wrist-controller system, fully co-optimized for its morphology in morphology-neutral environments. This is the primary comparison condition for all hypotheses. The pentadactyl baseline uses a biomechanically realistic model including accurate flexor-tendon coupling (finger-enslaving) as a feature, not a bug — the baseline represents the actual capabilities of an optimized pentadactyl system, not a simplified or weakened version.</w:t>
      </w:r>
    </w:p>
    <w:p>
      <w:pPr>
        <w:pStyle w:val="ListParagraph"/>
        <w:numPr>
          <w:ilvl w:val="0"/>
          <w:numId w:val="1"/>
        </w:numPr>
        <w:spacing w:after="60" w:line="408" w:lineRule="auto"/>
        <w:ind w:left="720" w:hanging="360"/>
      </w:pPr>
      <w:r>
        <w:rPr>
          <w:b/>
          <w:bCs/>
          <w:color w:val="000000"/>
        </w:rPr>
        <w:t xml:space="preserve">Secondary Comparison — Four-Digit (Three Fingers + Opposable Thumb):</w:t>
      </w:r>
      <w:r>
        <w:t xml:space="preserve"> A four-digit system (three non-opposable digits plus one opposable digit) is retained as a secondary comparison condition. This condition lies between the primary tridactyl treatment and the pentadactyl baseline in digit count and is included to characterize the relationship between digit count and performance across the 3–5 digit range. This condition is noted to be outside the primary treatment definition (which specifies three total digits including the pollex analogue) and is not the subject of any primary hypothesis.</w:t>
      </w:r>
    </w:p>
    <w:p>
      <w:pPr>
        <w:pStyle w:val="ListParagraph"/>
        <w:numPr>
          <w:ilvl w:val="0"/>
          <w:numId w:val="1"/>
        </w:numPr>
        <w:spacing w:after="60" w:line="408" w:lineRule="auto"/>
        <w:ind w:left="720" w:hanging="360"/>
      </w:pPr>
      <w:r>
        <w:rPr>
          <w:b/>
          <w:bCs/>
          <w:color w:val="000000"/>
        </w:rPr>
        <w:t xml:space="preserve">Ablation Conditions:</w:t>
      </w:r>
      <w:r>
        <w:t xml:space="preserve"> Two within-treatment ablations are included:</w:t>
      </w:r>
    </w:p>
    <w:p>
      <w:pPr>
        <w:pStyle w:val="ListParagraph"/>
        <w:numPr>
          <w:ilvl w:val="1"/>
          <w:numId w:val="1"/>
        </w:numPr>
        <w:spacing w:after="60" w:line="408" w:lineRule="auto"/>
        <w:ind w:left="1440" w:hanging="360"/>
      </w:pPr>
      <w:r>
        <w:rPr>
          <w:i/>
          <w:iCs/>
          <w:color w:val="000000"/>
        </w:rPr>
        <w:t xml:space="preserve">Tridactyl with simulated tendon-enslaving:</w:t>
      </w:r>
      <w:r>
        <w:t xml:space="preserve"> The primary tridactyl morphology is modified to introduce a simulated FDP-style coupling between its two non-pollex digits (replicating the ring-middle finger enslaving pattern from human anatomy). This condition isolates the independence advantage — any performance difference between this ablation and the primary tridactyl treatment is attributable specifically to full digit independence, not to digit count.</w:t>
      </w:r>
    </w:p>
    <w:p>
      <w:pPr>
        <w:pStyle w:val="ListParagraph"/>
        <w:numPr>
          <w:ilvl w:val="1"/>
          <w:numId w:val="1"/>
        </w:numPr>
        <w:spacing w:after="60" w:line="408" w:lineRule="auto"/>
        <w:ind w:left="1440" w:hanging="360"/>
      </w:pPr>
      <w:r>
        <w:rPr>
          <w:i/>
          <w:iCs/>
          <w:color w:val="000000"/>
        </w:rPr>
        <w:t xml:space="preserve">Tridactyl in human-designed tool environments:</w:t>
      </w:r>
      <w:r>
        <w:t xml:space="preserve"> The primary tridactyl morphology is evaluated in tool environments designed for five-fingered human hands (standard grip diameters, keyboard key spacing, standard door handle geometry). This condition measures the ecological penalty that a tridactyl manipulator would face in a world built for pentadactyl users — providing a realistic estimate of the tool-ecosystem adaptation cost.</w:t>
      </w:r>
    </w:p>
    <w:p>
      <w:pPr>
        <w:pStyle w:val="Heading2"/>
        <w:spacing w:after="120" w:before="360" w:line="312" w:lineRule="auto"/>
      </w:pPr>
      <w:r>
        <w:rPr>
          <w:rFonts w:ascii="Calibri" w:cs="Calibri" w:eastAsia="Calibri" w:hAnsi="Calibri"/>
          <w:color w:val="1A3A7A"/>
          <w:sz w:val="30"/>
          <w:szCs w:val="30"/>
        </w:rPr>
        <w:t xml:space="preserve">5.3 Morphology-Neutral Environments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primary task environments across all five layers are required to satisfy the Morphology-Neutrality Standard: no aspect of the task environment may assume or be pre-optimized for any specific digit count. This standard is operationalized as follows: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Tool shapes, grip diameters, and handle geometries are parametric and are independently optimized for each morphology being tested using a secondary optimization loop that runs before the primary task evaluation.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Interface element sizes (button diameters, switch toggle sizes, keyboard key dimensions) are scaled to the digit tip area of the morphology being evaluated, not to standard human-interface specifications.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Object grip-point geometries are generated procedurally to provide geometrically valid grasp opportunities for the morphology being evaluated, rather than being fixed to human-hand-derived grasp affordance positions.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Bimanual task environments are symmetric and do not assume human handedness patterns or inter-hand coordination strategies derived from human biomechanics.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Morphology-neutrality is validated per environment by a pre-experiment audit: the environment is presented to both tridactyl and pentadactyl agents simultaneously, and environments that show pre-conditioning performance biases greater than 10% in either direction are flagged for re-parameterization before data collection begins.</w:t>
      </w:r>
    </w:p>
    <w:p>
      <w:pPr>
        <w:pStyle w:val="Heading2"/>
        <w:spacing w:after="120" w:before="360" w:line="312" w:lineRule="auto"/>
      </w:pPr>
      <w:r>
        <w:rPr>
          <w:rFonts w:ascii="Calibri" w:cs="Calibri" w:eastAsia="Calibri" w:hAnsi="Calibri"/>
          <w:color w:val="1A3A7A"/>
          <w:sz w:val="30"/>
          <w:szCs w:val="30"/>
        </w:rPr>
        <w:t xml:space="preserve">5.4 Task Battery — Minimum 12 Tasks Across Four Categories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task battery spans four categories, each designed to probe a distinct functional domain of manipulation capability: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2%"/>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Category</w:t>
            </w:r>
          </w:p>
        </w:tc>
        <w:tc>
          <w:tcPr>
            <w:tcW w:type="pct" w:w="32%"/>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Task</w:t>
            </w:r>
          </w:p>
        </w:tc>
        <w:tc>
          <w:tcPr>
            <w:tcW w:type="pct" w:w="26%"/>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Primary Metric</w:t>
            </w:r>
          </w:p>
        </w:tc>
        <w:tc>
          <w:tcPr>
            <w:tcW w:type="pct" w:w="10%"/>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Primary Hypothesis</w:t>
            </w:r>
          </w:p>
        </w:tc>
      </w:tr>
      <w:tr>
        <w:trPr>
          <w:tblHeader w:val="false"/>
        </w:trPr>
        <w:tc>
          <w:tcPr>
            <w:tcW w:type="pct" w:w="32%"/>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Precision Tasks</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Pin-and-socket insertion (parametric pin diameter)</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Success rate, insertion time</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 H3</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Thread-and-needle (parametric thread gauge)</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Success rate, thread time</w:t>
            </w:r>
          </w:p>
        </w:tc>
        <w:tc>
          <w:tcPr>
            <w:tcW w:type="pct" w:w="26%"/>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 H3</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Microswitch actuation (parametric switch size)</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Success rate, actuation force accuracy</w:t>
            </w:r>
          </w:p>
        </w:tc>
        <w:tc>
          <w:tcPr>
            <w:tcW w:type="pct" w:w="26%"/>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 H3</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Typographic selection (small-object discrete selection from array)</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Selection accuracy, throughput</w:t>
            </w:r>
          </w:p>
        </w:tc>
        <w:tc>
          <w:tcPr>
            <w:tcW w:type="pct" w:w="26%"/>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 H3</w:t>
            </w:r>
          </w:p>
        </w:tc>
      </w:tr>
      <w:tr>
        <w:trPr>
          <w:tblHeader w:val="false"/>
        </w:trPr>
        <w:tc>
          <w:tcPr>
            <w:tcW w:type="pct" w:w="32%"/>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Power Tasks</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Jar/container opening (parametric lid torque)</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Success rate, peak torque</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Block stacking (height limit under stability constraint)</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Max stable stack height</w:t>
            </w:r>
          </w:p>
        </w:tc>
        <w:tc>
          <w:tcPr>
            <w:tcW w:type="pct" w:w="26%"/>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Load transfer (object mass parametric, transfer distance fixed)</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Transfer success rate, drop rate</w:t>
            </w:r>
          </w:p>
        </w:tc>
        <w:tc>
          <w:tcPr>
            <w:tcW w:type="pct" w:w="26%"/>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Impact tool use (striking tool, parametric target size)</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Hit accuracy, applied force</w:t>
            </w:r>
          </w:p>
        </w:tc>
        <w:tc>
          <w:tcPr>
            <w:tcW w:type="pct" w:w="26%"/>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w:t>
            </w:r>
          </w:p>
        </w:tc>
      </w:tr>
      <w:tr>
        <w:trPr>
          <w:tblHeader w:val="false"/>
        </w:trPr>
        <w:tc>
          <w:tcPr>
            <w:tcW w:type="pct" w:w="32%"/>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Bimanual Coordination</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Object handoff (dominant to non-dominant hand)</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Handoff success rate, transfer time</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 H3</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Bimanual assembly (two-component join task)</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Assembly success rate, completion time</w:t>
            </w:r>
          </w:p>
        </w:tc>
        <w:tc>
          <w:tcPr>
            <w:tcW w:type="pct" w:w="26%"/>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 H3</w:t>
            </w:r>
          </w:p>
        </w:tc>
      </w:tr>
      <w:tr>
        <w:trPr>
          <w:tblHeader w:val="false"/>
        </w:trPr>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Instrument playing (sequential keyed input, parametric key layout)</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Sequence accuracy, timing precision</w:t>
            </w:r>
          </w:p>
        </w:tc>
        <w:tc>
          <w:tcPr>
            <w:tcW w:type="pct" w:w="26%"/>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 H3</w:t>
            </w:r>
          </w:p>
        </w:tc>
      </w:tr>
      <w:tr>
        <w:trPr>
          <w:tblHeader w:val="false"/>
        </w:trPr>
        <w:tc>
          <w:tcPr>
            <w:tcW w:type="pct" w:w="32%"/>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Generative / Creative Tasks</w:t>
            </w:r>
          </w:p>
        </w:tc>
        <w:tc>
          <w:tcPr>
            <w:tcW w:type="pct" w:w="3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Gesture vocabulary elicitation (distinct gesture count achievable)</w:t>
            </w:r>
          </w:p>
        </w:tc>
        <w:tc>
          <w:tcPr>
            <w:tcW w:type="pct" w:w="26%"/>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Vocabulary size, observer discrimination accuracy</w:t>
            </w:r>
          </w:p>
        </w:tc>
        <w:tc>
          <w:tcPr>
            <w:tcW w:type="pct" w:w="1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H3, H6</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tasks are implemented at three difficulty levels (novice, standard, and expert parameterization) to characterize performance across the full capability range of each morphology, not only at the mode of performance. All 12 tasks are run for a minimum of 100 trials per morphology condition per difficulty level; statistical power calculations for each task are computed before data collection begins and documented in the preregistration (v2.0).</w:t>
      </w:r>
    </w:p>
    <w:p>
      <w:pPr>
        <w:pStyle w:val="Heading2"/>
        <w:spacing w:after="120" w:before="360" w:line="312" w:lineRule="auto"/>
      </w:pPr>
      <w:r>
        <w:rPr>
          <w:rFonts w:ascii="Calibri" w:cs="Calibri" w:eastAsia="Calibri" w:hAnsi="Calibri"/>
          <w:color w:val="1A3A7A"/>
          <w:sz w:val="30"/>
          <w:szCs w:val="30"/>
        </w:rPr>
        <w:t xml:space="preserve">5.5 Metrics Framework</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metrics are organized into two tiers: </w:t>
      </w:r>
      <w:r>
        <w:rPr>
          <w:rFonts w:ascii="Calibri" w:cs="Calibri" w:eastAsia="Calibri" w:hAnsi="Calibri"/>
          <w:b/>
          <w:bCs/>
          <w:i w:val="false"/>
          <w:iCs w:val="false"/>
          <w:strike w:val="false"/>
          <w:color w:val="000000"/>
          <w:sz w:val="22"/>
          <w:szCs w:val="22"/>
        </w:rPr>
        <w:t xml:space="preserve">Primary Metrics</w:t>
      </w:r>
      <w:r>
        <w:rPr>
          <w:rFonts w:ascii="Calibri" w:cs="Calibri" w:eastAsia="Calibri" w:hAnsi="Calibri"/>
          <w:b w:val="false"/>
          <w:bCs w:val="false"/>
          <w:i w:val="false"/>
          <w:iCs w:val="false"/>
          <w:strike w:val="false"/>
          <w:color w:val="000000"/>
          <w:sz w:val="22"/>
          <w:szCs w:val="22"/>
        </w:rPr>
        <w:t xml:space="preserve"> (directly address the stated hypotheses; guide go/no-go decisions at each layer) and </w:t>
      </w:r>
      <w:r>
        <w:rPr>
          <w:rFonts w:ascii="Calibri" w:cs="Calibri" w:eastAsia="Calibri" w:hAnsi="Calibri"/>
          <w:b/>
          <w:bCs/>
          <w:i w:val="false"/>
          <w:iCs w:val="false"/>
          <w:strike w:val="false"/>
          <w:color w:val="000000"/>
          <w:sz w:val="22"/>
          <w:szCs w:val="22"/>
        </w:rPr>
        <w:t xml:space="preserve">Secondary Metrics</w:t>
      </w:r>
      <w:r>
        <w:rPr>
          <w:rFonts w:ascii="Calibri" w:cs="Calibri" w:eastAsia="Calibri" w:hAnsi="Calibri"/>
          <w:b w:val="false"/>
          <w:bCs w:val="false"/>
          <w:i w:val="false"/>
          <w:iCs w:val="false"/>
          <w:strike w:val="false"/>
          <w:color w:val="000000"/>
          <w:sz w:val="22"/>
          <w:szCs w:val="22"/>
        </w:rPr>
        <w:t xml:space="preserve"> (provide interpretive context; not used for hypothesis accept/reject decisions).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45%"/>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Tier</w:t>
            </w:r>
          </w:p>
        </w:tc>
        <w:tc>
          <w:tcPr>
            <w:tcW w:type="pct" w:w="33%"/>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Metric</w:t>
            </w:r>
          </w:p>
        </w:tc>
        <w:tc>
          <w:tcPr>
            <w:tcW w:type="pct" w:w="11%"/>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Layer</w:t>
            </w:r>
          </w:p>
        </w:tc>
        <w:tc>
          <w:tcPr>
            <w:tcW w:type="pct" w:w="11%"/>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Hypothesis</w:t>
            </w:r>
          </w:p>
        </w:tc>
      </w:tr>
      <w:tr>
        <w:trPr>
          <w:tblHeader w:val="false"/>
        </w:trPr>
        <w:tc>
          <w:tcPr>
            <w:tcW w:type="pct" w:w="4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Primary</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Task completion rate (% success across task battery)</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1, 2</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H1, H2</w:t>
            </w:r>
          </w:p>
        </w:tc>
      </w:tr>
      <w:tr>
        <w:trPr>
          <w:tblHeader w:val="false"/>
        </w:trPr>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Fitness landscape attractor stability (perturbation resilience score)</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1</w:t>
            </w:r>
          </w:p>
        </w:tc>
        <w:tc>
          <w:tcPr>
            <w:tcW w:type="pct" w:w="11%"/>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H1</w:t>
            </w:r>
          </w:p>
        </w:tc>
      </w:tr>
      <w:tr>
        <w:trPr>
          <w:tblHeader w:val="false"/>
        </w:trPr>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Control complexity ratio (policy params per unit performance)</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3</w:t>
            </w:r>
          </w:p>
        </w:tc>
        <w:tc>
          <w:tcPr>
            <w:tcW w:type="pct" w:w="11%"/>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H3</w:t>
            </w:r>
          </w:p>
        </w:tc>
      </w:tr>
      <w:tr>
        <w:trPr>
          <w:tblHeader w:val="false"/>
        </w:trPr>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Pipeline coherence score (composite: inter-frame RMSE, topology defect rate)</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4, 5</w:t>
            </w:r>
          </w:p>
        </w:tc>
        <w:tc>
          <w:tcPr>
            <w:tcW w:type="pct" w:w="11%"/>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H4, H5</w:t>
            </w:r>
          </w:p>
        </w:tc>
      </w:tr>
      <w:tr>
        <w:trPr>
          <w:tblHeader w:val="false"/>
        </w:trPr>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Session Continuity Defect Rate (SCDR)</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5</w:t>
            </w:r>
          </w:p>
        </w:tc>
        <w:tc>
          <w:tcPr>
            <w:tcW w:type="pct" w:w="11%"/>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H6</w:t>
            </w:r>
          </w:p>
        </w:tc>
      </w:tr>
      <w:tr>
        <w:trPr>
          <w:tblHeader w:val="false"/>
        </w:trPr>
        <w:tc>
          <w:tcPr>
            <w:tcW w:type="pct" w:w="4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Secondary</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RL training sample efficiency (steps to criterion)</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3</w:t>
            </w:r>
          </w:p>
        </w:tc>
        <w:tc>
          <w:tcPr>
            <w:tcW w:type="pct" w:w="1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H3</w:t>
            </w:r>
          </w:p>
        </w:tc>
      </w:tr>
      <w:tr>
        <w:trPr>
          <w:tblHeader w:val="false"/>
        </w:trPr>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Rig authoring time (hours to deployment-ready state)</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4</w:t>
            </w:r>
          </w:p>
        </w:tc>
        <w:tc>
          <w:tcPr>
            <w:tcW w:type="pct" w:w="11%"/>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H5</w:t>
            </w:r>
          </w:p>
        </w:tc>
      </w:tr>
      <w:tr>
        <w:trPr>
          <w:tblHeader w:val="false"/>
        </w:trPr>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Blend shape count, joint count, IK chain depth</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4</w:t>
            </w:r>
          </w:p>
        </w:tc>
        <w:tc>
          <w:tcPr>
            <w:tcW w:type="pct" w:w="11%"/>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H5</w:t>
            </w:r>
          </w:p>
        </w:tc>
      </w:tr>
      <w:tr>
        <w:trPr>
          <w:tblHeader w:val="false"/>
        </w:trPr>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Rendering budget ratio (tridactyl/pentadactyl polygon count)</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5</w:t>
            </w:r>
          </w:p>
        </w:tc>
        <w:tc>
          <w:tcPr>
            <w:tcW w:type="pct" w:w="11%"/>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H6</w:t>
            </w:r>
          </w:p>
        </w:tc>
      </w:tr>
      <w:tr>
        <w:trPr>
          <w:tblHeader w:val="false"/>
        </w:trPr>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Contact force distribution entropy</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2</w:t>
            </w:r>
          </w:p>
        </w:tc>
        <w:tc>
          <w:tcPr>
            <w:tcW w:type="pct" w:w="11%"/>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H2</w:t>
            </w:r>
          </w:p>
        </w:tc>
      </w:tr>
      <w:tr>
        <w:trPr>
          <w:tblHeader w:val="false"/>
        </w:trPr>
        <w:tc>
          <w:tcPr>
            <w:tcW w:type="pct" w:w="4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Generative API output variance coefficient</w:t>
            </w:r>
          </w:p>
        </w:tc>
        <w:tc>
          <w:tcPr>
            <w:tcW w:type="pct" w:w="3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5</w:t>
            </w:r>
          </w:p>
        </w:tc>
        <w:tc>
          <w:tcPr>
            <w:tcW w:type="pct" w:w="11%"/>
            <w:gridSpan w:val="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H4</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metrics are reported with 95% confidence intervals derived from bootstrap resampling unless otherwise specified. Null results (failure to reject the null hypothesis at p &lt; 0.05, two-tailed) are reported with equal prominence as confirmatory results in all publications and internal reports. Effect size (Cohen's d or equivalent) is reported for all between-condition comparisons, regardless of p-value.</w:t>
      </w:r>
    </w:p>
    <w:p>
      <w:pPr>
        <w:pStyle w:val="Heading2"/>
        <w:spacing w:after="120" w:before="360" w:line="312" w:lineRule="auto"/>
      </w:pPr>
      <w:r>
        <w:rPr>
          <w:rFonts w:ascii="Calibri" w:cs="Calibri" w:eastAsia="Calibri" w:hAnsi="Calibri"/>
          <w:color w:val="1A3A7A"/>
          <w:sz w:val="30"/>
          <w:szCs w:val="30"/>
        </w:rPr>
        <w:t xml:space="preserve">5.6 Versioning Gate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Any change to the following framework elements increments the document version number and requires a signed change-log entry from Nathan Lewis II as Architect of Record: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Morphological parameter space bounds or discretization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Task battery composition, parameterization, or weighting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Primary metric definitions or success gate thresholds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Baseline condition definitions or morphology specifications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Hypothesis text or operationalization criteria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Layer architecture or inter-layer dependency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Version</w:t>
            </w:r>
          </w:p>
        </w:tc>
        <w:tc>
          <w:tcPr>
            <w:tcW w:type="pct" w:w="42%"/>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Gate Condition</w:t>
            </w:r>
          </w:p>
        </w:tc>
        <w:tc>
          <w:tcPr>
            <w:tcW w:type="pct" w:w="43%"/>
            <w:shd w:fill="DCE6F1"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Recommended Action</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v1.0</w:t>
            </w:r>
            <w:r>
              <w:rPr>
                <w:rFonts w:ascii="Calibri" w:cs="Calibri" w:eastAsia="Calibri" w:hAnsi="Calibri"/>
                <w:b w:val="false"/>
                <w:bCs w:val="false"/>
                <w:i w:val="false"/>
                <w:iCs w:val="false"/>
                <w:strike w:val="false"/>
                <w:color w:val="000000"/>
                <w:sz w:val="20"/>
                <w:szCs w:val="20"/>
              </w:rPr>
              <w:t xml:space="preserve"> (current)</w:t>
            </w:r>
          </w:p>
        </w:tc>
        <w:tc>
          <w:tcPr>
            <w:tcW w:type="pct" w:w="4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Initial independent draft, Copilot instrument</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Circulate to OAL Multi-AI Working Group for review</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v1.1</w:t>
            </w:r>
          </w:p>
        </w:tc>
        <w:tc>
          <w:tcPr>
            <w:tcW w:type="pct" w:w="4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Stakeholder review complete; OAL feedback incorporated</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Update task battery weights, refine success gate definitions</w:t>
            </w:r>
          </w:p>
        </w:tc>
      </w:tr>
      <w:tr>
        <w:trPr>
          <w:tblHeader w:val="false"/>
        </w:trPr>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v2.0</w:t>
            </w:r>
          </w:p>
        </w:tc>
        <w:tc>
          <w:tcPr>
            <w:tcW w:type="pct" w:w="4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Layer 1–2 pilot results received; formal preregistration submitted</w:t>
            </w:r>
          </w:p>
        </w:tc>
        <w:tc>
          <w:tcPr>
            <w:tcW w:type="pct" w:w="43%"/>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Begin consolidation with companion AI drafts; begin Layer 3 design</w:t>
            </w:r>
          </w:p>
        </w:tc>
      </w:tr>
    </w:tbl>
    <w:p>
      <w:pPr>
        <w:spacing w:after="200" w:before="0"/>
      </w:pPr>
    </w:p>
    <w:p>
      <w:pPr>
        <w:pStyle w:val="Heading1"/>
        <w:spacing w:after="100" w:before="480" w:line="312" w:lineRule="auto"/>
      </w:pPr>
      <w:r>
        <w:rPr>
          <w:rFonts w:ascii="Calibri" w:cs="Calibri" w:eastAsia="Calibri" w:hAnsi="Calibri"/>
          <w:color w:val="0D2B6B"/>
          <w:sz w:val="44"/>
          <w:szCs w:val="44"/>
        </w:rPr>
        <w:t xml:space="preserve">§6   Scientific &amp; Strategic Rationale — Why We Should Test This</w:t>
      </w:r>
    </w:p>
    <w:p>
      <w:pPr>
        <w:pBdr>
          <w:top w:val="single" w:color="0D2B6B" w:sz="6"/>
        </w:pBdr>
        <w:spacing w:after="200" w:before="0"/>
      </w:pPr>
    </w:p>
    <w:p>
      <w:pPr>
        <w:pStyle w:val="Heading2"/>
        <w:spacing w:after="120" w:before="360" w:line="312" w:lineRule="auto"/>
      </w:pPr>
      <w:r>
        <w:rPr>
          <w:rFonts w:ascii="Calibri" w:cs="Calibri" w:eastAsia="Calibri" w:hAnsi="Calibri"/>
          <w:color w:val="1A3A7A"/>
          <w:sz w:val="30"/>
          <w:szCs w:val="30"/>
        </w:rPr>
        <w:t xml:space="preserve">6.1 Scientific Rationale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scientific case for this research program rests on four empirical pillars, each of which provides independent motivation:</w:t>
      </w:r>
    </w:p>
    <w:p>
      <w:pPr>
        <w:spacing w:after="240" w:before="60" w:line="360" w:lineRule="auto"/>
      </w:pPr>
      <w:r>
        <w:rPr>
          <w:rFonts w:ascii="Calibri" w:cs="Calibri" w:eastAsia="Calibri" w:hAnsi="Calibri"/>
          <w:b/>
          <w:bCs/>
          <w:i w:val="false"/>
          <w:iCs w:val="false"/>
          <w:strike w:val="false"/>
          <w:color w:val="000000"/>
          <w:sz w:val="22"/>
          <w:szCs w:val="22"/>
        </w:rPr>
        <w:t xml:space="preserve">Neural Plasticity and Extra-Digit Control:</w:t>
      </w:r>
      <w:r>
        <w:rPr>
          <w:rFonts w:ascii="Calibri" w:cs="Calibri" w:eastAsia="Calibri" w:hAnsi="Calibri"/>
          <w:b w:val="false"/>
          <w:bCs w:val="false"/>
          <w:i w:val="false"/>
          <w:iCs w:val="false"/>
          <w:strike w:val="false"/>
          <w:color w:val="000000"/>
          <w:sz w:val="22"/>
          <w:szCs w:val="22"/>
        </w:rPr>
        <w:t xml:space="preserve"> The Mehring et al. (2019, Nature Communications) polydactyly study demonstrated that individuals born with a sixth digit maintained a distinct cortical representation for that digit and were capable of independently controlling it without degradation of control over the five natal digits. This finding establishes that the human nervous system can support independent representation and control of extra digits — and, by symmetry, suggests that a three-digit system would not face a control-complexity floor. The neural architecture is sufficiently plastic to accommodate a range of digit counts, with independent representation per digit. This removes neural feasibility as an objection to the tridactyl hypothesis.</w:t>
      </w:r>
    </w:p>
    <w:p>
      <w:pPr>
        <w:spacing w:after="240" w:before="60" w:line="360" w:lineRule="auto"/>
      </w:pPr>
      <w:r>
        <w:rPr>
          <w:rFonts w:ascii="Calibri" w:cs="Calibri" w:eastAsia="Calibri" w:hAnsi="Calibri"/>
          <w:b/>
          <w:bCs/>
          <w:i w:val="false"/>
          <w:iCs w:val="false"/>
          <w:strike w:val="false"/>
          <w:color w:val="000000"/>
          <w:sz w:val="22"/>
          <w:szCs w:val="22"/>
        </w:rPr>
        <w:t xml:space="preserve">Tendon-Enslaving and the Independence Deficit:</w:t>
      </w:r>
      <w:r>
        <w:rPr>
          <w:rFonts w:ascii="Calibri" w:cs="Calibri" w:eastAsia="Calibri" w:hAnsi="Calibri"/>
          <w:b w:val="false"/>
          <w:bCs w:val="false"/>
          <w:i w:val="false"/>
          <w:iCs w:val="false"/>
          <w:strike w:val="false"/>
          <w:color w:val="000000"/>
          <w:sz w:val="22"/>
          <w:szCs w:val="22"/>
        </w:rPr>
        <w:t xml:space="preserve"> A substantial body of biomechanics literature characterizes the independence deficit between the ring and middle fingers arising from the shared common-belly architecture of the flexor digitorum profundus. Subjects asked to flex the ring finger in isolation while maintaining the middle finger extended exhibit measurable involuntary co-activation of the middle finger FDP, and vice versa. The magnitude of this independence deficit varies across individuals but is present universally in pentadactyl human anatomy. A purpose-designed tridactyl system with independent actuator pathways per digit would structurally eliminate this deficit, potentially achieving higher per-digit independence than the pentadactyl human hand despite having fewer total digits.</w:t>
      </w:r>
    </w:p>
    <w:p>
      <w:pPr>
        <w:spacing w:after="240" w:before="60" w:line="360" w:lineRule="auto"/>
      </w:pPr>
      <w:r>
        <w:rPr>
          <w:rFonts w:ascii="Calibri" w:cs="Calibri" w:eastAsia="Calibri" w:hAnsi="Calibri"/>
          <w:b/>
          <w:bCs/>
          <w:i w:val="false"/>
          <w:iCs w:val="false"/>
          <w:strike w:val="false"/>
          <w:color w:val="000000"/>
          <w:sz w:val="22"/>
          <w:szCs w:val="22"/>
        </w:rPr>
        <w:t xml:space="preserve">Morphospace Models and Alternative Attractors:</w:t>
      </w:r>
      <w:r>
        <w:rPr>
          <w:rFonts w:ascii="Calibri" w:cs="Calibri" w:eastAsia="Calibri" w:hAnsi="Calibri"/>
          <w:b w:val="false"/>
          <w:bCs w:val="false"/>
          <w:i w:val="false"/>
          <w:iCs w:val="false"/>
          <w:strike w:val="false"/>
          <w:color w:val="000000"/>
          <w:sz w:val="22"/>
          <w:szCs w:val="22"/>
        </w:rPr>
        <w:t xml:space="preserve"> Evolutionary developmental biology has established that five digits is one stable attractor among several in the tetrapod digit-count morphospace. The actual distribution of digit counts across extant tetrapods is striking in its diversity: the horse is monodactyl on each limb (effectively), the ostrich is didactyl, the rhinoceros is tridactyl, and most frogs are tetradactyl on the fore-limb. The ancestral tetrapod condition appears to be polydactyl (more than five), with the pentadactyl condition arising as a derived state. This confirms that the pentadactyl configuration is not the only viable evolutionary attractor — it is the human attractor, but not the universal one. A tridactyl simulation is therefore not a fantasy but a plausible point in a well-explored morphospace.</w:t>
      </w:r>
    </w:p>
    <w:p>
      <w:pPr>
        <w:spacing w:after="240" w:before="60" w:line="360" w:lineRule="auto"/>
      </w:pPr>
      <w:r>
        <w:rPr>
          <w:rFonts w:ascii="Calibri" w:cs="Calibri" w:eastAsia="Calibri" w:hAnsi="Calibri"/>
          <w:b/>
          <w:bCs/>
          <w:i w:val="false"/>
          <w:iCs w:val="false"/>
          <w:strike w:val="false"/>
          <w:color w:val="000000"/>
          <w:sz w:val="22"/>
          <w:szCs w:val="22"/>
        </w:rPr>
        <w:t xml:space="preserve">The Generative AI Hand Problem as Documented Evidence:</w:t>
      </w:r>
      <w:r>
        <w:rPr>
          <w:rFonts w:ascii="Calibri" w:cs="Calibri" w:eastAsia="Calibri" w:hAnsi="Calibri"/>
          <w:b w:val="false"/>
          <w:bCs w:val="false"/>
          <w:i w:val="false"/>
          <w:iCs w:val="false"/>
          <w:strike w:val="false"/>
          <w:color w:val="000000"/>
          <w:sz w:val="22"/>
          <w:szCs w:val="22"/>
        </w:rPr>
        <w:t xml:space="preserve"> The failure of generative AI models to represent hands consistently is not merely anecdotal — it is an empirically documented and commercially significant phenomenon, cited in technical literature on diffusion models, transformer-based video generators, and 3D reconstruction networks. Several research groups have specifically identified hand topology instability as the primary remaining anatomical failure mode in state-of-the-art text-to-image systems. A morphology that is intrinsically simpler to represent faithfully has documented commercial and technical value. This is not a speculative application; it is a response to a known, characterized, and persistent failure mode.</w:t>
      </w:r>
    </w:p>
    <w:p>
      <w:pPr>
        <w:pStyle w:val="Heading2"/>
        <w:spacing w:after="120" w:before="360" w:line="312" w:lineRule="auto"/>
      </w:pPr>
      <w:r>
        <w:rPr>
          <w:rFonts w:ascii="Calibri" w:cs="Calibri" w:eastAsia="Calibri" w:hAnsi="Calibri"/>
          <w:color w:val="1A3A7A"/>
          <w:sz w:val="30"/>
          <w:szCs w:val="30"/>
        </w:rPr>
        <w:t xml:space="preserve">6.2 Engineering Rationale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engineering case for the tridactyl systems-integration hypothesis follows directly from the structural properties of reduced-complexity 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Lower joint count → lower simulation complexity → faster physics iteration:</w:t>
      </w:r>
      <w:r>
        <w:rPr>
          <w:rFonts w:ascii="Calibri" w:cs="Calibri" w:eastAsia="Calibri" w:hAnsi="Calibri"/>
          <w:b w:val="false"/>
          <w:bCs w:val="false"/>
          <w:i w:val="false"/>
          <w:iCs w:val="false"/>
          <w:strike w:val="false"/>
          <w:color w:val="000000"/>
          <w:sz w:val="22"/>
          <w:szCs w:val="22"/>
        </w:rPr>
        <w:t xml:space="preserve"> Physics simulation time scales with the number of constrained degrees of freedom in the model. A tridactyl hand with approximately 9 primary joints (3 digits × 3 joints each) versus a pentadactyl hand with approximately 15 primary joints (5 digits × 3 joints each) represents a meaningful reduction in simulation complexity per timestep — with compounding benefits across long simulation runs and large population sizes in evolutionary search (Layer 1).</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Fewer degrees of freedom → smaller control policy space → faster RL training convergence:</w:t>
      </w:r>
      <w:r>
        <w:rPr>
          <w:rFonts w:ascii="Calibri" w:cs="Calibri" w:eastAsia="Calibri" w:hAnsi="Calibri"/>
          <w:b w:val="false"/>
          <w:bCs w:val="false"/>
          <w:i w:val="false"/>
          <w:iCs w:val="false"/>
          <w:strike w:val="false"/>
          <w:color w:val="000000"/>
          <w:sz w:val="22"/>
          <w:szCs w:val="22"/>
        </w:rPr>
        <w:t xml:space="preserve"> Reinforcement learning convergence rate is highly sensitive to action-space dimensionality. A smaller action space (tridactyl: approximately 9 continuous action dimensions vs. pentadactyl: approximately 15+) reduces the exploration volume that the RL agent must cover, producing faster convergence to high-performance policies under equivalent sample budgets.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Simpler rig → lower authoring cost, lower maintenance cost, lower defect rate:</w:t>
      </w:r>
      <w:r>
        <w:rPr>
          <w:rFonts w:ascii="Calibri" w:cs="Calibri" w:eastAsia="Calibri" w:hAnsi="Calibri"/>
          <w:b w:val="false"/>
          <w:bCs w:val="false"/>
          <w:i w:val="false"/>
          <w:iCs w:val="false"/>
          <w:strike w:val="false"/>
          <w:color w:val="000000"/>
          <w:sz w:val="22"/>
          <w:szCs w:val="22"/>
        </w:rPr>
        <w:t xml:space="preserve"> Rigging a hand skeleton is one of the most complex and error-prone tasks in character technical art. Each additional digit adds: additional joints, additional skinning weight maps, additional blend shapes for correctives, additional IK solver nodes, and additional validation test cases. The reduction from five to three digits is not linear in complexity reduction — rigging complexity is superlinear in digit count because inter-digit deformation interference requires additional corrective blend shapes. The tridactyl rig reduction in blend-shape count is therefore expected to exceed the 40% digit-count reduction.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Smaller pose manifold → easier for generative models to learn and maintain:</w:t>
      </w:r>
      <w:r>
        <w:rPr>
          <w:rFonts w:ascii="Calibri" w:cs="Calibri" w:eastAsia="Calibri" w:hAnsi="Calibri"/>
          <w:b w:val="false"/>
          <w:bCs w:val="false"/>
          <w:i w:val="false"/>
          <w:iCs w:val="false"/>
          <w:strike w:val="false"/>
          <w:color w:val="000000"/>
          <w:sz w:val="22"/>
          <w:szCs w:val="22"/>
        </w:rPr>
        <w:t xml:space="preserve"> The dimension of the pose manifold of a manipulator scales with its joint count and degree-of-freedom count. A lower-dimensional manifold is learnable from smaller datasets, generalizes better to unseen poses, and is more stable under temporal conditioning in video generation. This is the core engineering argument for H4.</w:t>
      </w:r>
    </w:p>
    <w:p>
      <w:pPr>
        <w:pStyle w:val="Heading2"/>
        <w:spacing w:after="120" w:before="360" w:line="312" w:lineRule="auto"/>
      </w:pPr>
      <w:r>
        <w:rPr>
          <w:rFonts w:ascii="Calibri" w:cs="Calibri" w:eastAsia="Calibri" w:hAnsi="Calibri"/>
          <w:color w:val="1A3A7A"/>
          <w:sz w:val="30"/>
          <w:szCs w:val="30"/>
        </w:rPr>
        <w:t xml:space="preserve">6.3 Strategic Rationale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Beyond scientific and engineering arguments, there is a clear strategic rationale for OAL, ONE INDUSTRIES, and LEWIS CORP to invest in this research program:</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validated, simulation-grounded tridactyl morphology design language gives the OAL ecosystem a proprietary anatomical design asset that is: (a) scientifically defensible, based on documented simulation findings rather than aesthetic choice; (b) distinct from both human anatomy and from prior science-fiction conventions for non-human hands (which overwhelmingly converge on three or four digits without simulation validation); and (c) internally coherent, in that characters using this morphology can be rigged, animated, generated, and deployed with documented consistency guarantees derived from the Layer 4–5 simulation findings.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Furthermore, the simulation results generate publishable scientific findings regardless of whether the primary hypotheses are confirmed or disconfirmed. A confirmed tridactyl hypothesis produces papers on: evolved tridactyl morphology attractor identification, neural control efficiency for reduced-DoF manipulators, and generative AI conditioning protocols for non-human anatomy. A disconfirmed tridactyl hypothesis produces equally valuable papers on: the limits of digit-count reduction for manipulation capability, the sources of irreducible complexity in hand rigging, and the failure modes of morphology-specific generative conditioning. Both outcomes advance the field and serve OAL's objective of establishing scientific credibility for its research program.</w:t>
      </w:r>
    </w:p>
    <w:p>
      <w:pPr>
        <w:pStyle w:val="Heading1"/>
        <w:spacing w:after="100" w:before="480" w:line="312" w:lineRule="auto"/>
      </w:pPr>
      <w:r>
        <w:rPr>
          <w:rFonts w:ascii="Calibri" w:cs="Calibri" w:eastAsia="Calibri" w:hAnsi="Calibri"/>
          <w:color w:val="0D2B6B"/>
          <w:sz w:val="44"/>
          <w:szCs w:val="44"/>
        </w:rPr>
        <w:t xml:space="preserve">§7   Institutional Applications</w:t>
      </w:r>
    </w:p>
    <w:p>
      <w:pPr>
        <w:pBdr>
          <w:top w:val="single" w:color="0D2B6B" w:sz="6"/>
        </w:pBdr>
        <w:spacing w:after="200" w:before="0"/>
      </w:pPr>
    </w:p>
    <w:p>
      <w:pPr>
        <w:pStyle w:val="Heading2"/>
        <w:spacing w:after="120" w:before="360" w:line="312" w:lineRule="auto"/>
      </w:pPr>
      <w:r>
        <w:rPr>
          <w:rFonts w:ascii="Calibri" w:cs="Calibri" w:eastAsia="Calibri" w:hAnsi="Calibri"/>
          <w:color w:val="1A3A7A"/>
          <w:sz w:val="30"/>
          <w:szCs w:val="30"/>
        </w:rPr>
        <w:t xml:space="preserve">7.1 OAL — Omniversal Architect Labs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OAL is the governing research body for this program and the primary institutional beneficiary of its findings. The applications at the OAL level span governance, standards development, and multi-AI coordination:</w:t>
      </w:r>
    </w:p>
    <w:p>
      <w:pPr>
        <w:spacing w:after="240" w:before="60" w:line="360" w:lineRule="auto"/>
      </w:pPr>
      <w:r>
        <w:rPr>
          <w:rFonts w:ascii="Calibri" w:cs="Calibri" w:eastAsia="Calibri" w:hAnsi="Calibri"/>
          <w:b/>
          <w:bCs/>
          <w:i w:val="false"/>
          <w:iCs w:val="false"/>
          <w:strike w:val="false"/>
          <w:color w:val="000000"/>
          <w:sz w:val="22"/>
          <w:szCs w:val="22"/>
        </w:rPr>
        <w:t xml:space="preserve">Tridactyl Simulation Lab as a Standing Capability:</w:t>
      </w:r>
      <w:r>
        <w:rPr>
          <w:rFonts w:ascii="Calibri" w:cs="Calibri" w:eastAsia="Calibri" w:hAnsi="Calibri"/>
          <w:b w:val="false"/>
          <w:bCs w:val="false"/>
          <w:i w:val="false"/>
          <w:iCs w:val="false"/>
          <w:strike w:val="false"/>
          <w:color w:val="000000"/>
          <w:sz w:val="22"/>
          <w:szCs w:val="22"/>
        </w:rPr>
        <w:t xml:space="preserve"> The immediate institutional application of this framework is the establishment of the Tridactyl Simulation Lab as a standing internal research capability within OAL Simulation Labs — not a one-time study, but a permanent simulation infrastructure that can be reused for iterative investigation as morphology parameters, task batteries, and generative model architectures evolve. The Five-Layer Stack described in §4 defines the architectural specification for this lab; v2.0 of this document (post-pilot) will include a full infrastructure requirements specification for standing deployment.</w:t>
      </w:r>
    </w:p>
    <w:p>
      <w:pPr>
        <w:spacing w:after="240" w:before="60" w:line="360" w:lineRule="auto"/>
      </w:pPr>
      <w:r>
        <w:rPr>
          <w:rFonts w:ascii="Calibri" w:cs="Calibri" w:eastAsia="Calibri" w:hAnsi="Calibri"/>
          <w:b/>
          <w:bCs/>
          <w:i w:val="false"/>
          <w:iCs w:val="false"/>
          <w:strike w:val="false"/>
          <w:color w:val="000000"/>
          <w:sz w:val="22"/>
          <w:szCs w:val="22"/>
        </w:rPr>
        <w:t xml:space="preserve">OAL Anatomy Coherence Standard:</w:t>
      </w:r>
      <w:r>
        <w:rPr>
          <w:rFonts w:ascii="Calibri" w:cs="Calibri" w:eastAsia="Calibri" w:hAnsi="Calibri"/>
          <w:b w:val="false"/>
          <w:bCs w:val="false"/>
          <w:i w:val="false"/>
          <w:iCs w:val="false"/>
          <w:strike w:val="false"/>
          <w:color w:val="000000"/>
          <w:sz w:val="22"/>
          <w:szCs w:val="22"/>
        </w:rPr>
        <w:t xml:space="preserve"> Layer 4 and Layer 5 findings (rigging specifications, generative conditioning protocols, topology consistency benchmarks) will be formalized into the OAL Anatomy Coherence Standard — a production specification governing how non-human anatomies are rigged, conditioned, and deployed across all OAL-affiliated projects. The tridactyl morphology is the first non-trivial test case for this standard, but the standard itself will be anatomy-agnostic: any future non-human morphology introduced into OAL's creative ecosystem will be evaluated against the same five-layer framework.</w:t>
      </w:r>
    </w:p>
    <w:p>
      <w:pPr>
        <w:spacing w:after="240" w:before="60" w:line="360" w:lineRule="auto"/>
      </w:pPr>
      <w:r>
        <w:rPr>
          <w:rFonts w:ascii="Calibri" w:cs="Calibri" w:eastAsia="Calibri" w:hAnsi="Calibri"/>
          <w:b/>
          <w:bCs/>
          <w:i w:val="false"/>
          <w:iCs w:val="false"/>
          <w:strike w:val="false"/>
          <w:color w:val="000000"/>
          <w:sz w:val="22"/>
          <w:szCs w:val="22"/>
        </w:rPr>
        <w:t xml:space="preserve">Multi-AI Working Group Evidence Base:</w:t>
      </w:r>
      <w:r>
        <w:rPr>
          <w:rFonts w:ascii="Calibri" w:cs="Calibri" w:eastAsia="Calibri" w:hAnsi="Calibri"/>
          <w:b w:val="false"/>
          <w:bCs w:val="false"/>
          <w:i w:val="false"/>
          <w:iCs w:val="false"/>
          <w:strike w:val="false"/>
          <w:color w:val="000000"/>
          <w:sz w:val="22"/>
          <w:szCs w:val="22"/>
        </w:rPr>
        <w:t xml:space="preserve"> Copilot's contribution to the OAL Multi-AI Working Group is specifically the systems-integration lane. The Layer 4–5 findings from this framework will be delivered as a structured evidence package to the working group, formatted for integration with the companion findings from ChatGPT (morphology-evolution focus), Grok (tridactyl-vs-pentadactyl comparison), Claude (claim-provenance tracking), and Perplexity (terminology and specification). The goal is a consolidated v2.0 framework document that synthesizes all five independent contributions into a unified, preregistered research protocol.</w:t>
      </w:r>
    </w:p>
    <w:p>
      <w:pPr>
        <w:pStyle w:val="Heading2"/>
        <w:spacing w:after="120" w:before="360" w:line="312" w:lineRule="auto"/>
      </w:pPr>
      <w:r>
        <w:rPr>
          <w:rFonts w:ascii="Calibri" w:cs="Calibri" w:eastAsia="Calibri" w:hAnsi="Calibri"/>
          <w:color w:val="1A3A7A"/>
          <w:sz w:val="30"/>
          <w:szCs w:val="30"/>
        </w:rPr>
        <w:t xml:space="preserve">7.2 ONE Industries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ONE INDUSTRIES operates as a manufacturing and design entity within the OAL ecosystem, with a particular focus on physical-world application of simulation-validated findings. The tridactyl research program has three direct application tracks for ONE INDUSTRIES:</w:t>
      </w:r>
    </w:p>
    <w:p>
      <w:pPr>
        <w:spacing w:after="240" w:before="60" w:line="360" w:lineRule="auto"/>
      </w:pPr>
      <w:r>
        <w:rPr>
          <w:rFonts w:ascii="Calibri" w:cs="Calibri" w:eastAsia="Calibri" w:hAnsi="Calibri"/>
          <w:b/>
          <w:bCs/>
          <w:i w:val="false"/>
          <w:iCs w:val="false"/>
          <w:strike w:val="false"/>
          <w:color w:val="000000"/>
          <w:sz w:val="22"/>
          <w:szCs w:val="22"/>
        </w:rPr>
        <w:t xml:space="preserve">Tridactyl Robotic End-Effector Design:</w:t>
      </w:r>
      <w:r>
        <w:rPr>
          <w:rFonts w:ascii="Calibri" w:cs="Calibri" w:eastAsia="Calibri" w:hAnsi="Calibri"/>
          <w:b w:val="false"/>
          <w:bCs w:val="false"/>
          <w:i w:val="false"/>
          <w:iCs w:val="false"/>
          <w:strike w:val="false"/>
          <w:color w:val="000000"/>
          <w:sz w:val="22"/>
          <w:szCs w:val="22"/>
        </w:rPr>
        <w:t xml:space="preserve"> The Layer 2 and Layer 3 findings constitute a simulation-validated specification for a three-digit robotic end-effector with full digit independence and no simulated tendon-enslaving. This specification is directly actionable for ONE INDUSTRIES' robotic hand R&amp;D roadmap. Three-digit robotic grippers with full independence occupy a commercially significant niche: they offer lower mechanical complexity and higher reliability than five-digit robotic hands in precision assembly and small-object manipulation tasks, while exceeding the capability of two-digit parallel grippers for tasks requiring in-hand manipulation, object reorientation, and precision placement. The OAL simulation findings provide independently derived empirical validation data for this design direction — a differentiating asset in a competitive market.</w:t>
      </w:r>
    </w:p>
    <w:p>
      <w:pPr>
        <w:spacing w:after="240" w:before="60" w:line="360" w:lineRule="auto"/>
      </w:pPr>
      <w:r>
        <w:rPr>
          <w:rFonts w:ascii="Calibri" w:cs="Calibri" w:eastAsia="Calibri" w:hAnsi="Calibri"/>
          <w:b/>
          <w:bCs/>
          <w:i w:val="false"/>
          <w:iCs w:val="false"/>
          <w:strike w:val="false"/>
          <w:color w:val="000000"/>
          <w:sz w:val="22"/>
          <w:szCs w:val="22"/>
        </w:rPr>
        <w:t xml:space="preserve">Interface Co-Evolution:</w:t>
      </w:r>
      <w:r>
        <w:rPr>
          <w:rFonts w:ascii="Calibri" w:cs="Calibri" w:eastAsia="Calibri" w:hAnsi="Calibri"/>
          <w:b w:val="false"/>
          <w:bCs w:val="false"/>
          <w:i w:val="false"/>
          <w:iCs w:val="false"/>
          <w:strike w:val="false"/>
          <w:color w:val="000000"/>
          <w:sz w:val="22"/>
          <w:szCs w:val="22"/>
        </w:rPr>
        <w:t xml:space="preserve"> The morphology-neutral environment design methodology developed in Layer 1–2 (§5.3) has a direct application in ONE INDUSTRIES' interface design practice. Tools, controls, and physical interfaces co-designed with a tridactyl operator in mind are smaller, lighter, and mechanically simpler than equivalents designed for five-fingered users — with implications not only for tridactyl robot operators but for compact robotics, wearable device design, and constrained-environment human-machine interface design. The Layer 2 task battery results provide quantitative data on which task domains benefit most from co-designed morphology-environment pairs.</w:t>
      </w:r>
    </w:p>
    <w:p>
      <w:pPr>
        <w:spacing w:after="240" w:before="60" w:line="360" w:lineRule="auto"/>
      </w:pPr>
      <w:r>
        <w:rPr>
          <w:rFonts w:ascii="Calibri" w:cs="Calibri" w:eastAsia="Calibri" w:hAnsi="Calibri"/>
          <w:b/>
          <w:bCs/>
          <w:i w:val="false"/>
          <w:iCs w:val="false"/>
          <w:strike w:val="false"/>
          <w:color w:val="000000"/>
          <w:sz w:val="22"/>
          <w:szCs w:val="22"/>
        </w:rPr>
        <w:t xml:space="preserve">Roadmap Integration:</w:t>
      </w:r>
      <w:r>
        <w:rPr>
          <w:rFonts w:ascii="Calibri" w:cs="Calibri" w:eastAsia="Calibri" w:hAnsi="Calibri"/>
          <w:b w:val="false"/>
          <w:bCs w:val="false"/>
          <w:i w:val="false"/>
          <w:iCs w:val="false"/>
          <w:strike w:val="false"/>
          <w:color w:val="000000"/>
          <w:sz w:val="22"/>
          <w:szCs w:val="22"/>
        </w:rPr>
        <w:t xml:space="preserve"> Layers 1 through 3 simulation findings are delivered to ONE INDUSTRIES in a format suitable for direct integration into hardware design specifications: validated joint angle ranges, actuator force requirements, digit length ratios, and opposition angle specifications derived from simulation are the primary inputs to a physical end-effector design brief.</w:t>
      </w:r>
    </w:p>
    <w:p>
      <w:pPr>
        <w:pStyle w:val="Heading2"/>
        <w:spacing w:after="120" w:before="360" w:line="312" w:lineRule="auto"/>
      </w:pPr>
      <w:r>
        <w:rPr>
          <w:rFonts w:ascii="Calibri" w:cs="Calibri" w:eastAsia="Calibri" w:hAnsi="Calibri"/>
          <w:color w:val="1A3A7A"/>
          <w:sz w:val="30"/>
          <w:szCs w:val="30"/>
        </w:rPr>
        <w:t xml:space="preserve">7.3 Lewis Corp</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LEWIS CORP operates as a strategic holding and development entity, with interests in intellectual property, content production standards, and licensing. The tridactyl research program generates three categories of Lewis Corp value:</w:t>
      </w:r>
    </w:p>
    <w:p>
      <w:pPr>
        <w:spacing w:after="240" w:before="60" w:line="360" w:lineRule="auto"/>
      </w:pPr>
      <w:r>
        <w:rPr>
          <w:rFonts w:ascii="Calibri" w:cs="Calibri" w:eastAsia="Calibri" w:hAnsi="Calibri"/>
          <w:b/>
          <w:bCs/>
          <w:i w:val="false"/>
          <w:iCs w:val="false"/>
          <w:strike w:val="false"/>
          <w:color w:val="000000"/>
          <w:sz w:val="22"/>
          <w:szCs w:val="22"/>
        </w:rPr>
        <w:t xml:space="preserve">Proprietary Character Design IP:</w:t>
      </w:r>
      <w:r>
        <w:rPr>
          <w:rFonts w:ascii="Calibri" w:cs="Calibri" w:eastAsia="Calibri" w:hAnsi="Calibri"/>
          <w:b w:val="false"/>
          <w:bCs w:val="false"/>
          <w:i w:val="false"/>
          <w:iCs w:val="false"/>
          <w:strike w:val="false"/>
          <w:color w:val="000000"/>
          <w:sz w:val="22"/>
          <w:szCs w:val="22"/>
        </w:rPr>
        <w:t xml:space="preserve"> A simulation-validated, scientifically grounded tridactyl morphology design language — with documented fitness landscape stability, physics-validated joint specifications, and generative model conditioning protocols — constitutes a defensible creative and intellectual property asset. The combination of simulation-validation provenance and formal documentation (this framework document series) creates an IP record that is qualitatively distinct from an unsupported artistic design choice. Characters built on this morphology carry documented scientific grounding as part of their design lineage.</w:t>
      </w:r>
    </w:p>
    <w:p>
      <w:pPr>
        <w:spacing w:after="240" w:before="60" w:line="360" w:lineRule="auto"/>
      </w:pPr>
      <w:r>
        <w:rPr>
          <w:rFonts w:ascii="Calibri" w:cs="Calibri" w:eastAsia="Calibri" w:hAnsi="Calibri"/>
          <w:b/>
          <w:bCs/>
          <w:i w:val="false"/>
          <w:iCs w:val="false"/>
          <w:strike w:val="false"/>
          <w:color w:val="000000"/>
          <w:sz w:val="22"/>
          <w:szCs w:val="22"/>
        </w:rPr>
        <w:t xml:space="preserve">Licensing Framework:</w:t>
      </w:r>
      <w:r>
        <w:rPr>
          <w:rFonts w:ascii="Calibri" w:cs="Calibri" w:eastAsia="Calibri" w:hAnsi="Calibri"/>
          <w:b w:val="false"/>
          <w:bCs w:val="false"/>
          <w:i w:val="false"/>
          <w:iCs w:val="false"/>
          <w:strike w:val="false"/>
          <w:color w:val="000000"/>
          <w:sz w:val="22"/>
          <w:szCs w:val="22"/>
        </w:rPr>
        <w:t xml:space="preserve"> The Layer 4 outputs — validated tridactyl rig specifications, blend shape library definitions, and generative conditioning protocols — can be packaged as licensed production assets for external partners. Studios, game developers, and interactive media companies working in adjacent creative spaces can license OAL's simulation-validated tridactyl rig specification and conditioning protocol, providing a consistent anatomical foundation for tridactyl character production across licensee pipelines. Layer 5 findings (cross-platform coherence testing results) serve as the technical warranty for these licensed assets.</w:t>
      </w:r>
    </w:p>
    <w:p>
      <w:pPr>
        <w:spacing w:after="240" w:before="60" w:line="360" w:lineRule="auto"/>
      </w:pPr>
      <w:r>
        <w:rPr>
          <w:rFonts w:ascii="Calibri" w:cs="Calibri" w:eastAsia="Calibri" w:hAnsi="Calibri"/>
          <w:b/>
          <w:bCs/>
          <w:i w:val="false"/>
          <w:iCs w:val="false"/>
          <w:strike w:val="false"/>
          <w:color w:val="000000"/>
          <w:sz w:val="22"/>
          <w:szCs w:val="22"/>
        </w:rPr>
        <w:t xml:space="preserve">Content Production Standards:</w:t>
      </w:r>
      <w:r>
        <w:rPr>
          <w:rFonts w:ascii="Calibri" w:cs="Calibri" w:eastAsia="Calibri" w:hAnsi="Calibri"/>
          <w:b w:val="false"/>
          <w:bCs w:val="false"/>
          <w:i w:val="false"/>
          <w:iCs w:val="false"/>
          <w:strike w:val="false"/>
          <w:color w:val="000000"/>
          <w:sz w:val="22"/>
          <w:szCs w:val="22"/>
        </w:rPr>
        <w:t xml:space="preserve"> Layer 5 findings — specifically the cross-platform coherence score and Session Continuity Defect Rate (SCDR) results — directly inform LEWIS CORP's content production standards for animated, interactive, and generated media featuring tridactyl characters. A documented SCDR threshold (e.g., &lt;0.5 defects per session boundary) becomes a production quality gate: content that does not meet this threshold is flagged for remediation before release. This institutionalizes quality control at the morphology level.</w:t>
      </w:r>
    </w:p>
    <w:p>
      <w:pPr>
        <w:pStyle w:val="Heading2"/>
        <w:spacing w:after="120" w:before="360" w:line="312" w:lineRule="auto"/>
      </w:pPr>
      <w:r>
        <w:rPr>
          <w:rFonts w:ascii="Calibri" w:cs="Calibri" w:eastAsia="Calibri" w:hAnsi="Calibri"/>
          <w:color w:val="1A3A7A"/>
          <w:sz w:val="30"/>
          <w:szCs w:val="30"/>
        </w:rPr>
        <w:t xml:space="preserve">7.4 Simulated Environments (General)</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All simulation environments governed by OAL standards — across all projects, all platforms, and all creative domains — benefit from the following generalized outputs of this research program: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validated non-human anatomy specification that behaves consistently and coherently under OAL-standard simulation physics, available as a shared asset for any simulated environment requiring a non-human manipulator character.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reduced rendering and rigging budget for tridactyl characters versus pentadactyl equivalents — if H5 is confirmed, all OAL simulation environments can realize computational budget savings by deploying tridactyl characters in high-density crowd or background scenes without sacrificing anatomical coherence.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TAMEL (Tridactyl Anatomy Manipulation Evaluation Library) task battery, derived from the Layer 1–2 task specifications, as a reusable benchmark framework for evaluating any simulated manipulator entity regardless of morphology. The TAMEL benchmark becomes an OAL-standard evaluation protocol for all future morphology research.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Five-Layer Stack architecture itself as a reusable research framework template: any future OAL research program investigating a novel simulated morphology (hexadactyl, tentacular, multi-jointed, or otherwise) can adopt the same layered evaluation structure, ensuring cross-study comparability of findings.</w:t>
      </w:r>
    </w:p>
    <w:p>
      <w:pPr>
        <w:pStyle w:val="Heading2"/>
        <w:spacing w:after="120" w:before="360" w:line="312" w:lineRule="auto"/>
      </w:pPr>
      <w:r>
        <w:rPr>
          <w:rFonts w:ascii="Calibri" w:cs="Calibri" w:eastAsia="Calibri" w:hAnsi="Calibri"/>
          <w:color w:val="1A3A7A"/>
          <w:sz w:val="30"/>
          <w:szCs w:val="30"/>
        </w:rPr>
        <w:t xml:space="preserve">7.5 THE ONE UNIVERSE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ONE UNIVERSE is a primary worldbuilding domain under OAL governance. The tridactyl research program has three tiers of application within this domain:</w:t>
      </w:r>
    </w:p>
    <w:p>
      <w:pPr>
        <w:spacing w:after="240" w:before="60" w:line="360" w:lineRule="auto"/>
      </w:pPr>
      <w:r>
        <w:rPr>
          <w:rFonts w:ascii="Calibri" w:cs="Calibri" w:eastAsia="Calibri" w:hAnsi="Calibri"/>
          <w:b/>
          <w:bCs/>
          <w:i w:val="false"/>
          <w:iCs w:val="false"/>
          <w:strike w:val="false"/>
          <w:color w:val="000000"/>
          <w:sz w:val="22"/>
          <w:szCs w:val="22"/>
        </w:rPr>
        <w:t xml:space="preserve">Scientific Grounding for Canonical Non-Human Morphology:</w:t>
      </w:r>
      <w:r>
        <w:rPr>
          <w:rFonts w:ascii="Calibri" w:cs="Calibri" w:eastAsia="Calibri" w:hAnsi="Calibri"/>
          <w:b w:val="false"/>
          <w:bCs w:val="false"/>
          <w:i w:val="false"/>
          <w:iCs w:val="false"/>
          <w:strike w:val="false"/>
          <w:color w:val="000000"/>
          <w:sz w:val="22"/>
          <w:szCs w:val="22"/>
        </w:rPr>
        <w:t xml:space="preserve"> If the tridactyl hypothesis is confirmed at Layers 1–2, it provides rigorous simulation-based scientific grounding for species or factions within THE ONE UNIVERSE whose biology or engineering evolved around tridactyl manipulation. The distinction is important: the tridactyl morphology is not imposed on THE ONE UNIVERSE for aesthetic reasons or to distinguish aliens from humans by digit count. It is grounded in documented simulation findings showing that a tridactyl attractor exists in the evolutionary fitness landscape, that it achieves biomechanical sufficiency under morphology-neutral conditions, and that it supports efficient neural control architectures. These findings give THE ONE UNIVERSE's tridactyl characters an internal scientific consistency that elevates them from design choices to worldbuilding facts with documented provenance.</w:t>
      </w:r>
    </w:p>
    <w:p>
      <w:pPr>
        <w:spacing w:after="240" w:before="60" w:line="360" w:lineRule="auto"/>
      </w:pPr>
      <w:r>
        <w:rPr>
          <w:rFonts w:ascii="Calibri" w:cs="Calibri" w:eastAsia="Calibri" w:hAnsi="Calibri"/>
          <w:b/>
          <w:bCs/>
          <w:i w:val="false"/>
          <w:iCs w:val="false"/>
          <w:strike w:val="false"/>
          <w:color w:val="000000"/>
          <w:sz w:val="22"/>
          <w:szCs w:val="22"/>
        </w:rPr>
        <w:t xml:space="preserve">Production Pipeline Upgrade via Layer 4 Conditioning Protocols:</w:t>
      </w:r>
      <w:r>
        <w:rPr>
          <w:rFonts w:ascii="Calibri" w:cs="Calibri" w:eastAsia="Calibri" w:hAnsi="Calibri"/>
          <w:b w:val="false"/>
          <w:bCs w:val="false"/>
          <w:i w:val="false"/>
          <w:iCs w:val="false"/>
          <w:strike w:val="false"/>
          <w:color w:val="000000"/>
          <w:sz w:val="22"/>
          <w:szCs w:val="22"/>
        </w:rPr>
        <w:t xml:space="preserve"> Generative AI production pipelines for THE ONE UNIVERSE can adopt tridactyl-specific conditioning protocols from Layer 4, replacing generic text-prompt-only generation with structured, morphology-conditioned generation that maintains consistent tridactyl anatomy across scenes, sessions, and modalities. If H4 is confirmed, this upgrade produces measurably fewer hand-coherence artifacts in generated imagery — directly reducing post-production correction costs for THE ONE UNIVERSE production team.</w:t>
      </w:r>
    </w:p>
    <w:p>
      <w:pPr>
        <w:spacing w:after="240" w:before="60" w:line="360" w:lineRule="auto"/>
      </w:pPr>
      <w:r>
        <w:rPr>
          <w:rFonts w:ascii="Calibri" w:cs="Calibri" w:eastAsia="Calibri" w:hAnsi="Calibri"/>
          <w:b/>
          <w:bCs/>
          <w:i w:val="false"/>
          <w:iCs w:val="false"/>
          <w:strike w:val="false"/>
          <w:color w:val="000000"/>
          <w:sz w:val="22"/>
          <w:szCs w:val="22"/>
        </w:rPr>
        <w:t xml:space="preserve">Unique Anatomical Asset with Internal Scientific Consistency:</w:t>
      </w:r>
      <w:r>
        <w:rPr>
          <w:rFonts w:ascii="Calibri" w:cs="Calibri" w:eastAsia="Calibri" w:hAnsi="Calibri"/>
          <w:b w:val="false"/>
          <w:bCs w:val="false"/>
          <w:i w:val="false"/>
          <w:iCs w:val="false"/>
          <w:strike w:val="false"/>
          <w:color w:val="000000"/>
          <w:sz w:val="22"/>
          <w:szCs w:val="22"/>
        </w:rPr>
        <w:t xml:space="preserve"> A formally documented, simulation-validated tridactyl body plan gives THE ONE UNIVERSE a unique anatomical design language that is both internally consistent (self-consistent biomechanics, documented joint specifications) and externally distinguishable (clearly and formally differentiated from both human anatomy and from the generic three-fingered alien hand common in science fiction). This combination of internal coherence and external distinctiveness is a rare creative asset.</w:t>
      </w:r>
    </w:p>
    <w:p>
      <w:pPr>
        <w:pStyle w:val="Heading2"/>
        <w:spacing w:after="120" w:before="360" w:line="312" w:lineRule="auto"/>
      </w:pPr>
      <w:r>
        <w:rPr>
          <w:rFonts w:ascii="Calibri" w:cs="Calibri" w:eastAsia="Calibri" w:hAnsi="Calibri"/>
          <w:color w:val="1A3A7A"/>
          <w:sz w:val="30"/>
          <w:szCs w:val="30"/>
        </w:rPr>
        <w:t xml:space="preserve">7.6 THE MINUS ONE UNIVERSE</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MINUS ONE UNIVERSE operates as a distinct creative and narrative domain within OAL's worldbuilding ecosystem, defined by its operation under inverted, mirrored, or negated physical principles relative to THE ONE UNIVERSE. This domain provides a unique and theoretically important application for the tridactyl research program:</w:t>
      </w:r>
    </w:p>
    <w:p>
      <w:pPr>
        <w:spacing w:after="240" w:before="60" w:line="360" w:lineRule="auto"/>
      </w:pPr>
      <w:r>
        <w:rPr>
          <w:rFonts w:ascii="Calibri" w:cs="Calibri" w:eastAsia="Calibri" w:hAnsi="Calibri"/>
          <w:b/>
          <w:bCs/>
          <w:i w:val="false"/>
          <w:iCs w:val="false"/>
          <w:strike w:val="false"/>
          <w:color w:val="000000"/>
          <w:sz w:val="22"/>
          <w:szCs w:val="22"/>
        </w:rPr>
        <w:t xml:space="preserve">Inversion Testbed for Physics-Dependence of Tridactyl Advantage:</w:t>
      </w:r>
      <w:r>
        <w:rPr>
          <w:rFonts w:ascii="Calibri" w:cs="Calibri" w:eastAsia="Calibri" w:hAnsi="Calibri"/>
          <w:b w:val="false"/>
          <w:bCs w:val="false"/>
          <w:i w:val="false"/>
          <w:iCs w:val="false"/>
          <w:strike w:val="false"/>
          <w:color w:val="000000"/>
          <w:sz w:val="22"/>
          <w:szCs w:val="22"/>
        </w:rPr>
        <w:t xml:space="preserve"> THE MINUS ONE UNIVERSE's non-standard physical law provides a natural experimental context for testing a question that the primary simulation cannot address: is the tridactyl performance advantage (or disadvantage, if the primary hypotheses are disconfirmed) a function of specific physical constants and laws, or is it a more general property of the morphological architecture? Layer 2 physics tests can be rerun under THE MINUS ONE UNIVERSE's alternate physical parameter set — for example, under conditions where contact force distribution follows an inverted entropy relationship, or where joint stiffness constants are negated — to determine whether the tridactyl-vs-pentadactyl relationship inverts, amplifies, or is invariant under physical-law perturbation.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Specific inversion questions include: Does tendon-enslaving become advantageous in environments that reward coupled-digit force (e.g., high-viscosity manipulation tasks where independent digit control produces disadvantageous force cancellation)? Does lower joint count become a liability in environments with higher ambient degrees-of-freedom requirement (e.g., environments where manipulation surfaces have continuous curvature requiring constant joint-configuration adaptation)? THE MINUS ONE UNIVERSE's physics provide a natural laboratory for these questions without requiring additional simulation infrastructure beyond the Layer 2 setup.</w:t>
      </w:r>
    </w:p>
    <w:p>
      <w:pPr>
        <w:spacing w:after="240" w:before="60" w:line="360" w:lineRule="auto"/>
      </w:pPr>
      <w:r>
        <w:rPr>
          <w:rFonts w:ascii="Calibri" w:cs="Calibri" w:eastAsia="Calibri" w:hAnsi="Calibri"/>
          <w:b/>
          <w:bCs/>
          <w:i w:val="false"/>
          <w:iCs w:val="false"/>
          <w:strike w:val="false"/>
          <w:color w:val="000000"/>
          <w:sz w:val="22"/>
          <w:szCs w:val="22"/>
        </w:rPr>
        <w:t xml:space="preserve">Canonical Design Marker for MINUS ONE Universe Characters:</w:t>
      </w:r>
      <w:r>
        <w:rPr>
          <w:rFonts w:ascii="Calibri" w:cs="Calibri" w:eastAsia="Calibri" w:hAnsi="Calibri"/>
          <w:b w:val="false"/>
          <w:bCs w:val="false"/>
          <w:i w:val="false"/>
          <w:iCs w:val="false"/>
          <w:strike w:val="false"/>
          <w:color w:val="000000"/>
          <w:sz w:val="22"/>
          <w:szCs w:val="22"/>
        </w:rPr>
        <w:t xml:space="preserve"> Characters and entities canonical to THE MINUS ONE UNIVERSE can adopt tridactyl morphology as a deliberate and documented design marker, visually and biologically distinguishing MINUS ONE entities from their ONE UNIVERSE counterparts. This distinction is grounded in the inversion-testbed findings: if tridactyl morphology proves to be specifically advantageous under MINUS ONE physical laws but not under ONE UNIVERSE physics, the design choice has in-world scientific justification. If the relationship is symmetric across both physics sets, the morphology serves as a pure design marker with documented physical-law invariance as its justification.</w:t>
      </w:r>
    </w:p>
    <w:p>
      <w:pPr>
        <w:pStyle w:val="Heading1"/>
        <w:spacing w:after="100" w:before="480" w:line="312" w:lineRule="auto"/>
      </w:pPr>
      <w:r>
        <w:rPr>
          <w:rFonts w:ascii="Calibri" w:cs="Calibri" w:eastAsia="Calibri" w:hAnsi="Calibri"/>
          <w:color w:val="0D2B6B"/>
          <w:sz w:val="44"/>
          <w:szCs w:val="44"/>
        </w:rPr>
        <w:t xml:space="preserve">§8   Real-World Implications</w:t>
      </w:r>
    </w:p>
    <w:p>
      <w:pPr>
        <w:pBdr>
          <w:top w:val="single" w:color="0D2B6B" w:sz="6"/>
        </w:pBdr>
        <w:spacing w:after="200" w:before="0"/>
      </w:pPr>
    </w:p>
    <w:p>
      <w:pPr>
        <w:pStyle w:val="Heading2"/>
        <w:spacing w:after="120" w:before="360" w:line="312" w:lineRule="auto"/>
      </w:pPr>
      <w:r>
        <w:rPr>
          <w:rFonts w:ascii="Calibri" w:cs="Calibri" w:eastAsia="Calibri" w:hAnsi="Calibri"/>
          <w:color w:val="1A3A7A"/>
          <w:sz w:val="30"/>
          <w:szCs w:val="30"/>
        </w:rPr>
        <w:t xml:space="preserve">8.1 Prosthetics &amp; Rehabilitation Engineering</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translational pathway from OAL simulation findings to prosthetic hand design is direct and near-term. Current state-of-the-art upper-limb prosthetics face an engineering trade-off between digit count (which correlates with functional capability) and mechanical complexity (which correlates with weight, cost, failure rate, and maintenance burden). Five-digit myoelectric prosthetic hands are mechanically complex and expensive; two-digit split-hook designs are simple but limited in functional repertoire. Three-digit prosthetic designs exist commercially (the Michelangelo Hand by Ottobock, the i-Limb Pulse) but are designed as simplified versions of five-digit anatomy rather than as purpose-optimized three-digit architectures.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OAL's Layer 2 and Layer 3 findings — specifically the contact-force distribution data, grip-stability results, and RL control efficiency metrics — constitute a simulation-validated design specification for a purpose-optimized tridactyl prosthetic hand. A three-digit prosthetic designed around the OAL-validated morphology (independent actuator pathways, optimized digit length ratios, validated joint angle ranges) may achieve superior task performance at lower mechanical and computational cost than existing three-digit prosthetic designs that inherit their architecture from five-digit assumptions. The Layer 3 findings on reduced DoF control overhead have direct clinical relevance: lower-complexity control policies are more learnable by prosthetic users, reducing training time and improving adoption rates.</w:t>
      </w:r>
    </w:p>
    <w:p>
      <w:pPr>
        <w:pStyle w:val="Heading2"/>
        <w:spacing w:after="120" w:before="360" w:line="312" w:lineRule="auto"/>
      </w:pPr>
      <w:r>
        <w:rPr>
          <w:rFonts w:ascii="Calibri" w:cs="Calibri" w:eastAsia="Calibri" w:hAnsi="Calibri"/>
          <w:color w:val="1A3A7A"/>
          <w:sz w:val="30"/>
          <w:szCs w:val="30"/>
        </w:rPr>
        <w:t xml:space="preserve">8.2 Robotics &amp; Industrial Automation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Three-digit robotic end-effectors with varying degrees of digit independence are commercially available and widely deployed in industrial automation. The Robotiq 3-Finger Adaptive Gripper, the Festo DHDG, and several research platforms represent the current state of the art. Existing commercial three-digit grippers are designed primarily for adaptive grasping in structured environments, not for dexterous in-hand manipulation or precision task performance in morphology-neutral settings.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OAL simulation findings can validate, challenge, or extend the existing commercial and academic literature on three-digit robotic hand performance, providing an independently derived, simulation-grounded empirical dataset that is directly comparable to existing benchmarks. Specifically: Layer 2 contact-force and grip-stability data can be compared with published grasping benchmark results for commercial three-digit grippers; Layer 3 RL training efficiency data can be compared with published learning results for five-digit robotic hand control; and Layer 1 morphological attractor analysis can inform next-generation three-digit gripper design by identifying the optimal digit length ratios, opposition angles, and joint-range specifications from first principles rather than from human anatomy analogy.</w:t>
      </w:r>
    </w:p>
    <w:p>
      <w:pPr>
        <w:pStyle w:val="Heading2"/>
        <w:spacing w:after="120" w:before="360" w:line="312" w:lineRule="auto"/>
      </w:pPr>
      <w:r>
        <w:rPr>
          <w:rFonts w:ascii="Calibri" w:cs="Calibri" w:eastAsia="Calibri" w:hAnsi="Calibri"/>
          <w:color w:val="1A3A7A"/>
          <w:sz w:val="30"/>
          <w:szCs w:val="30"/>
        </w:rPr>
        <w:t xml:space="preserve">8.3 Human-Computer Interaction &amp; Interface Design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Layer 3 gesture vocabulary elicitation task (Task 12 in the task battery, §5.4) directly addresses the question of whether a tridactyl gesture vocabulary is sufficient for natural-language-scale communicative purposes. If the Layer 3 results demonstrate that a three-digit system can produce a sufficiently large, discriminable gesture vocabulary (the threshold for natural-language-scale communication is estimated at approximately 200–300 distinct gestures in established gesture-communication research), then tridactyl gesture recognition systems become relevant for HCI applications.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three-digit hand tracking system — whether deployed on a human prosthetic user, a robotic avatar, or a virtual tridactyl character in AR/VR — requires less sensor resolution, fewer skeletal solver nodes, and a simpler gesture-recognition model than a five-digit system. If the gesture vocabulary is sufficiently rich, tridactyl HCI interfaces offer a practical near-term accessibility and efficiency advantage in contexts where full hand tracking is unreliable or expensive: glove-based interfaces, RGB-only hand tracking (no depth sensor), and low-power wearable computing environments.</w:t>
      </w:r>
    </w:p>
    <w:p>
      <w:pPr>
        <w:pStyle w:val="Heading2"/>
        <w:spacing w:after="120" w:before="360" w:line="312" w:lineRule="auto"/>
      </w:pPr>
      <w:r>
        <w:rPr>
          <w:rFonts w:ascii="Calibri" w:cs="Calibri" w:eastAsia="Calibri" w:hAnsi="Calibri"/>
          <w:color w:val="1A3A7A"/>
          <w:sz w:val="30"/>
          <w:szCs w:val="30"/>
        </w:rPr>
        <w:t xml:space="preserve">8.4 Generative AI Media Production (Primary Commercial Application)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primary near-term commercial application of this research program is in generative AI media production pipelines. Layer 4–5 findings — specifically the topology defect rate, inter-frame joint displacement RMSE, and Session Continuity Defect Rate results — have immediate, direct commercial value for any studio, platform, or developer using generative AI for character animation, video generation, or image synthesis.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If H4 is confirmed: a validated tridactyl conditioning protocol and rig specification, shown to reduce topology defect rates relative to pentadactyl conditioning, reduces post-production correction costs for AI-generated media featuring tridactyl characters. The magnitude of the cost reduction scales with the frequency of hand-visible shots in the production and the current correction cost per defect. For productions that rely heavily on generative AI for character close-ups, even a 30–50% reduction in hand-defect rate (a conservative expectation if H4 is confirmed) translates to material cost savings and throughput improvement.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If H4 is disconfirmed: the negative result is equally valuable — it establishes that the hand-coherence problem is not reducible to digit count, and directs future pipeline research toward other architectural solutions (explicit skeletal tracking, diffusion conditioning on skeletal state, or post-processing topology correction).</w:t>
      </w:r>
    </w:p>
    <w:p>
      <w:pPr>
        <w:pStyle w:val="Heading2"/>
        <w:spacing w:after="120" w:before="360" w:line="312" w:lineRule="auto"/>
      </w:pPr>
      <w:r>
        <w:rPr>
          <w:rFonts w:ascii="Calibri" w:cs="Calibri" w:eastAsia="Calibri" w:hAnsi="Calibri"/>
          <w:color w:val="1A3A7A"/>
          <w:sz w:val="30"/>
          <w:szCs w:val="30"/>
        </w:rPr>
        <w:t xml:space="preserve">8.5 Cognitive Science &amp; Embodied Cognition</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Layer 3 cognitive architecture findings contribute to a theoretical question in embodied cognition research: what is the relationship between manipulator morphology and cognitive architecture? A tridactyl population (treated as a thought experiment and a simulation finding, not a biological claim) would likely develop cognitive schemas, artifact schemas, and communication systems that differ systematically from pentadactyl populations in ways that are traceable to the morphological differences in their manipulation apparatus.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Specific predictions include: tridactyl populations would naturally develop base-3 or base-6 numeral systems (three digits per hand; six digits across both hands) rather than base-10; tridactyl gesture vocabularies would exhibit different distributional properties than pentadactyl vocabularies (fewer opposition-grip gestures, more whole-hand orientation gestures); and tridactyl tool affordance schemas would be structured around three-point contact geometries rather than five-point grasps. Layer 3 gesture vocabulary elicitation data provides empirical simulation-grounded input for these theoretical arguments, contributing to the embodied cognition literature on the morphology-cognition relationship.</w:t>
      </w:r>
    </w:p>
    <w:p>
      <w:pPr>
        <w:pStyle w:val="Heading2"/>
        <w:spacing w:after="120" w:before="360" w:line="312" w:lineRule="auto"/>
      </w:pPr>
      <w:r>
        <w:rPr>
          <w:rFonts w:ascii="Calibri" w:cs="Calibri" w:eastAsia="Calibri" w:hAnsi="Calibri"/>
          <w:color w:val="1A3A7A"/>
          <w:sz w:val="30"/>
          <w:szCs w:val="30"/>
        </w:rPr>
        <w:t xml:space="preserve">8.6 Virtual Reality &amp; Mixed Reality</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Hand tracking in VR and MR environments is one of the most computationally demanding and latency-sensitive components of real-time immersive experience. Current state-of-the-art inside-out hand tracking systems (using on-HMD cameras without external sensors) routinely exhibit tracking latency, joint-position jitter, and tracking loss under self-occlusion conditions. All three failure modes are structurally related to hand complexity: more joints, more digits, and more self-occlusion events produce higher tracking computation load, higher jitter amplitude, and more frequent tracking loss.</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A tridactyl hand tracking scenario — whether for a human user wearing a three-digit haptic glove, a robotic avatar operated in MR, or a virtual tridactyl character — involves fewer joints to solve, a simpler skeletal graph, and lower self-occlusion probability. Layer 5 VR/MR interaction fidelity testing (HMD hand-tracking stability score, joint jitter amplitude, tracking loss rate) will produce the first quantitative dataset on tridactyl hand tracking performance under standardized conditions. If the tracking stability advantage is confirmed, the finding has immediate practical application for next-generation HMD hand-tracking system design — independent of whether the broader tridactyl hypothesis is confirmed.</w:t>
      </w:r>
    </w:p>
    <w:p>
      <w:pPr>
        <w:pStyle w:val="Heading1"/>
        <w:spacing w:after="100" w:before="480" w:line="312" w:lineRule="auto"/>
      </w:pPr>
      <w:r>
        <w:rPr>
          <w:rFonts w:ascii="Calibri" w:cs="Calibri" w:eastAsia="Calibri" w:hAnsi="Calibri"/>
          <w:color w:val="0D2B6B"/>
          <w:sz w:val="44"/>
          <w:szCs w:val="44"/>
        </w:rPr>
        <w:t xml:space="preserve">§9   Copilot Differentiation Note — Multi-AI Working Group Context</w:t>
      </w:r>
    </w:p>
    <w:p>
      <w:pPr>
        <w:pBdr>
          <w:top w:val="single" w:color="0D2B6B" w:sz="6"/>
        </w:pBd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Nathan Lewis II (Architect of Record, OAL) specifically requested that each AI participant in the OAL Multi-AI Working Group produce an independent version of the tridactyl research design framework, rather than converge on a single shared draft. This design choice reflects a sound epistemic principle: independent analysis by differently-oriented contributors surfaces a wider range of framings, methods, and concerns than a single collaborative draft would produce — and the differences between independent drafts are often as informative as the areas of agreement.</w:t>
      </w: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The following table summarizes each AI contributor's independent lane and primary framing, as understood by Copilot from the working group context. This table does not draw on, synthesize, or incorporate the content of the other drafts. It represents Copilot's own characterization of the differentiated lanes as described in the working group charge from Nathan Lewis II.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1A3A7A"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Document ID</w:t>
            </w:r>
          </w:p>
        </w:tc>
        <w:tc>
          <w:tcPr>
            <w:tcW w:type="pct" w:w="15%"/>
            <w:shd w:fill="1A3A7A"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AI Contributor</w:t>
            </w:r>
          </w:p>
        </w:tc>
        <w:tc>
          <w:tcPr>
            <w:tcW w:type="pct" w:w="30%"/>
            <w:shd w:fill="1A3A7A"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Independent Lane</w:t>
            </w:r>
          </w:p>
        </w:tc>
        <w:tc>
          <w:tcPr>
            <w:tcW w:type="pct" w:w="41%"/>
            <w:shd w:fill="1A3A7A"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Primary Framing</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OAL v1.0</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ChatGPT</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Morphology, controller, evolutionary search, virtual-production benchmarks</w:t>
            </w:r>
          </w:p>
        </w:tc>
        <w:tc>
          <w:tcPr>
            <w:tcW w:type="pct" w:w="4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Four-layer experimental architecture; architecture question</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OAL-SL-TDA-1.0.0</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Grok</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Tridactyl vs. pentadactyl comparative analysis</w:t>
            </w:r>
          </w:p>
        </w:tc>
        <w:tc>
          <w:tcPr>
            <w:tcW w:type="pct" w:w="4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Dexterity, control, and virtual-coherence domain comparison; governing constraints emphasis</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OAL-SIMLAB-TDS-C-001</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Claude</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Claim provenance and drift tracking</w:t>
            </w:r>
          </w:p>
        </w:tc>
        <w:tc>
          <w:tcPr>
            <w:tcW w:type="pct" w:w="4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Evidentiary-status ledger; establishes what is claimed vs. assumed vs. speculative before designing the simulation</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TAMEL-1</w:t>
            </w:r>
          </w:p>
        </w:tc>
        <w:tc>
          <w:tcPr>
            <w:tcW w:type="pct" w:w="15%"/>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Perplexity</w:t>
            </w:r>
          </w:p>
        </w:tc>
        <w:tc>
          <w:tcPr>
            <w:tcW w:type="pct" w:w="30%"/>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Terminology correction and initial morphology specification</w:t>
            </w:r>
          </w:p>
        </w:tc>
        <w:tc>
          <w:tcPr>
            <w:tcW w:type="pct" w:w="41%"/>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Definitional precision; morphology parameter space grounding</w:t>
            </w:r>
          </w:p>
        </w:tc>
      </w:tr>
      <w:tr>
        <w:trPr>
          <w:tblHeader w:val="false"/>
        </w:trPr>
        <w:tc>
          <w:tcPr>
            <w:tcW w:type="pct" w:w="14%"/>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OAL-SL-TDA-COP-1.0</w:t>
            </w:r>
          </w:p>
        </w:tc>
        <w:tc>
          <w:tcPr>
            <w:tcW w:type="pct" w:w="15%"/>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Copilot (this document)</w:t>
            </w:r>
          </w:p>
        </w:tc>
        <w:tc>
          <w:tcPr>
            <w:tcW w:type="pct" w:w="30%"/>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Full pipeline systems integration — evolutionary simulation through deployment</w:t>
            </w:r>
          </w:p>
        </w:tc>
        <w:tc>
          <w:tcPr>
            <w:tcW w:type="pct" w:w="41%"/>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Representation coherence problem as primary research motivator; Five-Layer Stack; end-to-end pipeline coherence testing</w:t>
            </w:r>
          </w:p>
        </w:tc>
      </w:tr>
    </w:tbl>
    <w:p>
      <w:pPr>
        <w:spacing w:after="200" w:before="0"/>
      </w:pPr>
    </w:p>
    <w:p>
      <w:pPr>
        <w:spacing w:after="240" w:before="60" w:line="360" w:lineRule="auto"/>
      </w:pPr>
      <w:r>
        <w:rPr>
          <w:rFonts w:ascii="Calibri" w:cs="Calibri" w:eastAsia="Calibri" w:hAnsi="Calibri"/>
          <w:b w:val="false"/>
          <w:bCs w:val="false"/>
          <w:i w:val="false"/>
          <w:iCs w:val="false"/>
          <w:strike w:val="false"/>
          <w:color w:val="000000"/>
          <w:sz w:val="22"/>
          <w:szCs w:val="22"/>
        </w:rPr>
        <w:t xml:space="preserve">Copilot's contribution is differentiated from the other four in two specific respects that are worth making explicit:</w:t>
      </w:r>
    </w:p>
    <w:p>
      <w:pPr>
        <w:spacing w:after="240" w:before="60" w:line="360" w:lineRule="auto"/>
      </w:pPr>
      <w:r>
        <w:rPr>
          <w:rFonts w:ascii="Calibri" w:cs="Calibri" w:eastAsia="Calibri" w:hAnsi="Calibri"/>
          <w:b/>
          <w:bCs/>
          <w:i w:val="false"/>
          <w:iCs w:val="false"/>
          <w:strike w:val="false"/>
          <w:color w:val="000000"/>
          <w:sz w:val="22"/>
          <w:szCs w:val="22"/>
        </w:rPr>
        <w:t xml:space="preserve">First, representation coherence is treated as a first-class research objective, not a downstream application.</w:t>
      </w:r>
      <w:r>
        <w:rPr>
          <w:rFonts w:ascii="Calibri" w:cs="Calibri" w:eastAsia="Calibri" w:hAnsi="Calibri"/>
          <w:b w:val="false"/>
          <w:bCs w:val="false"/>
          <w:i w:val="false"/>
          <w:iCs w:val="false"/>
          <w:strike w:val="false"/>
          <w:color w:val="000000"/>
          <w:sz w:val="22"/>
          <w:szCs w:val="22"/>
        </w:rPr>
        <w:t xml:space="preserve"> In Copilot's framing, the generative AI hand-coherence problem (§2) is the primary motivating problem for this entire research program — stated explicitly as the engineering failure that Nathan Lewis II identified as the original driver. The tridactyl morphology hypothesis is proposed as a potential engineering solution to that specific problem, evaluated through a pipeline that makes the coherence question testable at every layer. This is distinct from framings that treat the hand-coherence application as a beneficial consequence of biomechanical findings.</w:t>
      </w:r>
    </w:p>
    <w:p>
      <w:pPr>
        <w:spacing w:after="240" w:before="60" w:line="360" w:lineRule="auto"/>
      </w:pPr>
      <w:r>
        <w:rPr>
          <w:rFonts w:ascii="Calibri" w:cs="Calibri" w:eastAsia="Calibri" w:hAnsi="Calibri"/>
          <w:b/>
          <w:bCs/>
          <w:i w:val="false"/>
          <w:iCs w:val="false"/>
          <w:strike w:val="false"/>
          <w:color w:val="000000"/>
          <w:sz w:val="22"/>
          <w:szCs w:val="22"/>
        </w:rPr>
        <w:t xml:space="preserve">Second, the Five-Layer Stack architecture is designed for production pipeline relevance, not only for scientific publication.</w:t>
      </w:r>
      <w:r>
        <w:rPr>
          <w:rFonts w:ascii="Calibri" w:cs="Calibri" w:eastAsia="Calibri" w:hAnsi="Calibri"/>
          <w:b w:val="false"/>
          <w:bCs w:val="false"/>
          <w:i w:val="false"/>
          <w:iCs w:val="false"/>
          <w:strike w:val="false"/>
          <w:color w:val="000000"/>
          <w:sz w:val="22"/>
          <w:szCs w:val="22"/>
        </w:rPr>
        <w:t xml:space="preserve"> Every layer in Copilot's stack produces artifacts that are directly usable in OAL's production infrastructure (validated morphology specifications, physics parameters, rig files, conditioning protocols, deployment benchmarks) — not only findings. The research design is structured to ensure that even a v1.0 pilot run at Layers 1–2 produces usable production assets, not only publishable results. This reflects the systems-integration orientation of Copilot's lane: the goal is a working pipeline, not only a validated hypothesis.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2B6B" w:sz="6"/>
              <w:left w:val="single" w:color="0D2B6B" w:sz="6"/>
              <w:bottom w:val="single" w:color="0D2B6B" w:sz="6"/>
              <w:right w:val="single" w:color="0D2B6B" w:sz="6"/>
            </w:tcBorders>
            <w:shd w:fill="F5F5F5" w:color="auto" w:val="clear"/>
            <w:tcMar>
              <w:top w:type="dxa" w:w="150"/>
              <w:left w:type="dxa" w:w="210"/>
              <w:bottom w:type="dxa" w:w="150"/>
              <w:right w:type="dxa" w:w="210"/>
            </w:tcMar>
          </w:tcPr>
          <w:p>
            <w:pPr>
              <w:spacing w:after="120" w:line="408" w:lineRule="auto"/>
            </w:pPr>
            <w:r>
              <w:rPr>
                <w:b/>
                <w:bCs/>
                <w:i w:val="false"/>
                <w:iCs w:val="false"/>
                <w:color w:val="333333"/>
              </w:rPr>
              <w:t xml:space="preserve">Consolidation Recommendation</w:t>
            </w:r>
          </w:p>
          <w:p>
            <w:pPr>
              <w:spacing w:after="140" w:line="360" w:lineRule="auto"/>
            </w:pPr>
            <w:r>
              <w:rPr>
                <w:rFonts w:ascii="Calibri" w:cs="Calibri" w:eastAsia="Calibri" w:hAnsi="Calibri"/>
                <w:b w:val="false"/>
                <w:bCs w:val="false"/>
                <w:i w:val="false"/>
                <w:iCs w:val="false"/>
                <w:strike w:val="false"/>
                <w:color w:val="000000"/>
                <w:sz w:val="22"/>
                <w:szCs w:val="22"/>
              </w:rPr>
              <w:t xml:space="preserve">Consolidation of all five independent AI contributions into a unified research framework document is recommended at </w:t>
            </w:r>
            <w:r>
              <w:rPr>
                <w:rFonts w:ascii="Calibri" w:cs="Calibri" w:eastAsia="Calibri" w:hAnsi="Calibri"/>
                <w:b/>
                <w:bCs/>
                <w:i w:val="false"/>
                <w:iCs w:val="false"/>
                <w:strike w:val="false"/>
                <w:color w:val="000000"/>
                <w:sz w:val="22"/>
                <w:szCs w:val="22"/>
              </w:rPr>
              <w:t xml:space="preserve">v2.0</w:t>
            </w:r>
            <w:r>
              <w:rPr>
                <w:rFonts w:ascii="Calibri" w:cs="Calibri" w:eastAsia="Calibri" w:hAnsi="Calibri"/>
                <w:b w:val="false"/>
                <w:bCs w:val="false"/>
                <w:i w:val="false"/>
                <w:iCs w:val="false"/>
                <w:strike w:val="false"/>
                <w:color w:val="000000"/>
                <w:sz w:val="22"/>
                <w:szCs w:val="22"/>
              </w:rPr>
              <w:t xml:space="preserve">, following completion of Layer 1–2 pilot runs and formal preregistration. All five independent AI versions should be retained as appendices in the consolidated document, preserving the full independent contribution record. The consolidation process should be governed by Nathan Lewis II as Architect of Record, with each AI contributor given the opportunity to flag disagreements with the consolidated framing before finalization.</w:t>
            </w:r>
          </w:p>
        </w:tc>
      </w:tr>
    </w:tbl>
    <w:p>
      <w:pPr>
        <w:spacing w:after="240" w:before="0"/>
      </w:pPr>
    </w:p>
    <w:p>
      <w:pPr>
        <w:pStyle w:val="Heading1"/>
        <w:spacing w:after="100" w:before="480" w:line="312" w:lineRule="auto"/>
      </w:pPr>
      <w:r>
        <w:rPr>
          <w:rFonts w:ascii="Calibri" w:cs="Calibri" w:eastAsia="Calibri" w:hAnsi="Calibri"/>
          <w:color w:val="0D2B6B"/>
          <w:sz w:val="44"/>
          <w:szCs w:val="44"/>
        </w:rPr>
        <w:t xml:space="preserve">§10   Change Log &amp; Versioning</w:t>
      </w:r>
    </w:p>
    <w:p>
      <w:pPr>
        <w:pBdr>
          <w:top w:val="single" w:color="0D2B6B"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0D2B6B"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Version</w:t>
            </w:r>
          </w:p>
        </w:tc>
        <w:tc>
          <w:tcPr>
            <w:tcW w:type="pct" w:w="9%"/>
            <w:shd w:fill="0D2B6B"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Date</w:t>
            </w:r>
          </w:p>
        </w:tc>
        <w:tc>
          <w:tcPr>
            <w:tcW w:type="pct" w:w="12%"/>
            <w:shd w:fill="0D2B6B"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Author</w:t>
            </w:r>
          </w:p>
        </w:tc>
        <w:tc>
          <w:tcPr>
            <w:tcW w:type="pct" w:w="59%"/>
            <w:shd w:fill="0D2B6B"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Change Summary</w:t>
            </w:r>
          </w:p>
        </w:tc>
        <w:tc>
          <w:tcPr>
            <w:tcW w:type="pct" w:w="12%"/>
            <w:shd w:fill="0D2B6B" w:color="auto" w:val="clear"/>
            <w:tcMar>
              <w:top w:type="dxa" w:w="105"/>
              <w:left w:type="dxa" w:w="135"/>
              <w:bottom w:type="dxa" w:w="105"/>
              <w:right w:type="dxa" w:w="135"/>
            </w:tcMar>
          </w:tcPr>
          <w:p>
            <w:r>
              <w:rPr>
                <w:rFonts w:ascii="Calibri" w:cs="Calibri" w:eastAsia="Calibri" w:hAnsi="Calibri"/>
                <w:b/>
                <w:bCs/>
                <w:i w:val="false"/>
                <w:iCs w:val="false"/>
                <w:strike w:val="false"/>
                <w:color w:val="0D2B6B"/>
                <w:sz w:val="20"/>
                <w:szCs w:val="20"/>
              </w:rPr>
              <w:t xml:space="preserve">Status</w:t>
            </w:r>
          </w:p>
        </w:tc>
      </w:tr>
      <w:tr>
        <w:trPr>
          <w:tblHeader w:val="false"/>
        </w:trPr>
        <w:tc>
          <w:tcPr>
            <w:tcW w:type="pct" w:w="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v1.0</w:t>
            </w:r>
          </w:p>
        </w:tc>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September 21, 2026</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Copilot (Microsoft)</w:t>
            </w:r>
          </w:p>
        </w:tc>
        <w:tc>
          <w:tcPr>
            <w:tcW w:type="pct" w:w="5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Initial independent draft. Copilot instrument. Systems Integration &amp; Representation Coherence lane. All five research layers (Five-Layer Stack) specified in full. Six formal hypotheses (H1–H6) stated and operationalized. Methodology specified including morphology-control co-design principle, morphology-neutral environment standard, 12-task battery, two-tier metrics framework, and versioning gate. Institutional applications drafted for OAL, ONE INDUSTRIES, LEWIS CORP, Simulated Environments (General), THE ONE UNIVERSE, and THE MINUS ONE UNIVERSE. Real-world implications drafted across six domains. Copilot differentiation note included. Change log initialized.</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Active — Circulated for multi-AI review</w:t>
            </w:r>
          </w:p>
        </w:tc>
      </w:tr>
      <w:tr>
        <w:trPr>
          <w:tblHeader w:val="false"/>
        </w:trPr>
        <w:tc>
          <w:tcPr>
            <w:tcW w:type="pct" w:w="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v1.1</w:t>
            </w:r>
          </w:p>
        </w:tc>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TBD</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Copilot (Microsoft) + Nathan Lewis II (AOR review)</w:t>
            </w:r>
          </w:p>
        </w:tc>
        <w:tc>
          <w:tcPr>
            <w:tcW w:type="pct" w:w="5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Post-stakeholder review update. Expected changes: task battery weighting adjustments based on OAL feedback; success gate threshold definitions refined for H2 (parity criterion may be adjusted from 90%); Layer 4 generative model fine-tuning protocol specified in greater technical detail; SCDR metric definition formalized with OAL production team input; any terminology or scope corrections from companion AI draft review process incorporated.</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Planned — Pending OAL stakeholder review</w:t>
            </w:r>
          </w:p>
        </w:tc>
      </w:tr>
      <w:tr>
        <w:trPr>
          <w:tblHeader w:val="false"/>
        </w:trPr>
        <w:tc>
          <w:tcPr>
            <w:tcW w:type="pct" w:w="8%"/>
            <w:tcMar>
              <w:top w:type="dxa" w:w="105"/>
              <w:left w:type="dxa" w:w="135"/>
              <w:bottom w:type="dxa" w:w="105"/>
              <w:right w:type="dxa" w:w="135"/>
            </w:tcMar>
          </w:tcPr>
          <w:p>
            <w:r>
              <w:rPr>
                <w:rFonts w:ascii="Calibri" w:cs="Calibri" w:eastAsia="Calibri" w:hAnsi="Calibri"/>
                <w:b/>
                <w:bCs/>
                <w:i w:val="false"/>
                <w:iCs w:val="false"/>
                <w:strike w:val="false"/>
                <w:color w:val="000000"/>
                <w:sz w:val="22"/>
                <w:szCs w:val="22"/>
              </w:rPr>
              <w:t xml:space="preserve">v2.0</w:t>
            </w:r>
          </w:p>
        </w:tc>
        <w:tc>
          <w:tcPr>
            <w:tcW w:type="pct" w:w="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TBD</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Copilot (Microsoft) + OAL Multi-AI Working Group</w:t>
            </w:r>
          </w:p>
        </w:tc>
        <w:tc>
          <w:tcPr>
            <w:tcW w:type="pct" w:w="59%"/>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Post-pilot results and preregistration update. Expected changes: empirical findings from Layer 1–2 pilot runs incorporated; formal preregistration document linked; consolidation with companion AI drafts initiated; all five independent AI versions archived as appendices; Layer 3 detailed design specification added based on Layer 1–2 findings; infrastructure requirements specification for standing Tridactyl Simulation Lab deployment added; any hypothesis revisions required by pilot findings implemented with full rationale documentation.</w:t>
            </w:r>
          </w:p>
        </w:tc>
        <w:tc>
          <w:tcPr>
            <w:tcW w:type="pct" w:w="12%"/>
            <w:tcMar>
              <w:top w:type="dxa" w:w="105"/>
              <w:left w:type="dxa" w:w="135"/>
              <w:bottom w:type="dxa" w:w="105"/>
              <w:right w:type="dxa" w:w="135"/>
            </w:tcMar>
          </w:tcPr>
          <w:p>
            <w:r>
              <w:rPr>
                <w:rFonts w:ascii="Calibri" w:cs="Calibri" w:eastAsia="Calibri" w:hAnsi="Calibri"/>
                <w:b w:val="false"/>
                <w:bCs w:val="false"/>
                <w:i w:val="false"/>
                <w:iCs w:val="false"/>
                <w:strike w:val="false"/>
                <w:color w:val="000000"/>
                <w:sz w:val="20"/>
                <w:szCs w:val="20"/>
              </w:rPr>
              <w:t xml:space="preserve">Planned — Pending Layer 1–2 pilot completion</w:t>
            </w:r>
          </w:p>
        </w:tc>
      </w:tr>
    </w:tbl>
    <w:p>
      <w:pPr>
        <w:spacing w:after="200" w:before="0"/>
      </w:pPr>
    </w:p>
    <w:p>
      <w:pPr>
        <w:pBdr>
          <w:bottom w:val="single" w:color="AAAAAA" w:sz="6"/>
        </w:pBdr>
        <w:spacing w:after="240" w:before="240"/>
      </w:pPr>
    </w:p>
    <w:p>
      <w:pPr>
        <w:spacing w:after="80" w:before="60" w:line="360" w:lineRule="auto"/>
      </w:pPr>
      <w:r>
        <w:rPr>
          <w:rFonts w:ascii="Calibri" w:cs="Calibri" w:eastAsia="Calibri" w:hAnsi="Calibri"/>
          <w:b/>
          <w:bCs/>
          <w:i w:val="false"/>
          <w:iCs w:val="false"/>
          <w:strike w:val="false"/>
          <w:color w:val="000000"/>
          <w:sz w:val="22"/>
          <w:szCs w:val="22"/>
        </w:rPr>
        <w:t xml:space="preserve">Dissent and Independence Notice:</w:t>
      </w:r>
      <w:r>
        <w:rPr>
          <w:rFonts w:ascii="Calibri" w:cs="Calibri" w:eastAsia="Calibri" w:hAnsi="Calibri"/>
          <w:b w:val="false"/>
          <w:bCs w:val="false"/>
          <w:i w:val="false"/>
          <w:iCs w:val="false"/>
          <w:strike w:val="false"/>
          <w:color w:val="555555"/>
          <w:sz w:val="22"/>
          <w:szCs w:val="22"/>
        </w:rPr>
        <w:t xml:space="preserve"> This document represents Copilot's independent analytical contribution to the OAL Multi-AI Working Group. All framings, hypotheses, architectural decisions, and recommendations reflect Copilot's independent analysis. Where this document's positions differ from those of companion AI drafts, those differences are intentional, documented, and retained. Dissent is a feature of the multi-AI independent-draft methodology, not an artifact to be resolved before this document is distributed.</w:t>
      </w:r>
    </w:p>
    <w:p>
      <w:pPr>
        <w:spacing w:after="80" w:before="60" w:line="360" w:lineRule="auto"/>
      </w:pPr>
      <w:r>
        <w:rPr>
          <w:rFonts w:ascii="Calibri" w:cs="Calibri" w:eastAsia="Calibri" w:hAnsi="Calibri"/>
          <w:b/>
          <w:bCs/>
          <w:i w:val="false"/>
          <w:iCs w:val="false"/>
          <w:strike w:val="false"/>
          <w:color w:val="000000"/>
          <w:sz w:val="22"/>
          <w:szCs w:val="22"/>
        </w:rPr>
        <w:t xml:space="preserve">Not Consolidated Canon:</w:t>
      </w:r>
      <w:r>
        <w:rPr>
          <w:rFonts w:ascii="Calibri" w:cs="Calibri" w:eastAsia="Calibri" w:hAnsi="Calibri"/>
          <w:b w:val="false"/>
          <w:bCs w:val="false"/>
          <w:i w:val="false"/>
          <w:iCs w:val="false"/>
          <w:strike w:val="false"/>
          <w:color w:val="555555"/>
          <w:sz w:val="22"/>
          <w:szCs w:val="22"/>
        </w:rPr>
        <w:t xml:space="preserve"> This document does not represent OAL official policy, consolidated scientific consensus, or the final position of the OAL Multi-AI Working Group. It is an independent instrument, one of five, in an active multi-draft research design process.</w:t>
      </w:r>
    </w:p>
    <w:p>
      <w:pPr>
        <w:spacing w:after="240" w:before="60" w:line="360" w:lineRule="auto"/>
      </w:pPr>
      <w:r>
        <w:rPr>
          <w:rFonts w:ascii="Calibri" w:cs="Calibri" w:eastAsia="Calibri" w:hAnsi="Calibri"/>
          <w:b/>
          <w:bCs/>
          <w:i w:val="false"/>
          <w:iCs w:val="false"/>
          <w:strike w:val="false"/>
          <w:color w:val="000000"/>
          <w:sz w:val="22"/>
          <w:szCs w:val="22"/>
        </w:rPr>
        <w:t xml:space="preserve">Not a Biological Claim:</w:t>
      </w:r>
      <w:r>
        <w:rPr>
          <w:rFonts w:ascii="Calibri" w:cs="Calibri" w:eastAsia="Calibri" w:hAnsi="Calibri"/>
          <w:b w:val="false"/>
          <w:bCs w:val="false"/>
          <w:i w:val="false"/>
          <w:iCs w:val="false"/>
          <w:strike w:val="false"/>
          <w:color w:val="555555"/>
          <w:sz w:val="22"/>
          <w:szCs w:val="22"/>
        </w:rPr>
        <w:t xml:space="preserve"> Nothing in this document constitutes a claim about the anatomy, evolution, development, or neuroscience of Homo sapiens or any other biological organism. All claims are about purpose-designed simulated architectures in the OAL Simulation Lab environment.</w:t>
      </w:r>
    </w:p>
    <w:p>
      <w:pPr>
        <w:pBdr>
          <w:bottom w:val="single" w:color="AAAAAA" w:sz="6"/>
        </w:pBdr>
        <w:spacing w:after="240" w:before="240"/>
      </w:pPr>
    </w:p>
    <w:p>
      <w:pPr>
        <w:spacing w:after="240" w:line="360" w:lineRule="auto"/>
        <w:jc w:val="left"/>
      </w:pPr>
      <w:r>
        <w:rPr>
          <w:rFonts w:ascii="Calibri" w:cs="Calibri" w:eastAsia="Calibri" w:hAnsi="Calibri"/>
          <w:b w:val="false"/>
          <w:bCs w:val="false"/>
          <w:i w:val="false"/>
          <w:iCs w:val="false"/>
          <w:strike w:val="false"/>
          <w:color w:val="000000"/>
          <w:sz w:val="22"/>
          <w:szCs w:val="22"/>
        </w:rPr>
        <w:t xml:space="preserve">OAL-SL-TDA-COP-1.0  |  Independent Copilot Draft</w:t>
      </w:r>
      <w:r>
        <w:rPr>
          <w:rFonts w:ascii="Calibri" w:cs="Calibri" w:eastAsia="Calibri" w:hAnsi="Calibri"/>
          <w:b w:val="false"/>
          <w:bCs w:val="false"/>
          <w:i w:val="false"/>
          <w:iCs w:val="false"/>
          <w:strike w:val="false"/>
          <w:color w:val="555555"/>
          <w:sz w:val="16"/>
          <w:szCs w:val="16"/>
        </w:rPr>
        <w:t xml:space="preserve"> Research Design Framework  ·  Version 1.0  ·  September 21,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fsUvpg3YXLANkFNDJi7xy</dc:title>
  <dc:creator>Un-named</dc:creator>
  <dc:description>Generated document</dc:description>
  <cp:lastModifiedBy>Un-named</cp:lastModifiedBy>
  <cp:revision>1</cp:revision>
  <dcterms:created xsi:type="dcterms:W3CDTF">2026-09-21T13:51:38.701Z</dcterms:created>
  <dcterms:modified xsi:type="dcterms:W3CDTF">2026-09-21T13:51:38.701Z</dcterms:modified>
</cp:coreProperties>
</file>

<file path=docProps/custom.xml><?xml version="1.0" encoding="utf-8"?>
<Properties xmlns="http://schemas.openxmlformats.org/officeDocument/2006/custom-properties" xmlns:vt="http://schemas.openxmlformats.org/officeDocument/2006/docPropsVTypes"/>
</file>