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47BA0"/>
          <w:sz w:val="26"/>
        </w:rPr>
        <w:t>OMNIVERSAL ARCHITECT LABS</w:t>
      </w:r>
    </w:p>
    <w:p>
      <w:pPr>
        <w:jc w:val="center"/>
      </w:pPr>
      <w:r>
        <w:rPr>
          <w:b/>
          <w:color w:val="17324D"/>
          <w:sz w:val="54"/>
        </w:rPr>
        <w:t>Conditional Failure at the Root Level</w:t>
      </w:r>
    </w:p>
    <w:p>
      <w:pPr>
        <w:jc w:val="center"/>
      </w:pPr>
      <w:r>
        <w:rPr>
          <w:color w:val="3D5A6C"/>
          <w:sz w:val="28"/>
        </w:rPr>
        <w:t>Source, Provenance, and Requirements Record</w:t>
      </w:r>
    </w:p>
    <w:p/>
    <w:tbl>
      <w:tblPr>
        <w:tblStyle w:val="TableGrid"/>
        <w:tblW w:type="auto" w:w="0"/>
        <w:jc w:val="center"/>
        <w:tblLook w:firstColumn="1" w:firstRow="1" w:lastColumn="0" w:lastRow="0" w:noHBand="0" w:noVBand="1" w:val="04A0"/>
      </w:tblPr>
      <w:tblGrid>
        <w:gridCol w:w="5040"/>
        <w:gridCol w:w="5040"/>
      </w:tblGrid>
      <w:tr>
        <w:tc>
          <w:tcPr>
            <w:tcW w:type="dxa" w:w="5040"/>
            <w:shd w:fill="D9EAF2"/>
            <w:tcMar>
              <w:top w:w="80" w:type="dxa"/>
              <w:start w:w="100" w:type="dxa"/>
              <w:bottom w:w="80" w:type="dxa"/>
              <w:end w:w="100" w:type="dxa"/>
            </w:tcMar>
          </w:tcPr>
          <w:p>
            <w:r>
              <w:t>Document ID</w:t>
            </w:r>
          </w:p>
        </w:tc>
        <w:tc>
          <w:tcPr>
            <w:tcW w:type="dxa" w:w="5040"/>
            <w:tcMar>
              <w:top w:w="80" w:type="dxa"/>
              <w:start w:w="100" w:type="dxa"/>
              <w:bottom w:w="80" w:type="dxa"/>
              <w:end w:w="100" w:type="dxa"/>
            </w:tcMar>
          </w:tcPr>
          <w:p>
            <w:r>
              <w:t>OAL-CFTRL-SRC-001</w:t>
            </w:r>
          </w:p>
        </w:tc>
      </w:tr>
      <w:tr>
        <w:tc>
          <w:tcPr>
            <w:tcW w:type="dxa" w:w="5040"/>
            <w:shd w:fill="D9EAF2"/>
            <w:tcMar>
              <w:top w:w="80" w:type="dxa"/>
              <w:start w:w="100" w:type="dxa"/>
              <w:bottom w:w="80" w:type="dxa"/>
              <w:end w:w="100" w:type="dxa"/>
            </w:tcMar>
          </w:tcPr>
          <w:p>
            <w:r>
              <w:t>Version</w:t>
            </w:r>
          </w:p>
        </w:tc>
        <w:tc>
          <w:tcPr>
            <w:tcW w:type="dxa" w:w="5040"/>
            <w:tcMar>
              <w:top w:w="80" w:type="dxa"/>
              <w:start w:w="100" w:type="dxa"/>
              <w:bottom w:w="80" w:type="dxa"/>
              <w:end w:w="100" w:type="dxa"/>
            </w:tcMar>
          </w:tcPr>
          <w:p>
            <w:r>
              <w:t>0.1-PPLX</w:t>
            </w:r>
          </w:p>
        </w:tc>
      </w:tr>
      <w:tr>
        <w:tc>
          <w:tcPr>
            <w:tcW w:type="dxa" w:w="5040"/>
            <w:shd w:fill="D9EAF2"/>
            <w:tcMar>
              <w:top w:w="80" w:type="dxa"/>
              <w:start w:w="100" w:type="dxa"/>
              <w:bottom w:w="80" w:type="dxa"/>
              <w:end w:w="100" w:type="dxa"/>
            </w:tcMar>
          </w:tcPr>
          <w:p>
            <w:r>
              <w:t>Date</w:t>
            </w:r>
          </w:p>
        </w:tc>
        <w:tc>
          <w:tcPr>
            <w:tcW w:type="dxa" w:w="5040"/>
            <w:tcMar>
              <w:top w:w="80" w:type="dxa"/>
              <w:start w:w="100" w:type="dxa"/>
              <w:bottom w:w="80" w:type="dxa"/>
              <w:end w:w="100" w:type="dxa"/>
            </w:tcMar>
          </w:tcPr>
          <w:p>
            <w:r>
              <w:t>September 23, 2026</w:t>
            </w:r>
          </w:p>
        </w:tc>
      </w:tr>
      <w:tr>
        <w:tc>
          <w:tcPr>
            <w:tcW w:type="dxa" w:w="5040"/>
            <w:shd w:fill="D9EAF2"/>
            <w:tcMar>
              <w:top w:w="80" w:type="dxa"/>
              <w:start w:w="100" w:type="dxa"/>
              <w:bottom w:w="80" w:type="dxa"/>
              <w:end w:w="100" w:type="dxa"/>
            </w:tcMar>
          </w:tcPr>
          <w:p>
            <w:r>
              <w:t>Architect of Record</w:t>
            </w:r>
          </w:p>
        </w:tc>
        <w:tc>
          <w:tcPr>
            <w:tcW w:type="dxa" w:w="5040"/>
            <w:tcMar>
              <w:top w:w="80" w:type="dxa"/>
              <w:start w:w="100" w:type="dxa"/>
              <w:bottom w:w="80" w:type="dxa"/>
              <w:end w:w="100" w:type="dxa"/>
            </w:tcMar>
          </w:tcPr>
          <w:p>
            <w:r>
              <w:t>Nathan Lewis</w:t>
            </w:r>
          </w:p>
        </w:tc>
      </w:tr>
      <w:tr>
        <w:tc>
          <w:tcPr>
            <w:tcW w:type="dxa" w:w="5040"/>
            <w:shd w:fill="D9EAF2"/>
            <w:tcMar>
              <w:top w:w="80" w:type="dxa"/>
              <w:start w:w="100" w:type="dxa"/>
              <w:bottom w:w="80" w:type="dxa"/>
              <w:end w:w="100" w:type="dxa"/>
            </w:tcMar>
          </w:tcPr>
          <w:p>
            <w:r>
              <w:t>Prepared by</w:t>
            </w:r>
          </w:p>
        </w:tc>
        <w:tc>
          <w:tcPr>
            <w:tcW w:type="dxa" w:w="5040"/>
            <w:tcMar>
              <w:top w:w="80" w:type="dxa"/>
              <w:start w:w="100" w:type="dxa"/>
              <w:bottom w:w="80" w:type="dxa"/>
              <w:end w:w="100" w:type="dxa"/>
            </w:tcMar>
          </w:tcPr>
          <w:p>
            <w:r>
              <w:t>Perplexity AI Research Layer</w:t>
            </w:r>
          </w:p>
        </w:tc>
      </w:tr>
      <w:tr>
        <w:tc>
          <w:tcPr>
            <w:tcW w:type="dxa" w:w="5040"/>
            <w:shd w:fill="D9EAF2"/>
            <w:tcMar>
              <w:top w:w="80" w:type="dxa"/>
              <w:start w:w="100" w:type="dxa"/>
              <w:bottom w:w="80" w:type="dxa"/>
              <w:end w:w="100" w:type="dxa"/>
            </w:tcMar>
          </w:tcPr>
          <w:p>
            <w:r>
              <w:t>Status</w:t>
            </w:r>
          </w:p>
        </w:tc>
        <w:tc>
          <w:tcPr>
            <w:tcW w:type="dxa" w:w="5040"/>
            <w:tcMar>
              <w:top w:w="80" w:type="dxa"/>
              <w:start w:w="100" w:type="dxa"/>
              <w:bottom w:w="80" w:type="dxa"/>
              <w:end w:w="100" w:type="dxa"/>
            </w:tcMar>
          </w:tcPr>
          <w:p>
            <w:r>
              <w:t>DRAFT — UNDER REVIEW — NOT CANON — ONESTAMP PENDING</w:t>
            </w:r>
          </w:p>
        </w:tc>
      </w:tr>
    </w:tbl>
    <w:p/>
    <w:p>
      <w:pPr>
        <w:jc w:val="center"/>
      </w:pPr>
      <w:r>
        <w:rPr>
          <w:b/>
          <w:color w:val="A33A2B"/>
        </w:rPr>
        <w:t>Research draft. No statement in this document becomes active canon unless approved by the Architect through ONESTAMP.</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80" w:type="dxa"/>
              <w:start w:w="100" w:type="dxa"/>
              <w:bottom w:w="80" w:type="dxa"/>
              <w:end w:w="100" w:type="dxa"/>
            </w:tcMar>
          </w:tcPr>
          <w:p>
            <w:r>
              <w:rPr>
                <w:b/>
                <w:color w:val="FFFFFF"/>
                <w:sz w:val="17"/>
              </w:rPr>
              <w:t>Field</w:t>
            </w:r>
          </w:p>
        </w:tc>
        <w:tc>
          <w:tcPr>
            <w:tcW w:type="dxa" w:w="5040"/>
            <w:shd w:fill="17324D"/>
            <w:tcMar>
              <w:top w:w="80" w:type="dxa"/>
              <w:start w:w="100" w:type="dxa"/>
              <w:bottom w:w="80" w:type="dxa"/>
              <w:end w:w="100" w:type="dxa"/>
            </w:tcMar>
          </w:tcPr>
          <w:p>
            <w:r>
              <w:rPr>
                <w:b/>
                <w:color w:val="FFFFFF"/>
                <w:sz w:val="17"/>
              </w:rPr>
              <w:t>Entry</w:t>
            </w:r>
          </w:p>
        </w:tc>
      </w:tr>
      <w:tr>
        <w:tc>
          <w:tcPr>
            <w:tcW w:type="dxa" w:w="5040"/>
            <w:vAlign w:val="top"/>
            <w:tcMar>
              <w:top w:w="80" w:type="dxa"/>
              <w:start w:w="100" w:type="dxa"/>
              <w:bottom w:w="80" w:type="dxa"/>
              <w:end w:w="100" w:type="dxa"/>
            </w:tcMar>
          </w:tcPr>
          <w:p>
            <w:r>
              <w:rPr>
                <w:sz w:val="17"/>
              </w:rPr>
              <w:t>Scope</w:t>
            </w:r>
          </w:p>
        </w:tc>
        <w:tc>
          <w:tcPr>
            <w:tcW w:type="dxa" w:w="5040"/>
            <w:vAlign w:val="top"/>
            <w:tcMar>
              <w:top w:w="80" w:type="dxa"/>
              <w:start w:w="100" w:type="dxa"/>
              <w:bottom w:w="80" w:type="dxa"/>
              <w:end w:w="100" w:type="dxa"/>
            </w:tcMar>
          </w:tcPr>
          <w:p>
            <w:r>
              <w:rPr>
                <w:sz w:val="17"/>
              </w:rPr>
              <w:t>Source-of-truth record for the origin prompt, original files, user requirements, assumptions, non-assumptions, conflicts, and approval status.</w:t>
            </w:r>
          </w:p>
        </w:tc>
      </w:tr>
      <w:tr>
        <w:tc>
          <w:tcPr>
            <w:tcW w:type="dxa" w:w="5040"/>
            <w:vAlign w:val="top"/>
            <w:tcMar>
              <w:top w:w="80" w:type="dxa"/>
              <w:start w:w="100" w:type="dxa"/>
              <w:bottom w:w="80" w:type="dxa"/>
              <w:end w:w="100" w:type="dxa"/>
            </w:tcMar>
            <w:shd w:fill="F2F6F8"/>
          </w:tcPr>
          <w:p>
            <w:r>
              <w:rPr>
                <w:sz w:val="17"/>
              </w:rPr>
              <w:t>Authority</w:t>
            </w:r>
          </w:p>
        </w:tc>
        <w:tc>
          <w:tcPr>
            <w:tcW w:type="dxa" w:w="5040"/>
            <w:vAlign w:val="top"/>
            <w:tcMar>
              <w:top w:w="80" w:type="dxa"/>
              <w:start w:w="100" w:type="dxa"/>
              <w:bottom w:w="80" w:type="dxa"/>
              <w:end w:w="100" w:type="dxa"/>
            </w:tcMar>
            <w:shd w:fill="F2F6F8"/>
          </w:tcPr>
          <w:p>
            <w:r>
              <w:rPr>
                <w:sz w:val="17"/>
              </w:rPr>
              <w:t>Nathan Lewis retains definition, canon, and ONESTAMP authority.</w:t>
            </w:r>
          </w:p>
        </w:tc>
      </w:tr>
      <w:tr>
        <w:tc>
          <w:tcPr>
            <w:tcW w:type="dxa" w:w="5040"/>
            <w:vAlign w:val="top"/>
            <w:tcMar>
              <w:top w:w="80" w:type="dxa"/>
              <w:start w:w="100" w:type="dxa"/>
              <w:bottom w:w="80" w:type="dxa"/>
              <w:end w:w="100" w:type="dxa"/>
            </w:tcMar>
          </w:tcPr>
          <w:p>
            <w:r>
              <w:rPr>
                <w:sz w:val="17"/>
              </w:rPr>
              <w:t>Research status</w:t>
            </w:r>
          </w:p>
        </w:tc>
        <w:tc>
          <w:tcPr>
            <w:tcW w:type="dxa" w:w="5040"/>
            <w:vAlign w:val="top"/>
            <w:tcMar>
              <w:top w:w="80" w:type="dxa"/>
              <w:start w:w="100" w:type="dxa"/>
              <w:bottom w:w="80" w:type="dxa"/>
              <w:end w:w="100" w:type="dxa"/>
            </w:tcMar>
          </w:tcPr>
          <w:p>
            <w:r>
              <w:rPr>
                <w:sz w:val="17"/>
              </w:rPr>
              <w:t>DRAFT — UNDER REVIEW — NOT CANON — ONESTAMP PENDING</w:t>
            </w:r>
          </w:p>
        </w:tc>
      </w:tr>
      <w:tr>
        <w:tc>
          <w:tcPr>
            <w:tcW w:type="dxa" w:w="5040"/>
            <w:vAlign w:val="top"/>
            <w:tcMar>
              <w:top w:w="80" w:type="dxa"/>
              <w:start w:w="100" w:type="dxa"/>
              <w:bottom w:w="80" w:type="dxa"/>
              <w:end w:w="100" w:type="dxa"/>
            </w:tcMar>
            <w:shd w:fill="F2F6F8"/>
          </w:tcPr>
          <w:p>
            <w:r>
              <w:rPr>
                <w:sz w:val="17"/>
              </w:rPr>
              <w:t>Source rule</w:t>
            </w:r>
          </w:p>
        </w:tc>
        <w:tc>
          <w:tcPr>
            <w:tcW w:type="dxa" w:w="5040"/>
            <w:vAlign w:val="top"/>
            <w:tcMar>
              <w:top w:w="80" w:type="dxa"/>
              <w:start w:w="100" w:type="dxa"/>
              <w:bottom w:w="80" w:type="dxa"/>
              <w:end w:w="100" w:type="dxa"/>
            </w:tcMar>
            <w:shd w:fill="F2F6F8"/>
          </w:tcPr>
          <w:p>
            <w:r>
              <w:rPr>
                <w:sz w:val="17"/>
              </w:rPr>
              <w:t>Verbatim source material is preserved separately from interpretation, proposed definitions, and external research.</w:t>
            </w:r>
          </w:p>
        </w:tc>
      </w:tr>
      <w:tr>
        <w:tc>
          <w:tcPr>
            <w:tcW w:type="dxa" w:w="5040"/>
            <w:vAlign w:val="top"/>
            <w:tcMar>
              <w:top w:w="80" w:type="dxa"/>
              <w:start w:w="100" w:type="dxa"/>
              <w:bottom w:w="80" w:type="dxa"/>
              <w:end w:w="100" w:type="dxa"/>
            </w:tcMar>
          </w:tcPr>
          <w:p>
            <w:r>
              <w:rPr>
                <w:sz w:val="17"/>
              </w:rPr>
              <w:t>Safety rule</w:t>
            </w:r>
          </w:p>
        </w:tc>
        <w:tc>
          <w:tcPr>
            <w:tcW w:type="dxa" w:w="5040"/>
            <w:vAlign w:val="top"/>
            <w:tcMar>
              <w:top w:w="80" w:type="dxa"/>
              <w:start w:w="100" w:type="dxa"/>
              <w:bottom w:w="80" w:type="dxa"/>
              <w:end w:w="100" w:type="dxa"/>
            </w:tcMar>
          </w:tcPr>
          <w:p>
            <w:r>
              <w:rPr>
                <w:sz w:val="17"/>
              </w:rPr>
              <w:t>The project studies failure through bounded models and controlled simulations; it does not provide instructions to compromise real systems or any claimed base reality.</w:t>
            </w:r>
          </w:p>
        </w:tc>
      </w:tr>
      <w:tr>
        <w:tc>
          <w:tcPr>
            <w:tcW w:type="dxa" w:w="5040"/>
            <w:vAlign w:val="top"/>
            <w:tcMar>
              <w:top w:w="80" w:type="dxa"/>
              <w:start w:w="100" w:type="dxa"/>
              <w:bottom w:w="80" w:type="dxa"/>
              <w:end w:w="100" w:type="dxa"/>
            </w:tcMar>
            <w:shd w:fill="F2F6F8"/>
          </w:tcPr>
          <w:p>
            <w:r>
              <w:rPr>
                <w:sz w:val="17"/>
              </w:rPr>
              <w:t>Review rule</w:t>
            </w:r>
          </w:p>
        </w:tc>
        <w:tc>
          <w:tcPr>
            <w:tcW w:type="dxa" w:w="5040"/>
            <w:vAlign w:val="top"/>
            <w:tcMar>
              <w:top w:w="80" w:type="dxa"/>
              <w:start w:w="100" w:type="dxa"/>
              <w:bottom w:w="80" w:type="dxa"/>
              <w:end w:w="100" w:type="dxa"/>
            </w:tcMar>
            <w:shd w:fill="F2F6F8"/>
          </w:tcPr>
          <w:p>
            <w:r>
              <w:rPr>
                <w:sz w:val="17"/>
              </w:rPr>
              <w:t>Conflicts, dissent, uncertainty, and source limitations remain visible until resolved by the Architect.</w:t>
            </w:r>
          </w:p>
        </w:tc>
      </w:tr>
    </w:tbl>
    <w:p>
      <w:pPr>
        <w:pStyle w:val="Heading1"/>
      </w:pPr>
      <w:r>
        <w:t>How the topic arose</w:t>
      </w:r>
    </w:p>
    <w:p>
      <w:r>
        <w:t>The topic arose while the Architect was reviewing the Master Change Log and Master Development Log and recognized that many named concepts had only definitions, skeletal outlines, or incomplete supporting detail. Conditional Failure at the Root Level (CFTRL) was selected for deliberate expansion because it combines systems design, nested dependencies, failure propagation, maintenance, simulation, epistemology, and learning from endings. The immediate need is not to ratify a cosmological claim. It is to build documentation and a research program capable of distinguishing testable engineering questions from simulation-testable propositions and presently unresolved ontological questions.</w:t>
      </w:r>
    </w:p>
    <w:p>
      <w:pPr>
        <w:pStyle w:val="Heading1"/>
      </w:pPr>
      <w:r>
        <w:t>Verbatim origin prompt</w:t>
      </w:r>
    </w:p>
    <w:p>
      <w:pPr>
        <w:pStyle w:val="Callout"/>
      </w:pPr>
      <w:r>
        <w:t xml:space="preserve">Can you save this thought for me? </w:t>
        <w:br/>
        <w:t xml:space="preserve">I need you to gather research and analysis for a concept. </w:t>
        <w:br/>
        <w:t xml:space="preserve">Conditional failure at the root level. </w:t>
        <w:br/>
        <w:t xml:space="preserve">The study of root level structures, how they arise, how they fail, how they are maintained. Please include the original documents for this content that were generated. </w:t>
        <w:br/>
        <w:t xml:space="preserve">How do you know the difference between a root level structure and a structure that is not? How can a system distinguish between base reality and something that is not? How can a system determine when a root level failure has occurred or when base reality has been compromised. </w:t>
        <w:br/>
        <w:t xml:space="preserve">How do we study this? What about this concept works, what doesn't? What questions do we need to ask? </w:t>
        <w:br/>
        <w:br/>
        <w:t>How can we study what lies beyond these structures? Can we model whether structures in reality follow a similar design? Or diverges in ways we haven't thought of? Is this feasible using simulations or another type of modeling? How? Can we design a laboratory environment to do this? How? Can you build a reliable map of reality? What basis of comparison do you have when you are operating on incomplete information? Use failure as an example to learn from.</w:t>
        <w:br/>
        <w:t xml:space="preserve">What I do not assume in the design of this: </w:t>
        <w:br/>
        <w:t xml:space="preserve">That I have the complete architecture and map of all simulations, of reality, of existence as we know it. </w:t>
        <w:br/>
        <w:t>That we share a unified definition of what reality is.</w:t>
        <w:br/>
        <w:t xml:space="preserve">That existence can be fully mapped, represented, comprehended in full, or that this is the aim of this laboratory. </w:t>
        <w:br/>
        <w:t xml:space="preserve">That I aim to cause a root level compromise of simulations, of base reality, or any other structure. </w:t>
        <w:br/>
        <w:t>That this is a how to guide to do any of those things.</w:t>
        <w:br/>
        <w:t xml:space="preserve">It is intended to help in the design of simulation and reality level structure lifecycle design, maintenance, evolution, and improvement. </w:t>
        <w:br/>
        <w:t>Within this design frame It does not assume that we have complete knowledge or understanding of what that is.</w:t>
        <w:br/>
        <w:t>How This topic arose from me thinking about conditional failure at the root level The master change log and master development log. I realized that there are a lot of concepts within that framework that have a definition or a name and a skeleton attached to them. They are a rough draft, they are an incomplete outline, there are a lot of additional details and supporting information that need to be added. The goal here is to design documentation to help support, design, and develop this concept. What I will include are the responses of all of the other AI collaboration team members, where they have generated documentation, I will include the documentation, and then I will include this complete response as well.</w:t>
      </w:r>
    </w:p>
    <w:p>
      <w:pPr>
        <w:pStyle w:val="Heading1"/>
      </w:pPr>
      <w:r>
        <w:t>Purpose and goal</w:t>
      </w:r>
    </w:p>
    <w:p>
      <w:r>
        <w:t>Purpose. Establish a traceable, evidence-supported outline for designing, developing, testing, governing, and documenting CFTRL without erasing the original source voice or presenting unapproved interpretation as canon.</w:t>
      </w:r>
    </w:p>
    <w:p>
      <w:r>
        <w:t>Goal. Move CFTRL from a strong conceptual skeleton to a reviewable research framework with explicit definitions, system boundaries, failure classes, evidence standards, laboratory methods, metrics, safety controls, team roles, and approval gates. The target is a framework that can support engineered systems and narrative architecture while remaining honest about what cannot be inferred about ultimate base reality.</w:t>
      </w:r>
    </w:p>
    <w:p>
      <w:pPr>
        <w:pStyle w:val="Heading1"/>
      </w:pPr>
      <w:r>
        <w:t>Record purpose</w:t>
      </w:r>
    </w:p>
    <w:p>
      <w:r>
        <w:t>This record prevents later research, design, simulation, or narrative work from drifting away from the Architect’s origin prompt. It defines the source hierarchy, preserves file identity through cryptographic hashes, decomposes the prompt into requirements, and specifies how new interpretations must be labeled. It does not decide unresolved concept questions and does not convert earlier AI wording into canon.</w:t>
      </w:r>
    </w:p>
    <w:p>
      <w:pPr>
        <w:pStyle w:val="Heading1"/>
      </w:pPr>
      <w:r>
        <w:t>Source hierarchy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Mar>
              <w:top w:w="80" w:type="dxa"/>
              <w:start w:w="100" w:type="dxa"/>
              <w:bottom w:w="80" w:type="dxa"/>
              <w:end w:w="100" w:type="dxa"/>
            </w:tcMar>
          </w:tcPr>
          <w:p>
            <w:r>
              <w:rPr>
                <w:b/>
                <w:color w:val="FFFFFF"/>
                <w:sz w:val="16"/>
              </w:rPr>
              <w:t>Priority</w:t>
            </w:r>
          </w:p>
        </w:tc>
        <w:tc>
          <w:tcPr>
            <w:tcW w:type="dxa" w:w="3360"/>
            <w:shd w:fill="17324D"/>
            <w:tcMar>
              <w:top w:w="80" w:type="dxa"/>
              <w:start w:w="100" w:type="dxa"/>
              <w:bottom w:w="80" w:type="dxa"/>
              <w:end w:w="100" w:type="dxa"/>
            </w:tcMar>
          </w:tcPr>
          <w:p>
            <w:r>
              <w:rPr>
                <w:b/>
                <w:color w:val="FFFFFF"/>
                <w:sz w:val="16"/>
              </w:rPr>
              <w:t>Source class</w:t>
            </w:r>
          </w:p>
        </w:tc>
        <w:tc>
          <w:tcPr>
            <w:tcW w:type="dxa" w:w="3360"/>
            <w:shd w:fill="17324D"/>
            <w:tcMar>
              <w:top w:w="80" w:type="dxa"/>
              <w:start w:w="100" w:type="dxa"/>
              <w:bottom w:w="80" w:type="dxa"/>
              <w:end w:w="100" w:type="dxa"/>
            </w:tcMar>
          </w:tcPr>
          <w:p>
            <w:r>
              <w:rPr>
                <w:b/>
                <w:color w:val="FFFFFF"/>
                <w:sz w:val="16"/>
              </w:rPr>
              <w:t>Authority</w:t>
            </w:r>
          </w:p>
        </w:tc>
      </w:tr>
      <w:tr>
        <w:tc>
          <w:tcPr>
            <w:tcW w:type="dxa" w:w="3360"/>
            <w:vAlign w:val="top"/>
            <w:tcMar>
              <w:top w:w="80" w:type="dxa"/>
              <w:start w:w="100" w:type="dxa"/>
              <w:bottom w:w="80" w:type="dxa"/>
              <w:end w:w="100" w:type="dxa"/>
            </w:tcMar>
          </w:tcPr>
          <w:p>
            <w:r>
              <w:rPr>
                <w:sz w:val="16"/>
              </w:rPr>
              <w:t>1</w:t>
            </w:r>
          </w:p>
        </w:tc>
        <w:tc>
          <w:tcPr>
            <w:tcW w:type="dxa" w:w="3360"/>
            <w:vAlign w:val="top"/>
            <w:tcMar>
              <w:top w:w="80" w:type="dxa"/>
              <w:start w:w="100" w:type="dxa"/>
              <w:bottom w:w="80" w:type="dxa"/>
              <w:end w:w="100" w:type="dxa"/>
            </w:tcMar>
          </w:tcPr>
          <w:p>
            <w:r>
              <w:rPr>
                <w:sz w:val="16"/>
              </w:rPr>
              <w:t>Architect verbatim prompt and later explicit corrections</w:t>
            </w:r>
          </w:p>
        </w:tc>
        <w:tc>
          <w:tcPr>
            <w:tcW w:type="dxa" w:w="3360"/>
            <w:vAlign w:val="top"/>
            <w:tcMar>
              <w:top w:w="80" w:type="dxa"/>
              <w:start w:w="100" w:type="dxa"/>
              <w:bottom w:w="80" w:type="dxa"/>
              <w:end w:w="100" w:type="dxa"/>
            </w:tcMar>
          </w:tcPr>
          <w:p>
            <w:r>
              <w:rPr>
                <w:sz w:val="16"/>
              </w:rPr>
              <w:t>Highest authority for intent and requirements, subject to later Architect revisions.</w:t>
            </w:r>
          </w:p>
        </w:tc>
      </w:tr>
      <w:tr>
        <w:tc>
          <w:tcPr>
            <w:tcW w:type="dxa" w:w="3360"/>
            <w:vAlign w:val="top"/>
            <w:tcMar>
              <w:top w:w="80" w:type="dxa"/>
              <w:start w:w="100" w:type="dxa"/>
              <w:bottom w:w="80" w:type="dxa"/>
              <w:end w:w="100" w:type="dxa"/>
            </w:tcMar>
            <w:shd w:fill="F2F6F8"/>
          </w:tcPr>
          <w:p>
            <w:r>
              <w:rPr>
                <w:sz w:val="16"/>
              </w:rPr>
              <w:t>2</w:t>
            </w:r>
          </w:p>
        </w:tc>
        <w:tc>
          <w:tcPr>
            <w:tcW w:type="dxa" w:w="3360"/>
            <w:vAlign w:val="top"/>
            <w:tcMar>
              <w:top w:w="80" w:type="dxa"/>
              <w:start w:w="100" w:type="dxa"/>
              <w:bottom w:w="80" w:type="dxa"/>
              <w:end w:w="100" w:type="dxa"/>
            </w:tcMar>
            <w:shd w:fill="F2F6F8"/>
          </w:tcPr>
          <w:p>
            <w:r>
              <w:rPr>
                <w:sz w:val="16"/>
              </w:rPr>
              <w:t>Architect-approved/ONESTAMP documents</w:t>
            </w:r>
          </w:p>
        </w:tc>
        <w:tc>
          <w:tcPr>
            <w:tcW w:type="dxa" w:w="3360"/>
            <w:vAlign w:val="top"/>
            <w:tcMar>
              <w:top w:w="80" w:type="dxa"/>
              <w:start w:w="100" w:type="dxa"/>
              <w:bottom w:w="80" w:type="dxa"/>
              <w:end w:w="100" w:type="dxa"/>
            </w:tcMar>
            <w:shd w:fill="F2F6F8"/>
          </w:tcPr>
          <w:p>
            <w:r>
              <w:rPr>
                <w:sz w:val="16"/>
              </w:rPr>
              <w:t>Canonical only within their approved scope and version.</w:t>
            </w:r>
          </w:p>
        </w:tc>
      </w:tr>
      <w:tr>
        <w:tc>
          <w:tcPr>
            <w:tcW w:type="dxa" w:w="3360"/>
            <w:vAlign w:val="top"/>
            <w:tcMar>
              <w:top w:w="80" w:type="dxa"/>
              <w:start w:w="100" w:type="dxa"/>
              <w:bottom w:w="80" w:type="dxa"/>
              <w:end w:w="100" w:type="dxa"/>
            </w:tcMar>
          </w:tcPr>
          <w:p>
            <w:r>
              <w:rPr>
                <w:sz w:val="16"/>
              </w:rPr>
              <w:t>3</w:t>
            </w:r>
          </w:p>
        </w:tc>
        <w:tc>
          <w:tcPr>
            <w:tcW w:type="dxa" w:w="3360"/>
            <w:vAlign w:val="top"/>
            <w:tcMar>
              <w:top w:w="80" w:type="dxa"/>
              <w:start w:w="100" w:type="dxa"/>
              <w:bottom w:w="80" w:type="dxa"/>
              <w:end w:w="100" w:type="dxa"/>
            </w:tcMar>
          </w:tcPr>
          <w:p>
            <w:r>
              <w:rPr>
                <w:sz w:val="16"/>
              </w:rPr>
              <w:t>Original generated source drafts preserved unchanged</w:t>
            </w:r>
          </w:p>
        </w:tc>
        <w:tc>
          <w:tcPr>
            <w:tcW w:type="dxa" w:w="3360"/>
            <w:vAlign w:val="top"/>
            <w:tcMar>
              <w:top w:w="80" w:type="dxa"/>
              <w:start w:w="100" w:type="dxa"/>
              <w:bottom w:w="80" w:type="dxa"/>
              <w:end w:w="100" w:type="dxa"/>
            </w:tcMar>
          </w:tcPr>
          <w:p>
            <w:r>
              <w:rPr>
                <w:sz w:val="16"/>
              </w:rPr>
              <w:t>Historical record and candidate language; not canon unless approved.</w:t>
            </w:r>
          </w:p>
        </w:tc>
      </w:tr>
      <w:tr>
        <w:tc>
          <w:tcPr>
            <w:tcW w:type="dxa" w:w="3360"/>
            <w:vAlign w:val="top"/>
            <w:tcMar>
              <w:top w:w="80" w:type="dxa"/>
              <w:start w:w="100" w:type="dxa"/>
              <w:bottom w:w="80" w:type="dxa"/>
              <w:end w:w="100" w:type="dxa"/>
            </w:tcMar>
            <w:shd w:fill="F2F6F8"/>
          </w:tcPr>
          <w:p>
            <w:r>
              <w:rPr>
                <w:sz w:val="16"/>
              </w:rPr>
              <w:t>4</w:t>
            </w:r>
          </w:p>
        </w:tc>
        <w:tc>
          <w:tcPr>
            <w:tcW w:type="dxa" w:w="3360"/>
            <w:vAlign w:val="top"/>
            <w:tcMar>
              <w:top w:w="80" w:type="dxa"/>
              <w:start w:w="100" w:type="dxa"/>
              <w:bottom w:w="80" w:type="dxa"/>
              <w:end w:w="100" w:type="dxa"/>
            </w:tcMar>
            <w:shd w:fill="F2F6F8"/>
          </w:tcPr>
          <w:p>
            <w:r>
              <w:rPr>
                <w:sz w:val="16"/>
              </w:rPr>
              <w:t>AI research and synthesis dossiers</w:t>
            </w:r>
          </w:p>
        </w:tc>
        <w:tc>
          <w:tcPr>
            <w:tcW w:type="dxa" w:w="3360"/>
            <w:vAlign w:val="top"/>
            <w:tcMar>
              <w:top w:w="80" w:type="dxa"/>
              <w:start w:w="100" w:type="dxa"/>
              <w:bottom w:w="80" w:type="dxa"/>
              <w:end w:w="100" w:type="dxa"/>
            </w:tcMar>
            <w:shd w:fill="F2F6F8"/>
          </w:tcPr>
          <w:p>
            <w:r>
              <w:rPr>
                <w:sz w:val="16"/>
              </w:rPr>
              <w:t>Analysis and proposals; must cite sources and preserve uncertainty.</w:t>
            </w:r>
          </w:p>
        </w:tc>
      </w:tr>
      <w:tr>
        <w:tc>
          <w:tcPr>
            <w:tcW w:type="dxa" w:w="3360"/>
            <w:vAlign w:val="top"/>
            <w:tcMar>
              <w:top w:w="80" w:type="dxa"/>
              <w:start w:w="100" w:type="dxa"/>
              <w:bottom w:w="80" w:type="dxa"/>
              <w:end w:w="100" w:type="dxa"/>
            </w:tcMar>
          </w:tcPr>
          <w:p>
            <w:r>
              <w:rPr>
                <w:sz w:val="16"/>
              </w:rPr>
              <w:t>5</w:t>
            </w:r>
          </w:p>
        </w:tc>
        <w:tc>
          <w:tcPr>
            <w:tcW w:type="dxa" w:w="3360"/>
            <w:vAlign w:val="top"/>
            <w:tcMar>
              <w:top w:w="80" w:type="dxa"/>
              <w:start w:w="100" w:type="dxa"/>
              <w:bottom w:w="80" w:type="dxa"/>
              <w:end w:w="100" w:type="dxa"/>
            </w:tcMar>
          </w:tcPr>
          <w:p>
            <w:r>
              <w:rPr>
                <w:sz w:val="16"/>
              </w:rPr>
              <w:t>External research</w:t>
            </w:r>
          </w:p>
        </w:tc>
        <w:tc>
          <w:tcPr>
            <w:tcW w:type="dxa" w:w="3360"/>
            <w:vAlign w:val="top"/>
            <w:tcMar>
              <w:top w:w="80" w:type="dxa"/>
              <w:start w:w="100" w:type="dxa"/>
              <w:bottom w:w="80" w:type="dxa"/>
              <w:end w:w="100" w:type="dxa"/>
            </w:tcMar>
          </w:tcPr>
          <w:p>
            <w:r>
              <w:rPr>
                <w:sz w:val="16"/>
              </w:rPr>
              <w:t>Evidence and analogues; never authorial intent or OAL canon.</w:t>
            </w:r>
          </w:p>
        </w:tc>
      </w:tr>
      <w:tr>
        <w:tc>
          <w:tcPr>
            <w:tcW w:type="dxa" w:w="3360"/>
            <w:vAlign w:val="top"/>
            <w:tcMar>
              <w:top w:w="80" w:type="dxa"/>
              <w:start w:w="100" w:type="dxa"/>
              <w:bottom w:w="80" w:type="dxa"/>
              <w:end w:w="100" w:type="dxa"/>
            </w:tcMar>
            <w:shd w:fill="F2F6F8"/>
          </w:tcPr>
          <w:p>
            <w:r>
              <w:rPr>
                <w:sz w:val="16"/>
              </w:rPr>
              <w:t>6</w:t>
            </w:r>
          </w:p>
        </w:tc>
        <w:tc>
          <w:tcPr>
            <w:tcW w:type="dxa" w:w="3360"/>
            <w:vAlign w:val="top"/>
            <w:tcMar>
              <w:top w:w="80" w:type="dxa"/>
              <w:start w:w="100" w:type="dxa"/>
              <w:bottom w:w="80" w:type="dxa"/>
              <w:end w:w="100" w:type="dxa"/>
            </w:tcMar>
            <w:shd w:fill="F2F6F8"/>
          </w:tcPr>
          <w:p>
            <w:r>
              <w:rPr>
                <w:sz w:val="16"/>
              </w:rPr>
              <w:t>Simulation results</w:t>
            </w:r>
          </w:p>
        </w:tc>
        <w:tc>
          <w:tcPr>
            <w:tcW w:type="dxa" w:w="3360"/>
            <w:vAlign w:val="top"/>
            <w:tcMar>
              <w:top w:w="80" w:type="dxa"/>
              <w:start w:w="100" w:type="dxa"/>
              <w:bottom w:w="80" w:type="dxa"/>
              <w:end w:w="100" w:type="dxa"/>
            </w:tcMar>
            <w:shd w:fill="F2F6F8"/>
          </w:tcPr>
          <w:p>
            <w:r>
              <w:rPr>
                <w:sz w:val="16"/>
              </w:rPr>
              <w:t>Evidence about the implemented model; not automatically evidence about reality outside that model.</w:t>
            </w:r>
          </w:p>
        </w:tc>
      </w:tr>
    </w:tbl>
    <w:p>
      <w:pPr>
        <w:pStyle w:val="Heading1"/>
      </w:pPr>
      <w:r>
        <w:t>Original source inventory</w:t>
      </w:r>
    </w:p>
    <w:p>
      <w:r>
        <w:t>The original files are delivered alongside the new DOCX/PDF reports without modification. Hashes below identify the exact attached copies used for this research pass. A future change to file bytes requires a new archive entry rather than overwriting this record.</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7324D"/>
            <w:tcMar>
              <w:top w:w="80" w:type="dxa"/>
              <w:start w:w="100" w:type="dxa"/>
              <w:bottom w:w="80" w:type="dxa"/>
              <w:end w:w="100" w:type="dxa"/>
            </w:tcMar>
          </w:tcPr>
          <w:p>
            <w:r>
              <w:rPr>
                <w:b/>
                <w:color w:val="FFFFFF"/>
                <w:sz w:val="13"/>
              </w:rPr>
              <w:t>File</w:t>
            </w:r>
          </w:p>
        </w:tc>
        <w:tc>
          <w:tcPr>
            <w:tcW w:type="dxa" w:w="2016"/>
            <w:shd w:fill="17324D"/>
            <w:tcMar>
              <w:top w:w="80" w:type="dxa"/>
              <w:start w:w="100" w:type="dxa"/>
              <w:bottom w:w="80" w:type="dxa"/>
              <w:end w:w="100" w:type="dxa"/>
            </w:tcMar>
          </w:tcPr>
          <w:p>
            <w:r>
              <w:rPr>
                <w:b/>
                <w:color w:val="FFFFFF"/>
                <w:sz w:val="13"/>
              </w:rPr>
              <w:t>Bytes</w:t>
            </w:r>
          </w:p>
        </w:tc>
        <w:tc>
          <w:tcPr>
            <w:tcW w:type="dxa" w:w="2016"/>
            <w:shd w:fill="17324D"/>
            <w:tcMar>
              <w:top w:w="80" w:type="dxa"/>
              <w:start w:w="100" w:type="dxa"/>
              <w:bottom w:w="80" w:type="dxa"/>
              <w:end w:w="100" w:type="dxa"/>
            </w:tcMar>
          </w:tcPr>
          <w:p>
            <w:r>
              <w:rPr>
                <w:b/>
                <w:color w:val="FFFFFF"/>
                <w:sz w:val="13"/>
              </w:rPr>
              <w:t>SHA-256</w:t>
            </w:r>
          </w:p>
        </w:tc>
        <w:tc>
          <w:tcPr>
            <w:tcW w:type="dxa" w:w="2016"/>
            <w:shd w:fill="17324D"/>
            <w:tcMar>
              <w:top w:w="80" w:type="dxa"/>
              <w:start w:w="100" w:type="dxa"/>
              <w:bottom w:w="80" w:type="dxa"/>
              <w:end w:w="100" w:type="dxa"/>
            </w:tcMar>
          </w:tcPr>
          <w:p>
            <w:r>
              <w:rPr>
                <w:b/>
                <w:color w:val="FFFFFF"/>
                <w:sz w:val="13"/>
              </w:rPr>
              <w:t>Role</w:t>
            </w:r>
          </w:p>
        </w:tc>
        <w:tc>
          <w:tcPr>
            <w:tcW w:type="dxa" w:w="2016"/>
            <w:shd w:fill="17324D"/>
            <w:tcMar>
              <w:top w:w="80" w:type="dxa"/>
              <w:start w:w="100" w:type="dxa"/>
              <w:bottom w:w="80" w:type="dxa"/>
              <w:end w:w="100" w:type="dxa"/>
            </w:tcMar>
          </w:tcPr>
          <w:p>
            <w:r>
              <w:rPr>
                <w:b/>
                <w:color w:val="FFFFFF"/>
                <w:sz w:val="13"/>
              </w:rPr>
              <w:t>Control note</w:t>
            </w:r>
          </w:p>
        </w:tc>
      </w:tr>
      <w:tr>
        <w:tc>
          <w:tcPr>
            <w:tcW w:type="dxa" w:w="2016"/>
            <w:vAlign w:val="top"/>
            <w:tcMar>
              <w:top w:w="80" w:type="dxa"/>
              <w:start w:w="100" w:type="dxa"/>
              <w:bottom w:w="80" w:type="dxa"/>
              <w:end w:w="100" w:type="dxa"/>
            </w:tcMar>
          </w:tcPr>
          <w:p>
            <w:r>
              <w:rPr>
                <w:sz w:val="13"/>
              </w:rPr>
              <w:t>paste.txt</w:t>
            </w:r>
          </w:p>
        </w:tc>
        <w:tc>
          <w:tcPr>
            <w:tcW w:type="dxa" w:w="2016"/>
            <w:vAlign w:val="top"/>
            <w:tcMar>
              <w:top w:w="80" w:type="dxa"/>
              <w:start w:w="100" w:type="dxa"/>
              <w:bottom w:w="80" w:type="dxa"/>
              <w:end w:w="100" w:type="dxa"/>
            </w:tcMar>
          </w:tcPr>
          <w:p>
            <w:r>
              <w:rPr>
                <w:sz w:val="13"/>
              </w:rPr>
              <w:t>64950</w:t>
            </w:r>
          </w:p>
        </w:tc>
        <w:tc>
          <w:tcPr>
            <w:tcW w:type="dxa" w:w="2016"/>
            <w:vAlign w:val="top"/>
            <w:tcMar>
              <w:top w:w="80" w:type="dxa"/>
              <w:start w:w="100" w:type="dxa"/>
              <w:bottom w:w="80" w:type="dxa"/>
              <w:end w:w="100" w:type="dxa"/>
            </w:tcMar>
          </w:tcPr>
          <w:p>
            <w:r>
              <w:rPr>
                <w:sz w:val="13"/>
              </w:rPr>
              <w:t>dfcef79b5bd141217f9a06ce6a827f1fabaff29ee66ed3df1da6f4c1208a6d7e</w:t>
            </w:r>
          </w:p>
        </w:tc>
        <w:tc>
          <w:tcPr>
            <w:tcW w:type="dxa" w:w="2016"/>
            <w:vAlign w:val="top"/>
            <w:tcMar>
              <w:top w:w="80" w:type="dxa"/>
              <w:start w:w="100" w:type="dxa"/>
              <w:bottom w:w="80" w:type="dxa"/>
              <w:end w:w="100" w:type="dxa"/>
            </w:tcMar>
          </w:tcPr>
          <w:p>
            <w:r>
              <w:rPr>
                <w:sz w:val="13"/>
              </w:rPr>
              <w:t>Consolidated verbatim prompt and multi-AI response record</w:t>
            </w:r>
          </w:p>
        </w:tc>
        <w:tc>
          <w:tcPr>
            <w:tcW w:type="dxa" w:w="2016"/>
            <w:vAlign w:val="top"/>
            <w:tcMar>
              <w:top w:w="80" w:type="dxa"/>
              <w:start w:w="100" w:type="dxa"/>
              <w:bottom w:w="80" w:type="dxa"/>
              <w:end w:w="100" w:type="dxa"/>
            </w:tcMar>
          </w:tcPr>
          <w:p>
            <w:r>
              <w:rPr>
                <w:sz w:val="13"/>
              </w:rPr>
              <w:t>Primary provenance record; includes later collaborator outputs and one unrelated embedded log fragment that must not migrate into CFTRL canon.</w:t>
            </w:r>
          </w:p>
        </w:tc>
      </w:tr>
      <w:tr>
        <w:tc>
          <w:tcPr>
            <w:tcW w:type="dxa" w:w="2016"/>
            <w:vAlign w:val="top"/>
            <w:tcMar>
              <w:top w:w="80" w:type="dxa"/>
              <w:start w:w="100" w:type="dxa"/>
              <w:bottom w:w="80" w:type="dxa"/>
              <w:end w:w="100" w:type="dxa"/>
            </w:tcMar>
            <w:shd w:fill="F2F6F8"/>
          </w:tcPr>
          <w:p>
            <w:r>
              <w:rPr>
                <w:sz w:val="13"/>
              </w:rPr>
              <w:t>OAL-CFTRL-RES-002_Root_Level_Research_Dossier.docx</w:t>
            </w:r>
          </w:p>
        </w:tc>
        <w:tc>
          <w:tcPr>
            <w:tcW w:type="dxa" w:w="2016"/>
            <w:vAlign w:val="top"/>
            <w:tcMar>
              <w:top w:w="80" w:type="dxa"/>
              <w:start w:w="100" w:type="dxa"/>
              <w:bottom w:w="80" w:type="dxa"/>
              <w:end w:w="100" w:type="dxa"/>
            </w:tcMar>
            <w:shd w:fill="F2F6F8"/>
          </w:tcPr>
          <w:p>
            <w:r>
              <w:rPr>
                <w:sz w:val="13"/>
              </w:rPr>
              <w:t>31432</w:t>
            </w:r>
          </w:p>
        </w:tc>
        <w:tc>
          <w:tcPr>
            <w:tcW w:type="dxa" w:w="2016"/>
            <w:vAlign w:val="top"/>
            <w:tcMar>
              <w:top w:w="80" w:type="dxa"/>
              <w:start w:w="100" w:type="dxa"/>
              <w:bottom w:w="80" w:type="dxa"/>
              <w:end w:w="100" w:type="dxa"/>
            </w:tcMar>
            <w:shd w:fill="F2F6F8"/>
          </w:tcPr>
          <w:p>
            <w:r>
              <w:rPr>
                <w:sz w:val="13"/>
              </w:rPr>
              <w:t>17eaf78f3838a7b87e896f048085f28130732335dfef0d5bd7275aa9882fb772</w:t>
            </w:r>
          </w:p>
        </w:tc>
        <w:tc>
          <w:tcPr>
            <w:tcW w:type="dxa" w:w="2016"/>
            <w:vAlign w:val="top"/>
            <w:tcMar>
              <w:top w:w="80" w:type="dxa"/>
              <w:start w:w="100" w:type="dxa"/>
              <w:bottom w:w="80" w:type="dxa"/>
              <w:end w:w="100" w:type="dxa"/>
            </w:tcMar>
            <w:shd w:fill="F2F6F8"/>
          </w:tcPr>
          <w:p>
            <w:r>
              <w:rPr>
                <w:sz w:val="13"/>
              </w:rPr>
              <w:t>Prior root-level research dossier</w:t>
            </w:r>
          </w:p>
        </w:tc>
        <w:tc>
          <w:tcPr>
            <w:tcW w:type="dxa" w:w="2016"/>
            <w:vAlign w:val="top"/>
            <w:tcMar>
              <w:top w:w="80" w:type="dxa"/>
              <w:start w:w="100" w:type="dxa"/>
              <w:bottom w:w="80" w:type="dxa"/>
              <w:end w:w="100" w:type="dxa"/>
            </w:tcMar>
            <w:shd w:fill="F2F6F8"/>
          </w:tcPr>
          <w:p>
            <w:r>
              <w:rPr>
                <w:sz w:val="13"/>
              </w:rPr>
              <w:t>Research draft; useful synthesis, not approved canon.</w:t>
            </w:r>
          </w:p>
        </w:tc>
      </w:tr>
      <w:tr>
        <w:tc>
          <w:tcPr>
            <w:tcW w:type="dxa" w:w="2016"/>
            <w:vAlign w:val="top"/>
            <w:tcMar>
              <w:top w:w="80" w:type="dxa"/>
              <w:start w:w="100" w:type="dxa"/>
              <w:bottom w:w="80" w:type="dxa"/>
              <w:end w:w="100" w:type="dxa"/>
            </w:tcMar>
          </w:tcPr>
          <w:p>
            <w:r>
              <w:rPr>
                <w:sz w:val="13"/>
              </w:rPr>
              <w:t>OAL-CFTRL-NAIL-001_Conditional_Failure_Nail_Prototypes.docx</w:t>
            </w:r>
          </w:p>
        </w:tc>
        <w:tc>
          <w:tcPr>
            <w:tcW w:type="dxa" w:w="2016"/>
            <w:vAlign w:val="top"/>
            <w:tcMar>
              <w:top w:w="80" w:type="dxa"/>
              <w:start w:w="100" w:type="dxa"/>
              <w:bottom w:w="80" w:type="dxa"/>
              <w:end w:w="100" w:type="dxa"/>
            </w:tcMar>
          </w:tcPr>
          <w:p>
            <w:r>
              <w:rPr>
                <w:sz w:val="13"/>
              </w:rPr>
              <w:t>20809</w:t>
            </w:r>
          </w:p>
        </w:tc>
        <w:tc>
          <w:tcPr>
            <w:tcW w:type="dxa" w:w="2016"/>
            <w:vAlign w:val="top"/>
            <w:tcMar>
              <w:top w:w="80" w:type="dxa"/>
              <w:start w:w="100" w:type="dxa"/>
              <w:bottom w:w="80" w:type="dxa"/>
              <w:end w:w="100" w:type="dxa"/>
            </w:tcMar>
          </w:tcPr>
          <w:p>
            <w:r>
              <w:rPr>
                <w:sz w:val="13"/>
              </w:rPr>
              <w:t>6d14ee82ca43436680b02d0fc477aa6a3de69e5854e9f064604e5fc3f305ec53</w:t>
            </w:r>
          </w:p>
        </w:tc>
        <w:tc>
          <w:tcPr>
            <w:tcW w:type="dxa" w:w="2016"/>
            <w:vAlign w:val="top"/>
            <w:tcMar>
              <w:top w:w="80" w:type="dxa"/>
              <w:start w:w="100" w:type="dxa"/>
              <w:bottom w:w="80" w:type="dxa"/>
              <w:end w:w="100" w:type="dxa"/>
            </w:tcMar>
          </w:tcPr>
          <w:p>
            <w:r>
              <w:rPr>
                <w:sz w:val="13"/>
              </w:rPr>
              <w:t>Original combined CFTRL and Nail Prototype source draft</w:t>
            </w:r>
          </w:p>
        </w:tc>
        <w:tc>
          <w:tcPr>
            <w:tcW w:type="dxa" w:w="2016"/>
            <w:vAlign w:val="top"/>
            <w:tcMar>
              <w:top w:w="80" w:type="dxa"/>
              <w:start w:w="100" w:type="dxa"/>
              <w:bottom w:w="80" w:type="dxa"/>
              <w:end w:w="100" w:type="dxa"/>
            </w:tcMar>
          </w:tcPr>
          <w:p>
            <w:r>
              <w:rPr>
                <w:sz w:val="13"/>
              </w:rPr>
              <w:t>Foundational March 22, 2026 source draft; preserve unchanged.</w:t>
            </w:r>
          </w:p>
        </w:tc>
      </w:tr>
      <w:tr>
        <w:tc>
          <w:tcPr>
            <w:tcW w:type="dxa" w:w="2016"/>
            <w:vAlign w:val="top"/>
            <w:tcMar>
              <w:top w:w="80" w:type="dxa"/>
              <w:start w:w="100" w:type="dxa"/>
              <w:bottom w:w="80" w:type="dxa"/>
              <w:end w:w="100" w:type="dxa"/>
            </w:tcMar>
            <w:shd w:fill="F2F6F8"/>
          </w:tcPr>
          <w:p>
            <w:r>
              <w:rPr>
                <w:sz w:val="13"/>
              </w:rPr>
              <w:t>Development_Review_Conditional_Failure_and_Nail_Prototype_v1.0-1.pdf</w:t>
            </w:r>
          </w:p>
        </w:tc>
        <w:tc>
          <w:tcPr>
            <w:tcW w:type="dxa" w:w="2016"/>
            <w:vAlign w:val="top"/>
            <w:tcMar>
              <w:top w:w="80" w:type="dxa"/>
              <w:start w:w="100" w:type="dxa"/>
              <w:bottom w:w="80" w:type="dxa"/>
              <w:end w:w="100" w:type="dxa"/>
            </w:tcMar>
            <w:shd w:fill="F2F6F8"/>
          </w:tcPr>
          <w:p>
            <w:r>
              <w:rPr>
                <w:sz w:val="13"/>
              </w:rPr>
              <w:t>140132</w:t>
            </w:r>
          </w:p>
        </w:tc>
        <w:tc>
          <w:tcPr>
            <w:tcW w:type="dxa" w:w="2016"/>
            <w:vAlign w:val="top"/>
            <w:tcMar>
              <w:top w:w="80" w:type="dxa"/>
              <w:start w:w="100" w:type="dxa"/>
              <w:bottom w:w="80" w:type="dxa"/>
              <w:end w:w="100" w:type="dxa"/>
            </w:tcMar>
            <w:shd w:fill="F2F6F8"/>
          </w:tcPr>
          <w:p>
            <w:r>
              <w:rPr>
                <w:sz w:val="13"/>
              </w:rPr>
              <w:t>56a64e2c893fb7b12c0338b21268f47c2eae52a7ec3355fa2c1f74947616ecd5</w:t>
            </w:r>
          </w:p>
        </w:tc>
        <w:tc>
          <w:tcPr>
            <w:tcW w:type="dxa" w:w="2016"/>
            <w:vAlign w:val="top"/>
            <w:tcMar>
              <w:top w:w="80" w:type="dxa"/>
              <w:start w:w="100" w:type="dxa"/>
              <w:bottom w:w="80" w:type="dxa"/>
              <w:end w:w="100" w:type="dxa"/>
            </w:tcMar>
            <w:shd w:fill="F2F6F8"/>
          </w:tcPr>
          <w:p>
            <w:r>
              <w:rPr>
                <w:sz w:val="13"/>
              </w:rPr>
              <w:t>Original development review dossier</w:t>
            </w:r>
          </w:p>
        </w:tc>
        <w:tc>
          <w:tcPr>
            <w:tcW w:type="dxa" w:w="2016"/>
            <w:vAlign w:val="top"/>
            <w:tcMar>
              <w:top w:w="80" w:type="dxa"/>
              <w:start w:w="100" w:type="dxa"/>
              <w:bottom w:w="80" w:type="dxa"/>
              <w:end w:w="100" w:type="dxa"/>
            </w:tcMar>
            <w:shd w:fill="F2F6F8"/>
          </w:tcPr>
          <w:p>
            <w:r>
              <w:rPr>
                <w:sz w:val="13"/>
              </w:rPr>
              <w:t>Foundational March 22, 2026 review draft; preserve unchanged.</w:t>
            </w:r>
          </w:p>
        </w:tc>
      </w:tr>
    </w:tbl>
    <w:p>
      <w:pPr>
        <w:pStyle w:val="Heading2"/>
      </w:pPr>
      <w:r>
        <w:t>Corpus quality notes</w:t>
      </w:r>
    </w:p>
    <w:p>
      <w:pPr>
        <w:pStyle w:val="ListBullet"/>
      </w:pPr>
      <w:r>
        <w:t>The consolidated paste record is the most complete origin-and-response archive, but it is not a clean canonical document. It includes multiple collaborator outputs and an unrelated “Doug’s Personal Log” fragment embedded in one response. That fragment must remain in the immutable original for provenance but must be excluded from CFTRL working and canonical text.</w:t>
      </w:r>
    </w:p>
    <w:p>
      <w:pPr>
        <w:pStyle w:val="ListBullet"/>
      </w:pPr>
      <w:r>
        <w:t>The March 22 CFTRL/Nail source combines several concepts. CFTRL framework development should be separated from Nail Prototype scene and system documentation, with cross-references used only where the scene supplies a clear test case.</w:t>
      </w:r>
    </w:p>
    <w:p>
      <w:pPr>
        <w:pStyle w:val="ListBullet"/>
      </w:pPr>
      <w:r>
        <w:t>The prior research dossier is explicitly a draft under review. Its reconstructed appendices aid readability but do not replace the unchanged source files.</w:t>
      </w:r>
    </w:p>
    <w:p>
      <w:pPr>
        <w:pStyle w:val="ListBullet"/>
      </w:pPr>
      <w:r>
        <w:t>Some collaborator outputs cite remembered or incomplete sources. Every external claim must be reverified before public or canonical use.</w:t>
      </w:r>
    </w:p>
    <w:p>
      <w:pPr>
        <w:pStyle w:val="ListBullet"/>
      </w:pPr>
      <w:r>
        <w:t>The corpus contains provisional disagreement about details in the Nail Prototype material. Those conflicts should be handled in the Nail workstream rather than allowed to block CFTRL’s first systems model.</w:t>
      </w:r>
    </w:p>
    <w:p>
      <w:pPr>
        <w:pStyle w:val="Heading1"/>
      </w:pPr>
      <w:r>
        <w:t>Requirements extracted from the prompt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80" w:type="dxa"/>
              <w:start w:w="100" w:type="dxa"/>
              <w:bottom w:w="80" w:type="dxa"/>
              <w:end w:w="100" w:type="dxa"/>
            </w:tcMar>
          </w:tcPr>
          <w:p>
            <w:r>
              <w:rPr>
                <w:b/>
                <w:color w:val="FFFFFF"/>
                <w:sz w:val="14"/>
              </w:rPr>
              <w:t>ID</w:t>
            </w:r>
          </w:p>
        </w:tc>
        <w:tc>
          <w:tcPr>
            <w:tcW w:type="dxa" w:w="2520"/>
            <w:shd w:fill="17324D"/>
            <w:tcMar>
              <w:top w:w="80" w:type="dxa"/>
              <w:start w:w="100" w:type="dxa"/>
              <w:bottom w:w="80" w:type="dxa"/>
              <w:end w:w="100" w:type="dxa"/>
            </w:tcMar>
          </w:tcPr>
          <w:p>
            <w:r>
              <w:rPr>
                <w:b/>
                <w:color w:val="FFFFFF"/>
                <w:sz w:val="14"/>
              </w:rPr>
              <w:t>Requirement</w:t>
            </w:r>
          </w:p>
        </w:tc>
        <w:tc>
          <w:tcPr>
            <w:tcW w:type="dxa" w:w="2520"/>
            <w:shd w:fill="17324D"/>
            <w:tcMar>
              <w:top w:w="80" w:type="dxa"/>
              <w:start w:w="100" w:type="dxa"/>
              <w:bottom w:w="80" w:type="dxa"/>
              <w:end w:w="100" w:type="dxa"/>
            </w:tcMar>
          </w:tcPr>
          <w:p>
            <w:r>
              <w:rPr>
                <w:b/>
                <w:color w:val="FFFFFF"/>
                <w:sz w:val="14"/>
              </w:rPr>
              <w:t>Type</w:t>
            </w:r>
          </w:p>
        </w:tc>
        <w:tc>
          <w:tcPr>
            <w:tcW w:type="dxa" w:w="2520"/>
            <w:shd w:fill="17324D"/>
            <w:tcMar>
              <w:top w:w="80" w:type="dxa"/>
              <w:start w:w="100" w:type="dxa"/>
              <w:bottom w:w="80" w:type="dxa"/>
              <w:end w:w="100" w:type="dxa"/>
            </w:tcMar>
          </w:tcPr>
          <w:p>
            <w:r>
              <w:rPr>
                <w:b/>
                <w:color w:val="FFFFFF"/>
                <w:sz w:val="14"/>
              </w:rPr>
              <w:t>Acceptance evidence</w:t>
            </w:r>
          </w:p>
        </w:tc>
      </w:tr>
      <w:tr>
        <w:tc>
          <w:tcPr>
            <w:tcW w:type="dxa" w:w="2520"/>
            <w:vAlign w:val="top"/>
            <w:tcMar>
              <w:top w:w="80" w:type="dxa"/>
              <w:start w:w="100" w:type="dxa"/>
              <w:bottom w:w="80" w:type="dxa"/>
              <w:end w:w="100" w:type="dxa"/>
            </w:tcMar>
          </w:tcPr>
          <w:p>
            <w:r>
              <w:rPr>
                <w:sz w:val="14"/>
              </w:rPr>
              <w:t>SRC-001</w:t>
            </w:r>
          </w:p>
        </w:tc>
        <w:tc>
          <w:tcPr>
            <w:tcW w:type="dxa" w:w="2520"/>
            <w:vAlign w:val="top"/>
            <w:tcMar>
              <w:top w:w="80" w:type="dxa"/>
              <w:start w:w="100" w:type="dxa"/>
              <w:bottom w:w="80" w:type="dxa"/>
              <w:end w:w="100" w:type="dxa"/>
            </w:tcMar>
          </w:tcPr>
          <w:p>
            <w:r>
              <w:rPr>
                <w:sz w:val="14"/>
              </w:rPr>
              <w:t>Save the thought and preserve the original generated documents.</w:t>
            </w:r>
          </w:p>
        </w:tc>
        <w:tc>
          <w:tcPr>
            <w:tcW w:type="dxa" w:w="2520"/>
            <w:vAlign w:val="top"/>
            <w:tcMar>
              <w:top w:w="80" w:type="dxa"/>
              <w:start w:w="100" w:type="dxa"/>
              <w:bottom w:w="80" w:type="dxa"/>
              <w:end w:w="100" w:type="dxa"/>
            </w:tcMar>
          </w:tcPr>
          <w:p>
            <w:r>
              <w:rPr>
                <w:sz w:val="14"/>
              </w:rPr>
              <w:t>Provenance</w:t>
            </w:r>
          </w:p>
        </w:tc>
        <w:tc>
          <w:tcPr>
            <w:tcW w:type="dxa" w:w="2520"/>
            <w:vAlign w:val="top"/>
            <w:tcMar>
              <w:top w:w="80" w:type="dxa"/>
              <w:start w:w="100" w:type="dxa"/>
              <w:bottom w:w="80" w:type="dxa"/>
              <w:end w:w="100" w:type="dxa"/>
            </w:tcMar>
          </w:tcPr>
          <w:p>
            <w:r>
              <w:rPr>
                <w:sz w:val="14"/>
              </w:rPr>
              <w:t>Original files plus checksums and inventory.</w:t>
            </w:r>
          </w:p>
        </w:tc>
      </w:tr>
      <w:tr>
        <w:tc>
          <w:tcPr>
            <w:tcW w:type="dxa" w:w="2520"/>
            <w:vAlign w:val="top"/>
            <w:tcMar>
              <w:top w:w="80" w:type="dxa"/>
              <w:start w:w="100" w:type="dxa"/>
              <w:bottom w:w="80" w:type="dxa"/>
              <w:end w:w="100" w:type="dxa"/>
            </w:tcMar>
            <w:shd w:fill="F2F6F8"/>
          </w:tcPr>
          <w:p>
            <w:r>
              <w:rPr>
                <w:sz w:val="14"/>
              </w:rPr>
              <w:t>RES-001</w:t>
            </w:r>
          </w:p>
        </w:tc>
        <w:tc>
          <w:tcPr>
            <w:tcW w:type="dxa" w:w="2520"/>
            <w:vAlign w:val="top"/>
            <w:tcMar>
              <w:top w:w="80" w:type="dxa"/>
              <w:start w:w="100" w:type="dxa"/>
              <w:bottom w:w="80" w:type="dxa"/>
              <w:end w:w="100" w:type="dxa"/>
            </w:tcMar>
            <w:shd w:fill="F2F6F8"/>
          </w:tcPr>
          <w:p>
            <w:r>
              <w:rPr>
                <w:sz w:val="14"/>
              </w:rPr>
              <w:t>Research root-level structures: origins, failure, and maintenance.</w:t>
            </w:r>
          </w:p>
        </w:tc>
        <w:tc>
          <w:tcPr>
            <w:tcW w:type="dxa" w:w="2520"/>
            <w:vAlign w:val="top"/>
            <w:tcMar>
              <w:top w:w="80" w:type="dxa"/>
              <w:start w:w="100" w:type="dxa"/>
              <w:bottom w:w="80" w:type="dxa"/>
              <w:end w:w="100" w:type="dxa"/>
            </w:tcMar>
            <w:shd w:fill="F2F6F8"/>
          </w:tcPr>
          <w:p>
            <w:r>
              <w:rPr>
                <w:sz w:val="14"/>
              </w:rPr>
              <w:t>Research</w:t>
            </w:r>
          </w:p>
        </w:tc>
        <w:tc>
          <w:tcPr>
            <w:tcW w:type="dxa" w:w="2520"/>
            <w:vAlign w:val="top"/>
            <w:tcMar>
              <w:top w:w="80" w:type="dxa"/>
              <w:start w:w="100" w:type="dxa"/>
              <w:bottom w:w="80" w:type="dxa"/>
              <w:end w:w="100" w:type="dxa"/>
            </w:tcMar>
            <w:shd w:fill="F2F6F8"/>
          </w:tcPr>
          <w:p>
            <w:r>
              <w:rPr>
                <w:sz w:val="14"/>
              </w:rPr>
              <w:t>Evidence-supported synthesis with explicit boundaries.</w:t>
            </w:r>
          </w:p>
        </w:tc>
      </w:tr>
      <w:tr>
        <w:tc>
          <w:tcPr>
            <w:tcW w:type="dxa" w:w="2520"/>
            <w:vAlign w:val="top"/>
            <w:tcMar>
              <w:top w:w="80" w:type="dxa"/>
              <w:start w:w="100" w:type="dxa"/>
              <w:bottom w:w="80" w:type="dxa"/>
              <w:end w:w="100" w:type="dxa"/>
            </w:tcMar>
          </w:tcPr>
          <w:p>
            <w:r>
              <w:rPr>
                <w:sz w:val="14"/>
              </w:rPr>
              <w:t>RES-002</w:t>
            </w:r>
          </w:p>
        </w:tc>
        <w:tc>
          <w:tcPr>
            <w:tcW w:type="dxa" w:w="2520"/>
            <w:vAlign w:val="top"/>
            <w:tcMar>
              <w:top w:w="80" w:type="dxa"/>
              <w:start w:w="100" w:type="dxa"/>
              <w:bottom w:w="80" w:type="dxa"/>
              <w:end w:w="100" w:type="dxa"/>
            </w:tcMar>
          </w:tcPr>
          <w:p>
            <w:r>
              <w:rPr>
                <w:sz w:val="14"/>
              </w:rPr>
              <w:t>Distinguish root-level from non-root structures.</w:t>
            </w:r>
          </w:p>
        </w:tc>
        <w:tc>
          <w:tcPr>
            <w:tcW w:type="dxa" w:w="2520"/>
            <w:vAlign w:val="top"/>
            <w:tcMar>
              <w:top w:w="80" w:type="dxa"/>
              <w:start w:w="100" w:type="dxa"/>
              <w:bottom w:w="80" w:type="dxa"/>
              <w:end w:w="100" w:type="dxa"/>
            </w:tcMar>
          </w:tcPr>
          <w:p>
            <w:r>
              <w:rPr>
                <w:sz w:val="14"/>
              </w:rPr>
              <w:t>Framework</w:t>
            </w:r>
          </w:p>
        </w:tc>
        <w:tc>
          <w:tcPr>
            <w:tcW w:type="dxa" w:w="2520"/>
            <w:vAlign w:val="top"/>
            <w:tcMar>
              <w:top w:w="80" w:type="dxa"/>
              <w:start w:w="100" w:type="dxa"/>
              <w:bottom w:w="80" w:type="dxa"/>
              <w:end w:w="100" w:type="dxa"/>
            </w:tcMar>
          </w:tcPr>
          <w:p>
            <w:r>
              <w:rPr>
                <w:sz w:val="14"/>
              </w:rPr>
              <w:t>Operational criteria, counterexamples, and tests.</w:t>
            </w:r>
          </w:p>
        </w:tc>
      </w:tr>
      <w:tr>
        <w:tc>
          <w:tcPr>
            <w:tcW w:type="dxa" w:w="2520"/>
            <w:vAlign w:val="top"/>
            <w:tcMar>
              <w:top w:w="80" w:type="dxa"/>
              <w:start w:w="100" w:type="dxa"/>
              <w:bottom w:w="80" w:type="dxa"/>
              <w:end w:w="100" w:type="dxa"/>
            </w:tcMar>
            <w:shd w:fill="F2F6F8"/>
          </w:tcPr>
          <w:p>
            <w:r>
              <w:rPr>
                <w:sz w:val="14"/>
              </w:rPr>
              <w:t>RES-003</w:t>
            </w:r>
          </w:p>
        </w:tc>
        <w:tc>
          <w:tcPr>
            <w:tcW w:type="dxa" w:w="2520"/>
            <w:vAlign w:val="top"/>
            <w:tcMar>
              <w:top w:w="80" w:type="dxa"/>
              <w:start w:w="100" w:type="dxa"/>
              <w:bottom w:w="80" w:type="dxa"/>
              <w:end w:w="100" w:type="dxa"/>
            </w:tcMar>
            <w:shd w:fill="F2F6F8"/>
          </w:tcPr>
          <w:p>
            <w:r>
              <w:rPr>
                <w:sz w:val="14"/>
              </w:rPr>
              <w:t>Examine whether a system can distinguish base reality from non-base conditions.</w:t>
            </w:r>
          </w:p>
        </w:tc>
        <w:tc>
          <w:tcPr>
            <w:tcW w:type="dxa" w:w="2520"/>
            <w:vAlign w:val="top"/>
            <w:tcMar>
              <w:top w:w="80" w:type="dxa"/>
              <w:start w:w="100" w:type="dxa"/>
              <w:bottom w:w="80" w:type="dxa"/>
              <w:end w:w="100" w:type="dxa"/>
            </w:tcMar>
            <w:shd w:fill="F2F6F8"/>
          </w:tcPr>
          <w:p>
            <w:r>
              <w:rPr>
                <w:sz w:val="14"/>
              </w:rPr>
              <w:t>Epistemology</w:t>
            </w:r>
          </w:p>
        </w:tc>
        <w:tc>
          <w:tcPr>
            <w:tcW w:type="dxa" w:w="2520"/>
            <w:vAlign w:val="top"/>
            <w:tcMar>
              <w:top w:w="80" w:type="dxa"/>
              <w:start w:w="100" w:type="dxa"/>
              <w:bottom w:w="80" w:type="dxa"/>
              <w:end w:w="100" w:type="dxa"/>
            </w:tcMar>
            <w:shd w:fill="F2F6F8"/>
          </w:tcPr>
          <w:p>
            <w:r>
              <w:rPr>
                <w:sz w:val="14"/>
              </w:rPr>
              <w:t>Separation of testable operational claims from unresolved ontological claims.</w:t>
            </w:r>
          </w:p>
        </w:tc>
      </w:tr>
      <w:tr>
        <w:tc>
          <w:tcPr>
            <w:tcW w:type="dxa" w:w="2520"/>
            <w:vAlign w:val="top"/>
            <w:tcMar>
              <w:top w:w="80" w:type="dxa"/>
              <w:start w:w="100" w:type="dxa"/>
              <w:bottom w:w="80" w:type="dxa"/>
              <w:end w:w="100" w:type="dxa"/>
            </w:tcMar>
          </w:tcPr>
          <w:p>
            <w:r>
              <w:rPr>
                <w:sz w:val="14"/>
              </w:rPr>
              <w:t>RES-004</w:t>
            </w:r>
          </w:p>
        </w:tc>
        <w:tc>
          <w:tcPr>
            <w:tcW w:type="dxa" w:w="2520"/>
            <w:vAlign w:val="top"/>
            <w:tcMar>
              <w:top w:w="80" w:type="dxa"/>
              <w:start w:w="100" w:type="dxa"/>
              <w:bottom w:w="80" w:type="dxa"/>
              <w:end w:w="100" w:type="dxa"/>
            </w:tcMar>
          </w:tcPr>
          <w:p>
            <w:r>
              <w:rPr>
                <w:sz w:val="14"/>
              </w:rPr>
              <w:t>Define how a system detects root failure or compromised base reality.</w:t>
            </w:r>
          </w:p>
        </w:tc>
        <w:tc>
          <w:tcPr>
            <w:tcW w:type="dxa" w:w="2520"/>
            <w:vAlign w:val="top"/>
            <w:tcMar>
              <w:top w:w="80" w:type="dxa"/>
              <w:start w:w="100" w:type="dxa"/>
              <w:bottom w:w="80" w:type="dxa"/>
              <w:end w:w="100" w:type="dxa"/>
            </w:tcMar>
          </w:tcPr>
          <w:p>
            <w:r>
              <w:rPr>
                <w:sz w:val="14"/>
              </w:rPr>
              <w:t>Detection</w:t>
            </w:r>
          </w:p>
        </w:tc>
        <w:tc>
          <w:tcPr>
            <w:tcW w:type="dxa" w:w="2520"/>
            <w:vAlign w:val="top"/>
            <w:tcMar>
              <w:top w:w="80" w:type="dxa"/>
              <w:start w:w="100" w:type="dxa"/>
              <w:bottom w:w="80" w:type="dxa"/>
              <w:end w:w="100" w:type="dxa"/>
            </w:tcMar>
          </w:tcPr>
          <w:p>
            <w:r>
              <w:rPr>
                <w:sz w:val="14"/>
              </w:rPr>
              <w:t>Failure states, evidence ladder, competing hypotheses, confidence protocol.</w:t>
            </w:r>
          </w:p>
        </w:tc>
      </w:tr>
      <w:tr>
        <w:tc>
          <w:tcPr>
            <w:tcW w:type="dxa" w:w="2520"/>
            <w:vAlign w:val="top"/>
            <w:tcMar>
              <w:top w:w="80" w:type="dxa"/>
              <w:start w:w="100" w:type="dxa"/>
              <w:bottom w:w="80" w:type="dxa"/>
              <w:end w:w="100" w:type="dxa"/>
            </w:tcMar>
            <w:shd w:fill="F2F6F8"/>
          </w:tcPr>
          <w:p>
            <w:r>
              <w:rPr>
                <w:sz w:val="14"/>
              </w:rPr>
              <w:t>RES-005</w:t>
            </w:r>
          </w:p>
        </w:tc>
        <w:tc>
          <w:tcPr>
            <w:tcW w:type="dxa" w:w="2520"/>
            <w:vAlign w:val="top"/>
            <w:tcMar>
              <w:top w:w="80" w:type="dxa"/>
              <w:start w:w="100" w:type="dxa"/>
              <w:bottom w:w="80" w:type="dxa"/>
              <w:end w:w="100" w:type="dxa"/>
            </w:tcMar>
            <w:shd w:fill="F2F6F8"/>
          </w:tcPr>
          <w:p>
            <w:r>
              <w:rPr>
                <w:sz w:val="14"/>
              </w:rPr>
              <w:t>Explain how to study the concept and what works or fails.</w:t>
            </w:r>
          </w:p>
        </w:tc>
        <w:tc>
          <w:tcPr>
            <w:tcW w:type="dxa" w:w="2520"/>
            <w:vAlign w:val="top"/>
            <w:tcMar>
              <w:top w:w="80" w:type="dxa"/>
              <w:start w:w="100" w:type="dxa"/>
              <w:bottom w:w="80" w:type="dxa"/>
              <w:end w:w="100" w:type="dxa"/>
            </w:tcMar>
            <w:shd w:fill="F2F6F8"/>
          </w:tcPr>
          <w:p>
            <w:r>
              <w:rPr>
                <w:sz w:val="14"/>
              </w:rPr>
              <w:t>Methodology</w:t>
            </w:r>
          </w:p>
        </w:tc>
        <w:tc>
          <w:tcPr>
            <w:tcW w:type="dxa" w:w="2520"/>
            <w:vAlign w:val="top"/>
            <w:tcMar>
              <w:top w:w="80" w:type="dxa"/>
              <w:start w:w="100" w:type="dxa"/>
              <w:bottom w:w="80" w:type="dxa"/>
              <w:end w:w="100" w:type="dxa"/>
            </w:tcMar>
            <w:shd w:fill="F2F6F8"/>
          </w:tcPr>
          <w:p>
            <w:r>
              <w:rPr>
                <w:sz w:val="14"/>
              </w:rPr>
              <w:t>Laboratory architecture, experiment matrix, limitations assessment.</w:t>
            </w:r>
          </w:p>
        </w:tc>
      </w:tr>
      <w:tr>
        <w:tc>
          <w:tcPr>
            <w:tcW w:type="dxa" w:w="2520"/>
            <w:vAlign w:val="top"/>
            <w:tcMar>
              <w:top w:w="80" w:type="dxa"/>
              <w:start w:w="100" w:type="dxa"/>
              <w:bottom w:w="80" w:type="dxa"/>
              <w:end w:w="100" w:type="dxa"/>
            </w:tcMar>
          </w:tcPr>
          <w:p>
            <w:r>
              <w:rPr>
                <w:sz w:val="14"/>
              </w:rPr>
              <w:t>RES-006</w:t>
            </w:r>
          </w:p>
        </w:tc>
        <w:tc>
          <w:tcPr>
            <w:tcW w:type="dxa" w:w="2520"/>
            <w:vAlign w:val="top"/>
            <w:tcMar>
              <w:top w:w="80" w:type="dxa"/>
              <w:start w:w="100" w:type="dxa"/>
              <w:bottom w:w="80" w:type="dxa"/>
              <w:end w:w="100" w:type="dxa"/>
            </w:tcMar>
          </w:tcPr>
          <w:p>
            <w:r>
              <w:rPr>
                <w:sz w:val="14"/>
              </w:rPr>
              <w:t>Study what may lie beyond known structures without assuming a complete map.</w:t>
            </w:r>
          </w:p>
        </w:tc>
        <w:tc>
          <w:tcPr>
            <w:tcW w:type="dxa" w:w="2520"/>
            <w:vAlign w:val="top"/>
            <w:tcMar>
              <w:top w:w="80" w:type="dxa"/>
              <w:start w:w="100" w:type="dxa"/>
              <w:bottom w:w="80" w:type="dxa"/>
              <w:end w:w="100" w:type="dxa"/>
            </w:tcMar>
          </w:tcPr>
          <w:p>
            <w:r>
              <w:rPr>
                <w:sz w:val="14"/>
              </w:rPr>
              <w:t>Exploratory</w:t>
            </w:r>
          </w:p>
        </w:tc>
        <w:tc>
          <w:tcPr>
            <w:tcW w:type="dxa" w:w="2520"/>
            <w:vAlign w:val="top"/>
            <w:tcMar>
              <w:top w:w="80" w:type="dxa"/>
              <w:start w:w="100" w:type="dxa"/>
              <w:bottom w:w="80" w:type="dxa"/>
              <w:end w:w="100" w:type="dxa"/>
            </w:tcMar>
          </w:tcPr>
          <w:p>
            <w:r>
              <w:rPr>
                <w:sz w:val="14"/>
              </w:rPr>
              <w:t>Alternative-model and unknown-boundary method.</w:t>
            </w:r>
          </w:p>
        </w:tc>
      </w:tr>
      <w:tr>
        <w:tc>
          <w:tcPr>
            <w:tcW w:type="dxa" w:w="2520"/>
            <w:vAlign w:val="top"/>
            <w:tcMar>
              <w:top w:w="80" w:type="dxa"/>
              <w:start w:w="100" w:type="dxa"/>
              <w:bottom w:w="80" w:type="dxa"/>
              <w:end w:w="100" w:type="dxa"/>
            </w:tcMar>
            <w:shd w:fill="F2F6F8"/>
          </w:tcPr>
          <w:p>
            <w:r>
              <w:rPr>
                <w:sz w:val="14"/>
              </w:rPr>
              <w:t>RES-007</w:t>
            </w:r>
          </w:p>
        </w:tc>
        <w:tc>
          <w:tcPr>
            <w:tcW w:type="dxa" w:w="2520"/>
            <w:vAlign w:val="top"/>
            <w:tcMar>
              <w:top w:w="80" w:type="dxa"/>
              <w:start w:w="100" w:type="dxa"/>
              <w:bottom w:w="80" w:type="dxa"/>
              <w:end w:w="100" w:type="dxa"/>
            </w:tcMar>
            <w:shd w:fill="F2F6F8"/>
          </w:tcPr>
          <w:p>
            <w:r>
              <w:rPr>
                <w:sz w:val="14"/>
              </w:rPr>
              <w:t>Model similarities and divergences in real structures.</w:t>
            </w:r>
          </w:p>
        </w:tc>
        <w:tc>
          <w:tcPr>
            <w:tcW w:type="dxa" w:w="2520"/>
            <w:vAlign w:val="top"/>
            <w:tcMar>
              <w:top w:w="80" w:type="dxa"/>
              <w:start w:w="100" w:type="dxa"/>
              <w:bottom w:w="80" w:type="dxa"/>
              <w:end w:w="100" w:type="dxa"/>
            </w:tcMar>
            <w:shd w:fill="F2F6F8"/>
          </w:tcPr>
          <w:p>
            <w:r>
              <w:rPr>
                <w:sz w:val="14"/>
              </w:rPr>
              <w:t>Modeling</w:t>
            </w:r>
          </w:p>
        </w:tc>
        <w:tc>
          <w:tcPr>
            <w:tcW w:type="dxa" w:w="2520"/>
            <w:vAlign w:val="top"/>
            <w:tcMar>
              <w:top w:w="80" w:type="dxa"/>
              <w:start w:w="100" w:type="dxa"/>
              <w:bottom w:w="80" w:type="dxa"/>
              <w:end w:w="100" w:type="dxa"/>
            </w:tcMar>
            <w:shd w:fill="F2F6F8"/>
          </w:tcPr>
          <w:p>
            <w:r>
              <w:rPr>
                <w:sz w:val="14"/>
              </w:rPr>
              <w:t>Cross-domain analogues and sensitivity to topology.</w:t>
            </w:r>
          </w:p>
        </w:tc>
      </w:tr>
      <w:tr>
        <w:tc>
          <w:tcPr>
            <w:tcW w:type="dxa" w:w="2520"/>
            <w:vAlign w:val="top"/>
            <w:tcMar>
              <w:top w:w="80" w:type="dxa"/>
              <w:start w:w="100" w:type="dxa"/>
              <w:bottom w:w="80" w:type="dxa"/>
              <w:end w:w="100" w:type="dxa"/>
            </w:tcMar>
          </w:tcPr>
          <w:p>
            <w:r>
              <w:rPr>
                <w:sz w:val="14"/>
              </w:rPr>
              <w:t>RES-008</w:t>
            </w:r>
          </w:p>
        </w:tc>
        <w:tc>
          <w:tcPr>
            <w:tcW w:type="dxa" w:w="2520"/>
            <w:vAlign w:val="top"/>
            <w:tcMar>
              <w:top w:w="80" w:type="dxa"/>
              <w:start w:w="100" w:type="dxa"/>
              <w:bottom w:w="80" w:type="dxa"/>
              <w:end w:w="100" w:type="dxa"/>
            </w:tcMar>
          </w:tcPr>
          <w:p>
            <w:r>
              <w:rPr>
                <w:sz w:val="14"/>
              </w:rPr>
              <w:t>Assess feasibility of simulations or other modeling.</w:t>
            </w:r>
          </w:p>
        </w:tc>
        <w:tc>
          <w:tcPr>
            <w:tcW w:type="dxa" w:w="2520"/>
            <w:vAlign w:val="top"/>
            <w:tcMar>
              <w:top w:w="80" w:type="dxa"/>
              <w:start w:w="100" w:type="dxa"/>
              <w:bottom w:w="80" w:type="dxa"/>
              <w:end w:w="100" w:type="dxa"/>
            </w:tcMar>
          </w:tcPr>
          <w:p>
            <w:r>
              <w:rPr>
                <w:sz w:val="14"/>
              </w:rPr>
              <w:t>Technical</w:t>
            </w:r>
          </w:p>
        </w:tc>
        <w:tc>
          <w:tcPr>
            <w:tcW w:type="dxa" w:w="2520"/>
            <w:vAlign w:val="top"/>
            <w:tcMar>
              <w:top w:w="80" w:type="dxa"/>
              <w:start w:w="100" w:type="dxa"/>
              <w:bottom w:w="80" w:type="dxa"/>
              <w:end w:w="100" w:type="dxa"/>
            </w:tcMar>
          </w:tcPr>
          <w:p>
            <w:r>
              <w:rPr>
                <w:sz w:val="14"/>
              </w:rPr>
              <w:t>MVP design, measures, reproducibility, and safety controls.</w:t>
            </w:r>
          </w:p>
        </w:tc>
      </w:tr>
      <w:tr>
        <w:tc>
          <w:tcPr>
            <w:tcW w:type="dxa" w:w="2520"/>
            <w:vAlign w:val="top"/>
            <w:tcMar>
              <w:top w:w="80" w:type="dxa"/>
              <w:start w:w="100" w:type="dxa"/>
              <w:bottom w:w="80" w:type="dxa"/>
              <w:end w:w="100" w:type="dxa"/>
            </w:tcMar>
            <w:shd w:fill="F2F6F8"/>
          </w:tcPr>
          <w:p>
            <w:r>
              <w:rPr>
                <w:sz w:val="14"/>
              </w:rPr>
              <w:t>RES-009</w:t>
            </w:r>
          </w:p>
        </w:tc>
        <w:tc>
          <w:tcPr>
            <w:tcW w:type="dxa" w:w="2520"/>
            <w:vAlign w:val="top"/>
            <w:tcMar>
              <w:top w:w="80" w:type="dxa"/>
              <w:start w:w="100" w:type="dxa"/>
              <w:bottom w:w="80" w:type="dxa"/>
              <w:end w:w="100" w:type="dxa"/>
            </w:tcMar>
            <w:shd w:fill="F2F6F8"/>
          </w:tcPr>
          <w:p>
            <w:r>
              <w:rPr>
                <w:sz w:val="14"/>
              </w:rPr>
              <w:t>Design a laboratory environment.</w:t>
            </w:r>
          </w:p>
        </w:tc>
        <w:tc>
          <w:tcPr>
            <w:tcW w:type="dxa" w:w="2520"/>
            <w:vAlign w:val="top"/>
            <w:tcMar>
              <w:top w:w="80" w:type="dxa"/>
              <w:start w:w="100" w:type="dxa"/>
              <w:bottom w:w="80" w:type="dxa"/>
              <w:end w:w="100" w:type="dxa"/>
            </w:tcMar>
            <w:shd w:fill="F2F6F8"/>
          </w:tcPr>
          <w:p>
            <w:r>
              <w:rPr>
                <w:sz w:val="14"/>
              </w:rPr>
              <w:t>Architecture</w:t>
            </w:r>
          </w:p>
        </w:tc>
        <w:tc>
          <w:tcPr>
            <w:tcW w:type="dxa" w:w="2520"/>
            <w:vAlign w:val="top"/>
            <w:tcMar>
              <w:top w:w="80" w:type="dxa"/>
              <w:start w:w="100" w:type="dxa"/>
              <w:bottom w:w="80" w:type="dxa"/>
              <w:end w:w="100" w:type="dxa"/>
            </w:tcMar>
            <w:shd w:fill="F2F6F8"/>
          </w:tcPr>
          <w:p>
            <w:r>
              <w:rPr>
                <w:sz w:val="14"/>
              </w:rPr>
              <w:t>Components, roles, ground truth, witness, injector, evidence vault, stop controls.</w:t>
            </w:r>
          </w:p>
        </w:tc>
      </w:tr>
      <w:tr>
        <w:tc>
          <w:tcPr>
            <w:tcW w:type="dxa" w:w="2520"/>
            <w:vAlign w:val="top"/>
            <w:tcMar>
              <w:top w:w="80" w:type="dxa"/>
              <w:start w:w="100" w:type="dxa"/>
              <w:bottom w:w="80" w:type="dxa"/>
              <w:end w:w="100" w:type="dxa"/>
            </w:tcMar>
          </w:tcPr>
          <w:p>
            <w:r>
              <w:rPr>
                <w:sz w:val="14"/>
              </w:rPr>
              <w:t>RES-010</w:t>
            </w:r>
          </w:p>
        </w:tc>
        <w:tc>
          <w:tcPr>
            <w:tcW w:type="dxa" w:w="2520"/>
            <w:vAlign w:val="top"/>
            <w:tcMar>
              <w:top w:w="80" w:type="dxa"/>
              <w:start w:w="100" w:type="dxa"/>
              <w:bottom w:w="80" w:type="dxa"/>
              <w:end w:w="100" w:type="dxa"/>
            </w:tcMar>
          </w:tcPr>
          <w:p>
            <w:r>
              <w:rPr>
                <w:sz w:val="14"/>
              </w:rPr>
              <w:t>Define a reliable map of reality under incomplete information.</w:t>
            </w:r>
          </w:p>
        </w:tc>
        <w:tc>
          <w:tcPr>
            <w:tcW w:type="dxa" w:w="2520"/>
            <w:vAlign w:val="top"/>
            <w:tcMar>
              <w:top w:w="80" w:type="dxa"/>
              <w:start w:w="100" w:type="dxa"/>
              <w:bottom w:w="80" w:type="dxa"/>
              <w:end w:w="100" w:type="dxa"/>
            </w:tcMar>
          </w:tcPr>
          <w:p>
            <w:r>
              <w:rPr>
                <w:sz w:val="14"/>
              </w:rPr>
              <w:t>Epistemology/methods</w:t>
            </w:r>
          </w:p>
        </w:tc>
        <w:tc>
          <w:tcPr>
            <w:tcW w:type="dxa" w:w="2520"/>
            <w:vAlign w:val="top"/>
            <w:tcMar>
              <w:top w:w="80" w:type="dxa"/>
              <w:start w:w="100" w:type="dxa"/>
              <w:bottom w:w="80" w:type="dxa"/>
              <w:end w:w="100" w:type="dxa"/>
            </w:tcMar>
          </w:tcPr>
          <w:p>
            <w:r>
              <w:rPr>
                <w:sz w:val="14"/>
              </w:rPr>
              <w:t>Versioned model, provenance, uncertainty, alternatives, intervention tests.</w:t>
            </w:r>
          </w:p>
        </w:tc>
      </w:tr>
      <w:tr>
        <w:tc>
          <w:tcPr>
            <w:tcW w:type="dxa" w:w="2520"/>
            <w:vAlign w:val="top"/>
            <w:tcMar>
              <w:top w:w="80" w:type="dxa"/>
              <w:start w:w="100" w:type="dxa"/>
              <w:bottom w:w="80" w:type="dxa"/>
              <w:end w:w="100" w:type="dxa"/>
            </w:tcMar>
            <w:shd w:fill="F2F6F8"/>
          </w:tcPr>
          <w:p>
            <w:r>
              <w:rPr>
                <w:sz w:val="14"/>
              </w:rPr>
              <w:t>RES-011</w:t>
            </w:r>
          </w:p>
        </w:tc>
        <w:tc>
          <w:tcPr>
            <w:tcW w:type="dxa" w:w="2520"/>
            <w:vAlign w:val="top"/>
            <w:tcMar>
              <w:top w:w="80" w:type="dxa"/>
              <w:start w:w="100" w:type="dxa"/>
              <w:bottom w:w="80" w:type="dxa"/>
              <w:end w:w="100" w:type="dxa"/>
            </w:tcMar>
            <w:shd w:fill="F2F6F8"/>
          </w:tcPr>
          <w:p>
            <w:r>
              <w:rPr>
                <w:sz w:val="14"/>
              </w:rPr>
              <w:t>Use failure as a source of learning.</w:t>
            </w:r>
          </w:p>
        </w:tc>
        <w:tc>
          <w:tcPr>
            <w:tcW w:type="dxa" w:w="2520"/>
            <w:vAlign w:val="top"/>
            <w:tcMar>
              <w:top w:w="80" w:type="dxa"/>
              <w:start w:w="100" w:type="dxa"/>
              <w:bottom w:w="80" w:type="dxa"/>
              <w:end w:w="100" w:type="dxa"/>
            </w:tcMar>
            <w:shd w:fill="F2F6F8"/>
          </w:tcPr>
          <w:p>
            <w:r>
              <w:rPr>
                <w:sz w:val="14"/>
              </w:rPr>
              <w:t>Governance</w:t>
            </w:r>
          </w:p>
        </w:tc>
        <w:tc>
          <w:tcPr>
            <w:tcW w:type="dxa" w:w="2520"/>
            <w:vAlign w:val="top"/>
            <w:tcMar>
              <w:top w:w="80" w:type="dxa"/>
              <w:start w:w="100" w:type="dxa"/>
              <w:bottom w:w="80" w:type="dxa"/>
              <w:end w:w="100" w:type="dxa"/>
            </w:tcMar>
            <w:shd w:fill="F2F6F8"/>
          </w:tcPr>
          <w:p>
            <w:r>
              <w:rPr>
                <w:sz w:val="14"/>
              </w:rPr>
              <w:t>Department of Endings workflow from scenario to verified design change.</w:t>
            </w:r>
          </w:p>
        </w:tc>
      </w:tr>
      <w:tr>
        <w:tc>
          <w:tcPr>
            <w:tcW w:type="dxa" w:w="2520"/>
            <w:vAlign w:val="top"/>
            <w:tcMar>
              <w:top w:w="80" w:type="dxa"/>
              <w:start w:w="100" w:type="dxa"/>
              <w:bottom w:w="80" w:type="dxa"/>
              <w:end w:w="100" w:type="dxa"/>
            </w:tcMar>
          </w:tcPr>
          <w:p>
            <w:r>
              <w:rPr>
                <w:sz w:val="14"/>
              </w:rPr>
              <w:t>DOC-001</w:t>
            </w:r>
          </w:p>
        </w:tc>
        <w:tc>
          <w:tcPr>
            <w:tcW w:type="dxa" w:w="2520"/>
            <w:vAlign w:val="top"/>
            <w:tcMar>
              <w:top w:w="80" w:type="dxa"/>
              <w:start w:w="100" w:type="dxa"/>
              <w:bottom w:w="80" w:type="dxa"/>
              <w:end w:w="100" w:type="dxa"/>
            </w:tcMar>
          </w:tcPr>
          <w:p>
            <w:r>
              <w:rPr>
                <w:sz w:val="14"/>
              </w:rPr>
              <w:t>Give generated documentation a proper title and date.</w:t>
            </w:r>
          </w:p>
        </w:tc>
        <w:tc>
          <w:tcPr>
            <w:tcW w:type="dxa" w:w="2520"/>
            <w:vAlign w:val="top"/>
            <w:tcMar>
              <w:top w:w="80" w:type="dxa"/>
              <w:start w:w="100" w:type="dxa"/>
              <w:bottom w:w="80" w:type="dxa"/>
              <w:end w:w="100" w:type="dxa"/>
            </w:tcMar>
          </w:tcPr>
          <w:p>
            <w:r>
              <w:rPr>
                <w:sz w:val="14"/>
              </w:rPr>
              <w:t>Documentation</w:t>
            </w:r>
          </w:p>
        </w:tc>
        <w:tc>
          <w:tcPr>
            <w:tcW w:type="dxa" w:w="2520"/>
            <w:vAlign w:val="top"/>
            <w:tcMar>
              <w:top w:w="80" w:type="dxa"/>
              <w:start w:w="100" w:type="dxa"/>
              <w:bottom w:w="80" w:type="dxa"/>
              <w:end w:w="100" w:type="dxa"/>
            </w:tcMar>
          </w:tcPr>
          <w:p>
            <w:r>
              <w:rPr>
                <w:sz w:val="14"/>
              </w:rPr>
              <w:t>Cover and control table.</w:t>
            </w:r>
          </w:p>
        </w:tc>
      </w:tr>
      <w:tr>
        <w:tc>
          <w:tcPr>
            <w:tcW w:type="dxa" w:w="2520"/>
            <w:vAlign w:val="top"/>
            <w:tcMar>
              <w:top w:w="80" w:type="dxa"/>
              <w:start w:w="100" w:type="dxa"/>
              <w:bottom w:w="80" w:type="dxa"/>
              <w:end w:w="100" w:type="dxa"/>
            </w:tcMar>
            <w:shd w:fill="F2F6F8"/>
          </w:tcPr>
          <w:p>
            <w:r>
              <w:rPr>
                <w:sz w:val="14"/>
              </w:rPr>
              <w:t>DOC-002</w:t>
            </w:r>
          </w:p>
        </w:tc>
        <w:tc>
          <w:tcPr>
            <w:tcW w:type="dxa" w:w="2520"/>
            <w:vAlign w:val="top"/>
            <w:tcMar>
              <w:top w:w="80" w:type="dxa"/>
              <w:start w:w="100" w:type="dxa"/>
              <w:bottom w:w="80" w:type="dxa"/>
              <w:end w:w="100" w:type="dxa"/>
            </w:tcMar>
            <w:shd w:fill="F2F6F8"/>
          </w:tcPr>
          <w:p>
            <w:r>
              <w:rPr>
                <w:sz w:val="14"/>
              </w:rPr>
              <w:t>Explain how the topic arose.</w:t>
            </w:r>
          </w:p>
        </w:tc>
        <w:tc>
          <w:tcPr>
            <w:tcW w:type="dxa" w:w="2520"/>
            <w:vAlign w:val="top"/>
            <w:tcMar>
              <w:top w:w="80" w:type="dxa"/>
              <w:start w:w="100" w:type="dxa"/>
              <w:bottom w:w="80" w:type="dxa"/>
              <w:end w:w="100" w:type="dxa"/>
            </w:tcMar>
            <w:shd w:fill="F2F6F8"/>
          </w:tcPr>
          <w:p>
            <w:r>
              <w:rPr>
                <w:sz w:val="14"/>
              </w:rPr>
              <w:t>Documentation</w:t>
            </w:r>
          </w:p>
        </w:tc>
        <w:tc>
          <w:tcPr>
            <w:tcW w:type="dxa" w:w="2520"/>
            <w:vAlign w:val="top"/>
            <w:tcMar>
              <w:top w:w="80" w:type="dxa"/>
              <w:start w:w="100" w:type="dxa"/>
              <w:bottom w:w="80" w:type="dxa"/>
              <w:end w:w="100" w:type="dxa"/>
            </w:tcMar>
            <w:shd w:fill="F2F6F8"/>
          </w:tcPr>
          <w:p>
            <w:r>
              <w:rPr>
                <w:sz w:val="14"/>
              </w:rPr>
              <w:t>Dedicated origin section.</w:t>
            </w:r>
          </w:p>
        </w:tc>
      </w:tr>
      <w:tr>
        <w:tc>
          <w:tcPr>
            <w:tcW w:type="dxa" w:w="2520"/>
            <w:vAlign w:val="top"/>
            <w:tcMar>
              <w:top w:w="80" w:type="dxa"/>
              <w:start w:w="100" w:type="dxa"/>
              <w:bottom w:w="80" w:type="dxa"/>
              <w:end w:w="100" w:type="dxa"/>
            </w:tcMar>
          </w:tcPr>
          <w:p>
            <w:r>
              <w:rPr>
                <w:sz w:val="14"/>
              </w:rPr>
              <w:t>DOC-003</w:t>
            </w:r>
          </w:p>
        </w:tc>
        <w:tc>
          <w:tcPr>
            <w:tcW w:type="dxa" w:w="2520"/>
            <w:vAlign w:val="top"/>
            <w:tcMar>
              <w:top w:w="80" w:type="dxa"/>
              <w:start w:w="100" w:type="dxa"/>
              <w:bottom w:w="80" w:type="dxa"/>
              <w:end w:w="100" w:type="dxa"/>
            </w:tcMar>
          </w:tcPr>
          <w:p>
            <w:r>
              <w:rPr>
                <w:sz w:val="14"/>
              </w:rPr>
              <w:t>Include the Architect’s origin prompt verbatim.</w:t>
            </w:r>
          </w:p>
        </w:tc>
        <w:tc>
          <w:tcPr>
            <w:tcW w:type="dxa" w:w="2520"/>
            <w:vAlign w:val="top"/>
            <w:tcMar>
              <w:top w:w="80" w:type="dxa"/>
              <w:start w:w="100" w:type="dxa"/>
              <w:bottom w:w="80" w:type="dxa"/>
              <w:end w:w="100" w:type="dxa"/>
            </w:tcMar>
          </w:tcPr>
          <w:p>
            <w:r>
              <w:rPr>
                <w:sz w:val="14"/>
              </w:rPr>
              <w:t>Documentation</w:t>
            </w:r>
          </w:p>
        </w:tc>
        <w:tc>
          <w:tcPr>
            <w:tcW w:type="dxa" w:w="2520"/>
            <w:vAlign w:val="top"/>
            <w:tcMar>
              <w:top w:w="80" w:type="dxa"/>
              <w:start w:w="100" w:type="dxa"/>
              <w:bottom w:w="80" w:type="dxa"/>
              <w:end w:w="100" w:type="dxa"/>
            </w:tcMar>
          </w:tcPr>
          <w:p>
            <w:r>
              <w:rPr>
                <w:sz w:val="14"/>
              </w:rPr>
              <w:t>Verbatim block preserved without grammatical correction.</w:t>
            </w:r>
          </w:p>
        </w:tc>
      </w:tr>
      <w:tr>
        <w:tc>
          <w:tcPr>
            <w:tcW w:type="dxa" w:w="2520"/>
            <w:vAlign w:val="top"/>
            <w:tcMar>
              <w:top w:w="80" w:type="dxa"/>
              <w:start w:w="100" w:type="dxa"/>
              <w:bottom w:w="80" w:type="dxa"/>
              <w:end w:w="100" w:type="dxa"/>
            </w:tcMar>
            <w:shd w:fill="F2F6F8"/>
          </w:tcPr>
          <w:p>
            <w:r>
              <w:rPr>
                <w:sz w:val="14"/>
              </w:rPr>
              <w:t>DOC-004</w:t>
            </w:r>
          </w:p>
        </w:tc>
        <w:tc>
          <w:tcPr>
            <w:tcW w:type="dxa" w:w="2520"/>
            <w:vAlign w:val="top"/>
            <w:tcMar>
              <w:top w:w="80" w:type="dxa"/>
              <w:start w:w="100" w:type="dxa"/>
              <w:bottom w:w="80" w:type="dxa"/>
              <w:end w:w="100" w:type="dxa"/>
            </w:tcMar>
            <w:shd w:fill="F2F6F8"/>
          </w:tcPr>
          <w:p>
            <w:r>
              <w:rPr>
                <w:sz w:val="14"/>
              </w:rPr>
              <w:t>State purpose and goal.</w:t>
            </w:r>
          </w:p>
        </w:tc>
        <w:tc>
          <w:tcPr>
            <w:tcW w:type="dxa" w:w="2520"/>
            <w:vAlign w:val="top"/>
            <w:tcMar>
              <w:top w:w="80" w:type="dxa"/>
              <w:start w:w="100" w:type="dxa"/>
              <w:bottom w:w="80" w:type="dxa"/>
              <w:end w:w="100" w:type="dxa"/>
            </w:tcMar>
            <w:shd w:fill="F2F6F8"/>
          </w:tcPr>
          <w:p>
            <w:r>
              <w:rPr>
                <w:sz w:val="14"/>
              </w:rPr>
              <w:t>Documentation</w:t>
            </w:r>
          </w:p>
        </w:tc>
        <w:tc>
          <w:tcPr>
            <w:tcW w:type="dxa" w:w="2520"/>
            <w:vAlign w:val="top"/>
            <w:tcMar>
              <w:top w:w="80" w:type="dxa"/>
              <w:start w:w="100" w:type="dxa"/>
              <w:bottom w:w="80" w:type="dxa"/>
              <w:end w:w="100" w:type="dxa"/>
            </w:tcMar>
            <w:shd w:fill="F2F6F8"/>
          </w:tcPr>
          <w:p>
            <w:r>
              <w:rPr>
                <w:sz w:val="14"/>
              </w:rPr>
              <w:t>Explicit purpose/goal section.</w:t>
            </w:r>
          </w:p>
        </w:tc>
      </w:tr>
      <w:tr>
        <w:tc>
          <w:tcPr>
            <w:tcW w:type="dxa" w:w="2520"/>
            <w:vAlign w:val="top"/>
            <w:tcMar>
              <w:top w:w="80" w:type="dxa"/>
              <w:start w:w="100" w:type="dxa"/>
              <w:bottom w:w="80" w:type="dxa"/>
              <w:end w:w="100" w:type="dxa"/>
            </w:tcMar>
          </w:tcPr>
          <w:p>
            <w:r>
              <w:rPr>
                <w:sz w:val="14"/>
              </w:rPr>
              <w:t>DOC-005</w:t>
            </w:r>
          </w:p>
        </w:tc>
        <w:tc>
          <w:tcPr>
            <w:tcW w:type="dxa" w:w="2520"/>
            <w:vAlign w:val="top"/>
            <w:tcMar>
              <w:top w:w="80" w:type="dxa"/>
              <w:start w:w="100" w:type="dxa"/>
              <w:bottom w:w="80" w:type="dxa"/>
              <w:end w:w="100" w:type="dxa"/>
            </w:tcMar>
          </w:tcPr>
          <w:p>
            <w:r>
              <w:rPr>
                <w:sz w:val="14"/>
              </w:rPr>
              <w:t>Assess current project position and intended destination.</w:t>
            </w:r>
          </w:p>
        </w:tc>
        <w:tc>
          <w:tcPr>
            <w:tcW w:type="dxa" w:w="2520"/>
            <w:vAlign w:val="top"/>
            <w:tcMar>
              <w:top w:w="80" w:type="dxa"/>
              <w:start w:w="100" w:type="dxa"/>
              <w:bottom w:w="80" w:type="dxa"/>
              <w:end w:w="100" w:type="dxa"/>
            </w:tcMar>
          </w:tcPr>
          <w:p>
            <w:r>
              <w:rPr>
                <w:sz w:val="14"/>
              </w:rPr>
              <w:t>Program management</w:t>
            </w:r>
          </w:p>
        </w:tc>
        <w:tc>
          <w:tcPr>
            <w:tcW w:type="dxa" w:w="2520"/>
            <w:vAlign w:val="top"/>
            <w:tcMar>
              <w:top w:w="80" w:type="dxa"/>
              <w:start w:w="100" w:type="dxa"/>
              <w:bottom w:w="80" w:type="dxa"/>
              <w:end w:w="100" w:type="dxa"/>
            </w:tcMar>
          </w:tcPr>
          <w:p>
            <w:r>
              <w:rPr>
                <w:sz w:val="14"/>
              </w:rPr>
              <w:t>Gap and maturity assessment.</w:t>
            </w:r>
          </w:p>
        </w:tc>
      </w:tr>
      <w:tr>
        <w:tc>
          <w:tcPr>
            <w:tcW w:type="dxa" w:w="2520"/>
            <w:vAlign w:val="top"/>
            <w:tcMar>
              <w:top w:w="80" w:type="dxa"/>
              <w:start w:w="100" w:type="dxa"/>
              <w:bottom w:w="80" w:type="dxa"/>
              <w:end w:w="100" w:type="dxa"/>
            </w:tcMar>
            <w:shd w:fill="F2F6F8"/>
          </w:tcPr>
          <w:p>
            <w:r>
              <w:rPr>
                <w:sz w:val="14"/>
              </w:rPr>
              <w:t>DOC-006</w:t>
            </w:r>
          </w:p>
        </w:tc>
        <w:tc>
          <w:tcPr>
            <w:tcW w:type="dxa" w:w="2520"/>
            <w:vAlign w:val="top"/>
            <w:tcMar>
              <w:top w:w="80" w:type="dxa"/>
              <w:start w:w="100" w:type="dxa"/>
              <w:bottom w:w="80" w:type="dxa"/>
              <w:end w:w="100" w:type="dxa"/>
            </w:tcMar>
            <w:shd w:fill="F2F6F8"/>
          </w:tcPr>
          <w:p>
            <w:r>
              <w:rPr>
                <w:sz w:val="14"/>
              </w:rPr>
              <w:t>Explain how Perplexity will help the entire team reach the destination.</w:t>
            </w:r>
          </w:p>
        </w:tc>
        <w:tc>
          <w:tcPr>
            <w:tcW w:type="dxa" w:w="2520"/>
            <w:vAlign w:val="top"/>
            <w:tcMar>
              <w:top w:w="80" w:type="dxa"/>
              <w:start w:w="100" w:type="dxa"/>
              <w:bottom w:w="80" w:type="dxa"/>
              <w:end w:w="100" w:type="dxa"/>
            </w:tcMar>
            <w:shd w:fill="F2F6F8"/>
          </w:tcPr>
          <w:p>
            <w:r>
              <w:rPr>
                <w:sz w:val="14"/>
              </w:rPr>
              <w:t>Collaboration</w:t>
            </w:r>
          </w:p>
        </w:tc>
        <w:tc>
          <w:tcPr>
            <w:tcW w:type="dxa" w:w="2520"/>
            <w:vAlign w:val="top"/>
            <w:tcMar>
              <w:top w:w="80" w:type="dxa"/>
              <w:start w:w="100" w:type="dxa"/>
              <w:bottom w:w="80" w:type="dxa"/>
              <w:end w:w="100" w:type="dxa"/>
            </w:tcMar>
            <w:shd w:fill="F2F6F8"/>
          </w:tcPr>
          <w:p>
            <w:r>
              <w:rPr>
                <w:sz w:val="14"/>
              </w:rPr>
              <w:t>Support plan, roles, artifacts, and boundaries.</w:t>
            </w:r>
          </w:p>
        </w:tc>
      </w:tr>
      <w:tr>
        <w:tc>
          <w:tcPr>
            <w:tcW w:type="dxa" w:w="2520"/>
            <w:vAlign w:val="top"/>
            <w:tcMar>
              <w:top w:w="80" w:type="dxa"/>
              <w:start w:w="100" w:type="dxa"/>
              <w:bottom w:w="80" w:type="dxa"/>
              <w:end w:w="100" w:type="dxa"/>
            </w:tcMar>
          </w:tcPr>
          <w:p>
            <w:r>
              <w:rPr>
                <w:sz w:val="14"/>
              </w:rPr>
              <w:t>DOC-007</w:t>
            </w:r>
          </w:p>
        </w:tc>
        <w:tc>
          <w:tcPr>
            <w:tcW w:type="dxa" w:w="2520"/>
            <w:vAlign w:val="top"/>
            <w:tcMar>
              <w:top w:w="80" w:type="dxa"/>
              <w:start w:w="100" w:type="dxa"/>
              <w:bottom w:w="80" w:type="dxa"/>
              <w:end w:w="100" w:type="dxa"/>
            </w:tcMar>
          </w:tcPr>
          <w:p>
            <w:r>
              <w:rPr>
                <w:sz w:val="14"/>
              </w:rPr>
              <w:t>Provide detailed research and analysis in PDF and DOCX.</w:t>
            </w:r>
          </w:p>
        </w:tc>
        <w:tc>
          <w:tcPr>
            <w:tcW w:type="dxa" w:w="2520"/>
            <w:vAlign w:val="top"/>
            <w:tcMar>
              <w:top w:w="80" w:type="dxa"/>
              <w:start w:w="100" w:type="dxa"/>
              <w:bottom w:w="80" w:type="dxa"/>
              <w:end w:w="100" w:type="dxa"/>
            </w:tcMar>
          </w:tcPr>
          <w:p>
            <w:r>
              <w:rPr>
                <w:sz w:val="14"/>
              </w:rPr>
              <w:t>Deliverable</w:t>
            </w:r>
          </w:p>
        </w:tc>
        <w:tc>
          <w:tcPr>
            <w:tcW w:type="dxa" w:w="2520"/>
            <w:vAlign w:val="top"/>
            <w:tcMar>
              <w:top w:w="80" w:type="dxa"/>
              <w:start w:w="100" w:type="dxa"/>
              <w:bottom w:w="80" w:type="dxa"/>
              <w:end w:w="100" w:type="dxa"/>
            </w:tcMar>
          </w:tcPr>
          <w:p>
            <w:r>
              <w:rPr>
                <w:sz w:val="14"/>
              </w:rPr>
              <w:t>Matched PDF and DOCX files produced.</w:t>
            </w:r>
          </w:p>
        </w:tc>
      </w:tr>
    </w:tbl>
    <w:p>
      <w:pPr>
        <w:pStyle w:val="Heading1"/>
      </w:pPr>
      <w:r>
        <w:t>Architect non-assumptions</w:t>
      </w:r>
    </w:p>
    <w:p>
      <w:r>
        <w:t>The following statements are preserved as design constraints because they narrow what the project may claim. They are restated without changing their meaning; the verbatim wording remains in the origin prompt above.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80" w:type="dxa"/>
              <w:start w:w="100" w:type="dxa"/>
              <w:bottom w:w="80" w:type="dxa"/>
              <w:end w:w="100" w:type="dxa"/>
            </w:tcMar>
          </w:tcPr>
          <w:p>
            <w:r>
              <w:rPr>
                <w:b/>
                <w:color w:val="FFFFFF"/>
                <w:sz w:val="16"/>
              </w:rPr>
              <w:t>Constraint</w:t>
            </w:r>
          </w:p>
        </w:tc>
        <w:tc>
          <w:tcPr>
            <w:tcW w:type="dxa" w:w="5040"/>
            <w:shd w:fill="17324D"/>
            <w:tcMar>
              <w:top w:w="80" w:type="dxa"/>
              <w:start w:w="100" w:type="dxa"/>
              <w:bottom w:w="80" w:type="dxa"/>
              <w:end w:w="100" w:type="dxa"/>
            </w:tcMar>
          </w:tcPr>
          <w:p>
            <w:r>
              <w:rPr>
                <w:b/>
                <w:color w:val="FFFFFF"/>
                <w:sz w:val="16"/>
              </w:rPr>
              <w:t>Implication for the project</w:t>
            </w:r>
          </w:p>
        </w:tc>
      </w:tr>
      <w:tr>
        <w:tc>
          <w:tcPr>
            <w:tcW w:type="dxa" w:w="5040"/>
            <w:vAlign w:val="top"/>
            <w:tcMar>
              <w:top w:w="80" w:type="dxa"/>
              <w:start w:w="100" w:type="dxa"/>
              <w:bottom w:w="80" w:type="dxa"/>
              <w:end w:w="100" w:type="dxa"/>
            </w:tcMar>
          </w:tcPr>
          <w:p>
            <w:r>
              <w:rPr>
                <w:sz w:val="16"/>
              </w:rPr>
              <w:t>No complete architecture or map is assumed.</w:t>
            </w:r>
          </w:p>
        </w:tc>
        <w:tc>
          <w:tcPr>
            <w:tcW w:type="dxa" w:w="5040"/>
            <w:vAlign w:val="top"/>
            <w:tcMar>
              <w:top w:w="80" w:type="dxa"/>
              <w:start w:w="100" w:type="dxa"/>
              <w:bottom w:w="80" w:type="dxa"/>
              <w:end w:w="100" w:type="dxa"/>
            </w:tcMar>
          </w:tcPr>
          <w:p>
            <w:r>
              <w:rPr>
                <w:sz w:val="16"/>
              </w:rPr>
              <w:t>Models must state boundaries and unknowns; no totalizing diagram may be presented as complete.</w:t>
            </w:r>
          </w:p>
        </w:tc>
      </w:tr>
      <w:tr>
        <w:tc>
          <w:tcPr>
            <w:tcW w:type="dxa" w:w="5040"/>
            <w:vAlign w:val="top"/>
            <w:tcMar>
              <w:top w:w="80" w:type="dxa"/>
              <w:start w:w="100" w:type="dxa"/>
              <w:bottom w:w="80" w:type="dxa"/>
              <w:end w:w="100" w:type="dxa"/>
            </w:tcMar>
            <w:shd w:fill="F2F6F8"/>
          </w:tcPr>
          <w:p>
            <w:r>
              <w:rPr>
                <w:sz w:val="16"/>
              </w:rPr>
              <w:t>No unified definition of reality is assumed.</w:t>
            </w:r>
          </w:p>
        </w:tc>
        <w:tc>
          <w:tcPr>
            <w:tcW w:type="dxa" w:w="5040"/>
            <w:vAlign w:val="top"/>
            <w:tcMar>
              <w:top w:w="80" w:type="dxa"/>
              <w:start w:w="100" w:type="dxa"/>
              <w:bottom w:w="80" w:type="dxa"/>
              <w:end w:w="100" w:type="dxa"/>
            </w:tcMar>
            <w:shd w:fill="F2F6F8"/>
          </w:tcPr>
          <w:p>
            <w:r>
              <w:rPr>
                <w:sz w:val="16"/>
              </w:rPr>
              <w:t>The glossary must distinguish operational reality-models from metaphysical definitions.</w:t>
            </w:r>
          </w:p>
        </w:tc>
      </w:tr>
      <w:tr>
        <w:tc>
          <w:tcPr>
            <w:tcW w:type="dxa" w:w="5040"/>
            <w:vAlign w:val="top"/>
            <w:tcMar>
              <w:top w:w="80" w:type="dxa"/>
              <w:start w:w="100" w:type="dxa"/>
              <w:bottom w:w="80" w:type="dxa"/>
              <w:end w:w="100" w:type="dxa"/>
            </w:tcMar>
          </w:tcPr>
          <w:p>
            <w:r>
              <w:rPr>
                <w:sz w:val="16"/>
              </w:rPr>
              <w:t>Existence need not be fully mappable or comprehensible.</w:t>
            </w:r>
          </w:p>
        </w:tc>
        <w:tc>
          <w:tcPr>
            <w:tcW w:type="dxa" w:w="5040"/>
            <w:vAlign w:val="top"/>
            <w:tcMar>
              <w:top w:w="80" w:type="dxa"/>
              <w:start w:w="100" w:type="dxa"/>
              <w:bottom w:w="80" w:type="dxa"/>
              <w:end w:w="100" w:type="dxa"/>
            </w:tcMar>
          </w:tcPr>
          <w:p>
            <w:r>
              <w:rPr>
                <w:sz w:val="16"/>
              </w:rPr>
              <w:t>Success is bounded reliability and learning, not exhaustive representation.</w:t>
            </w:r>
          </w:p>
        </w:tc>
      </w:tr>
      <w:tr>
        <w:tc>
          <w:tcPr>
            <w:tcW w:type="dxa" w:w="5040"/>
            <w:vAlign w:val="top"/>
            <w:tcMar>
              <w:top w:w="80" w:type="dxa"/>
              <w:start w:w="100" w:type="dxa"/>
              <w:bottom w:w="80" w:type="dxa"/>
              <w:end w:w="100" w:type="dxa"/>
            </w:tcMar>
            <w:shd w:fill="F2F6F8"/>
          </w:tcPr>
          <w:p>
            <w:r>
              <w:rPr>
                <w:sz w:val="16"/>
              </w:rPr>
              <w:t>The project does not aim to cause root-level compromise.</w:t>
            </w:r>
          </w:p>
        </w:tc>
        <w:tc>
          <w:tcPr>
            <w:tcW w:type="dxa" w:w="5040"/>
            <w:vAlign w:val="top"/>
            <w:tcMar>
              <w:top w:w="80" w:type="dxa"/>
              <w:start w:w="100" w:type="dxa"/>
              <w:bottom w:w="80" w:type="dxa"/>
              <w:end w:w="100" w:type="dxa"/>
            </w:tcMar>
            <w:shd w:fill="F2F6F8"/>
          </w:tcPr>
          <w:p>
            <w:r>
              <w:rPr>
                <w:sz w:val="16"/>
              </w:rPr>
              <w:t>Laboratory work must be synthetic, controlled, reversible, and safety-reviewed.</w:t>
            </w:r>
          </w:p>
        </w:tc>
      </w:tr>
      <w:tr>
        <w:tc>
          <w:tcPr>
            <w:tcW w:type="dxa" w:w="5040"/>
            <w:vAlign w:val="top"/>
            <w:tcMar>
              <w:top w:w="80" w:type="dxa"/>
              <w:start w:w="100" w:type="dxa"/>
              <w:bottom w:w="80" w:type="dxa"/>
              <w:end w:w="100" w:type="dxa"/>
            </w:tcMar>
          </w:tcPr>
          <w:p>
            <w:r>
              <w:rPr>
                <w:sz w:val="16"/>
              </w:rPr>
              <w:t>The work is not a how-to guide for compromise.</w:t>
            </w:r>
          </w:p>
        </w:tc>
        <w:tc>
          <w:tcPr>
            <w:tcW w:type="dxa" w:w="5040"/>
            <w:vAlign w:val="top"/>
            <w:tcMar>
              <w:top w:w="80" w:type="dxa"/>
              <w:start w:w="100" w:type="dxa"/>
              <w:bottom w:w="80" w:type="dxa"/>
              <w:end w:w="100" w:type="dxa"/>
            </w:tcMar>
          </w:tcPr>
          <w:p>
            <w:r>
              <w:rPr>
                <w:sz w:val="16"/>
              </w:rPr>
              <w:t>Do not publish operational attack procedures against real foundational systems.</w:t>
            </w:r>
          </w:p>
        </w:tc>
      </w:tr>
      <w:tr>
        <w:tc>
          <w:tcPr>
            <w:tcW w:type="dxa" w:w="5040"/>
            <w:vAlign w:val="top"/>
            <w:tcMar>
              <w:top w:w="80" w:type="dxa"/>
              <w:start w:w="100" w:type="dxa"/>
              <w:bottom w:w="80" w:type="dxa"/>
              <w:end w:w="100" w:type="dxa"/>
            </w:tcMar>
            <w:shd w:fill="F2F6F8"/>
          </w:tcPr>
          <w:p>
            <w:r>
              <w:rPr>
                <w:sz w:val="16"/>
              </w:rPr>
              <w:t>The project supports lifecycle design, maintenance, evolution, and improvement.</w:t>
            </w:r>
          </w:p>
        </w:tc>
        <w:tc>
          <w:tcPr>
            <w:tcW w:type="dxa" w:w="5040"/>
            <w:vAlign w:val="top"/>
            <w:tcMar>
              <w:top w:w="80" w:type="dxa"/>
              <w:start w:w="100" w:type="dxa"/>
              <w:bottom w:w="80" w:type="dxa"/>
              <w:end w:w="100" w:type="dxa"/>
            </w:tcMar>
            <w:shd w:fill="F2F6F8"/>
          </w:tcPr>
          <w:p>
            <w:r>
              <w:rPr>
                <w:sz w:val="16"/>
              </w:rPr>
              <w:t>Outputs should connect findings to design decisions, resilience, and verification.</w:t>
            </w:r>
          </w:p>
        </w:tc>
      </w:tr>
      <w:tr>
        <w:tc>
          <w:tcPr>
            <w:tcW w:type="dxa" w:w="5040"/>
            <w:vAlign w:val="top"/>
            <w:tcMar>
              <w:top w:w="80" w:type="dxa"/>
              <w:start w:w="100" w:type="dxa"/>
              <w:bottom w:w="80" w:type="dxa"/>
              <w:end w:w="100" w:type="dxa"/>
            </w:tcMar>
          </w:tcPr>
          <w:p>
            <w:r>
              <w:rPr>
                <w:sz w:val="16"/>
              </w:rPr>
              <w:t>Knowledge remains incomplete.</w:t>
            </w:r>
          </w:p>
        </w:tc>
        <w:tc>
          <w:tcPr>
            <w:tcW w:type="dxa" w:w="5040"/>
            <w:vAlign w:val="top"/>
            <w:tcMar>
              <w:top w:w="80" w:type="dxa"/>
              <w:start w:w="100" w:type="dxa"/>
              <w:bottom w:w="80" w:type="dxa"/>
              <w:end w:w="100" w:type="dxa"/>
            </w:tcMar>
          </w:tcPr>
          <w:p>
            <w:r>
              <w:rPr>
                <w:sz w:val="16"/>
              </w:rPr>
              <w:t>All claims need evidence level, assumptions, alternatives, and revision path.</w:t>
            </w:r>
          </w:p>
        </w:tc>
      </w:tr>
    </w:tbl>
    <w:p>
      <w:pPr>
        <w:pStyle w:val="Heading1"/>
      </w:pPr>
      <w:r>
        <w:t>Claim classification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80" w:type="dxa"/>
              <w:start w:w="100" w:type="dxa"/>
              <w:bottom w:w="80" w:type="dxa"/>
              <w:end w:w="100" w:type="dxa"/>
            </w:tcMar>
          </w:tcPr>
          <w:p>
            <w:r>
              <w:rPr>
                <w:b/>
                <w:color w:val="FFFFFF"/>
                <w:sz w:val="15"/>
              </w:rPr>
              <w:t>Label</w:t>
            </w:r>
          </w:p>
        </w:tc>
        <w:tc>
          <w:tcPr>
            <w:tcW w:type="dxa" w:w="2520"/>
            <w:shd w:fill="17324D"/>
            <w:tcMar>
              <w:top w:w="80" w:type="dxa"/>
              <w:start w:w="100" w:type="dxa"/>
              <w:bottom w:w="80" w:type="dxa"/>
              <w:end w:w="100" w:type="dxa"/>
            </w:tcMar>
          </w:tcPr>
          <w:p>
            <w:r>
              <w:rPr>
                <w:b/>
                <w:color w:val="FFFFFF"/>
                <w:sz w:val="15"/>
              </w:rPr>
              <w:t>Meaning</w:t>
            </w:r>
          </w:p>
        </w:tc>
        <w:tc>
          <w:tcPr>
            <w:tcW w:type="dxa" w:w="2520"/>
            <w:shd w:fill="17324D"/>
            <w:tcMar>
              <w:top w:w="80" w:type="dxa"/>
              <w:start w:w="100" w:type="dxa"/>
              <w:bottom w:w="80" w:type="dxa"/>
              <w:end w:w="100" w:type="dxa"/>
            </w:tcMar>
          </w:tcPr>
          <w:p>
            <w:r>
              <w:rPr>
                <w:b/>
                <w:color w:val="FFFFFF"/>
                <w:sz w:val="15"/>
              </w:rPr>
              <w:t>Example</w:t>
            </w:r>
          </w:p>
        </w:tc>
        <w:tc>
          <w:tcPr>
            <w:tcW w:type="dxa" w:w="2520"/>
            <w:shd w:fill="17324D"/>
            <w:tcMar>
              <w:top w:w="80" w:type="dxa"/>
              <w:start w:w="100" w:type="dxa"/>
              <w:bottom w:w="80" w:type="dxa"/>
              <w:end w:w="100" w:type="dxa"/>
            </w:tcMar>
          </w:tcPr>
          <w:p>
            <w:r>
              <w:rPr>
                <w:b/>
                <w:color w:val="FFFFFF"/>
                <w:sz w:val="15"/>
              </w:rPr>
              <w:t>Approval rule</w:t>
            </w:r>
          </w:p>
        </w:tc>
      </w:tr>
      <w:tr>
        <w:tc>
          <w:tcPr>
            <w:tcW w:type="dxa" w:w="2520"/>
            <w:vAlign w:val="top"/>
            <w:tcMar>
              <w:top w:w="80" w:type="dxa"/>
              <w:start w:w="100" w:type="dxa"/>
              <w:bottom w:w="80" w:type="dxa"/>
              <w:end w:w="100" w:type="dxa"/>
            </w:tcMar>
          </w:tcPr>
          <w:p>
            <w:r>
              <w:rPr>
                <w:sz w:val="15"/>
              </w:rPr>
              <w:t>SOURCE</w:t>
            </w:r>
          </w:p>
        </w:tc>
        <w:tc>
          <w:tcPr>
            <w:tcW w:type="dxa" w:w="2520"/>
            <w:vAlign w:val="top"/>
            <w:tcMar>
              <w:top w:w="80" w:type="dxa"/>
              <w:start w:w="100" w:type="dxa"/>
              <w:bottom w:w="80" w:type="dxa"/>
              <w:end w:w="100" w:type="dxa"/>
            </w:tcMar>
          </w:tcPr>
          <w:p>
            <w:r>
              <w:rPr>
                <w:sz w:val="15"/>
              </w:rPr>
              <w:t>Verbatim Architect text or untouched original artifact.</w:t>
            </w:r>
          </w:p>
        </w:tc>
        <w:tc>
          <w:tcPr>
            <w:tcW w:type="dxa" w:w="2520"/>
            <w:vAlign w:val="top"/>
            <w:tcMar>
              <w:top w:w="80" w:type="dxa"/>
              <w:start w:w="100" w:type="dxa"/>
              <w:bottom w:w="80" w:type="dxa"/>
              <w:end w:w="100" w:type="dxa"/>
            </w:tcMar>
          </w:tcPr>
          <w:p>
            <w:r>
              <w:rPr>
                <w:sz w:val="15"/>
              </w:rPr>
              <w:t>Origin prompt.</w:t>
            </w:r>
          </w:p>
        </w:tc>
        <w:tc>
          <w:tcPr>
            <w:tcW w:type="dxa" w:w="2520"/>
            <w:vAlign w:val="top"/>
            <w:tcMar>
              <w:top w:w="80" w:type="dxa"/>
              <w:start w:w="100" w:type="dxa"/>
              <w:bottom w:w="80" w:type="dxa"/>
              <w:end w:w="100" w:type="dxa"/>
            </w:tcMar>
          </w:tcPr>
          <w:p>
            <w:r>
              <w:rPr>
                <w:sz w:val="15"/>
              </w:rPr>
              <w:t>May be quoted; cannot be silently edited.</w:t>
            </w:r>
          </w:p>
        </w:tc>
      </w:tr>
      <w:tr>
        <w:tc>
          <w:tcPr>
            <w:tcW w:type="dxa" w:w="2520"/>
            <w:vAlign w:val="top"/>
            <w:tcMar>
              <w:top w:w="80" w:type="dxa"/>
              <w:start w:w="100" w:type="dxa"/>
              <w:bottom w:w="80" w:type="dxa"/>
              <w:end w:w="100" w:type="dxa"/>
            </w:tcMar>
            <w:shd w:fill="F2F6F8"/>
          </w:tcPr>
          <w:p>
            <w:r>
              <w:rPr>
                <w:sz w:val="15"/>
              </w:rPr>
              <w:t>EXTERNAL EVIDENCE</w:t>
            </w:r>
          </w:p>
        </w:tc>
        <w:tc>
          <w:tcPr>
            <w:tcW w:type="dxa" w:w="2520"/>
            <w:vAlign w:val="top"/>
            <w:tcMar>
              <w:top w:w="80" w:type="dxa"/>
              <w:start w:w="100" w:type="dxa"/>
              <w:bottom w:w="80" w:type="dxa"/>
              <w:end w:w="100" w:type="dxa"/>
            </w:tcMar>
            <w:shd w:fill="F2F6F8"/>
          </w:tcPr>
          <w:p>
            <w:r>
              <w:rPr>
                <w:sz w:val="15"/>
              </w:rPr>
              <w:t>Finding or definition from an identified outside source.</w:t>
            </w:r>
          </w:p>
        </w:tc>
        <w:tc>
          <w:tcPr>
            <w:tcW w:type="dxa" w:w="2520"/>
            <w:vAlign w:val="top"/>
            <w:tcMar>
              <w:top w:w="80" w:type="dxa"/>
              <w:start w:w="100" w:type="dxa"/>
              <w:bottom w:w="80" w:type="dxa"/>
              <w:end w:w="100" w:type="dxa"/>
            </w:tcMar>
            <w:shd w:fill="F2F6F8"/>
          </w:tcPr>
          <w:p>
            <w:r>
              <w:rPr>
                <w:sz w:val="15"/>
              </w:rPr>
              <w:t>NIST TCB definition [R1].</w:t>
            </w:r>
          </w:p>
        </w:tc>
        <w:tc>
          <w:tcPr>
            <w:tcW w:type="dxa" w:w="2520"/>
            <w:vAlign w:val="top"/>
            <w:tcMar>
              <w:top w:w="80" w:type="dxa"/>
              <w:start w:w="100" w:type="dxa"/>
              <w:bottom w:w="80" w:type="dxa"/>
              <w:end w:w="100" w:type="dxa"/>
            </w:tcMar>
            <w:shd w:fill="F2F6F8"/>
          </w:tcPr>
          <w:p>
            <w:r>
              <w:rPr>
                <w:sz w:val="15"/>
              </w:rPr>
              <w:t>Cite and limit claim to source scope.</w:t>
            </w:r>
          </w:p>
        </w:tc>
      </w:tr>
      <w:tr>
        <w:tc>
          <w:tcPr>
            <w:tcW w:type="dxa" w:w="2520"/>
            <w:vAlign w:val="top"/>
            <w:tcMar>
              <w:top w:w="80" w:type="dxa"/>
              <w:start w:w="100" w:type="dxa"/>
              <w:bottom w:w="80" w:type="dxa"/>
              <w:end w:w="100" w:type="dxa"/>
            </w:tcMar>
          </w:tcPr>
          <w:p>
            <w:r>
              <w:rPr>
                <w:sz w:val="15"/>
              </w:rPr>
              <w:t>ANALYSIS</w:t>
            </w:r>
          </w:p>
        </w:tc>
        <w:tc>
          <w:tcPr>
            <w:tcW w:type="dxa" w:w="2520"/>
            <w:vAlign w:val="top"/>
            <w:tcMar>
              <w:top w:w="80" w:type="dxa"/>
              <w:start w:w="100" w:type="dxa"/>
              <w:bottom w:w="80" w:type="dxa"/>
              <w:end w:w="100" w:type="dxa"/>
            </w:tcMar>
          </w:tcPr>
          <w:p>
            <w:r>
              <w:rPr>
                <w:sz w:val="15"/>
              </w:rPr>
              <w:t>Reasoned interpretation of sources and evidence.</w:t>
            </w:r>
          </w:p>
        </w:tc>
        <w:tc>
          <w:tcPr>
            <w:tcW w:type="dxa" w:w="2520"/>
            <w:vAlign w:val="top"/>
            <w:tcMar>
              <w:top w:w="80" w:type="dxa"/>
              <w:start w:w="100" w:type="dxa"/>
              <w:bottom w:w="80" w:type="dxa"/>
              <w:end w:w="100" w:type="dxa"/>
            </w:tcMar>
          </w:tcPr>
          <w:p>
            <w:r>
              <w:rPr>
                <w:sz w:val="15"/>
              </w:rPr>
              <w:t>Rootness is better treated as a vector.</w:t>
            </w:r>
          </w:p>
        </w:tc>
        <w:tc>
          <w:tcPr>
            <w:tcW w:type="dxa" w:w="2520"/>
            <w:vAlign w:val="top"/>
            <w:tcMar>
              <w:top w:w="80" w:type="dxa"/>
              <w:start w:w="100" w:type="dxa"/>
              <w:bottom w:w="80" w:type="dxa"/>
              <w:end w:w="100" w:type="dxa"/>
            </w:tcMar>
          </w:tcPr>
          <w:p>
            <w:r>
              <w:rPr>
                <w:sz w:val="15"/>
              </w:rPr>
              <w:t>Open to critique; not canon.</w:t>
            </w:r>
          </w:p>
        </w:tc>
      </w:tr>
      <w:tr>
        <w:tc>
          <w:tcPr>
            <w:tcW w:type="dxa" w:w="2520"/>
            <w:vAlign w:val="top"/>
            <w:tcMar>
              <w:top w:w="80" w:type="dxa"/>
              <w:start w:w="100" w:type="dxa"/>
              <w:bottom w:w="80" w:type="dxa"/>
              <w:end w:w="100" w:type="dxa"/>
            </w:tcMar>
            <w:shd w:fill="F2F6F8"/>
          </w:tcPr>
          <w:p>
            <w:r>
              <w:rPr>
                <w:sz w:val="15"/>
              </w:rPr>
              <w:t>PROPOSAL</w:t>
            </w:r>
          </w:p>
        </w:tc>
        <w:tc>
          <w:tcPr>
            <w:tcW w:type="dxa" w:w="2520"/>
            <w:vAlign w:val="top"/>
            <w:tcMar>
              <w:top w:w="80" w:type="dxa"/>
              <w:start w:w="100" w:type="dxa"/>
              <w:bottom w:w="80" w:type="dxa"/>
              <w:end w:w="100" w:type="dxa"/>
            </w:tcMar>
            <w:shd w:fill="F2F6F8"/>
          </w:tcPr>
          <w:p>
            <w:r>
              <w:rPr>
                <w:sz w:val="15"/>
              </w:rPr>
              <w:t>Suggested term, architecture, test, or policy.</w:t>
            </w:r>
          </w:p>
        </w:tc>
        <w:tc>
          <w:tcPr>
            <w:tcW w:type="dxa" w:w="2520"/>
            <w:vAlign w:val="top"/>
            <w:tcMar>
              <w:top w:w="80" w:type="dxa"/>
              <w:start w:w="100" w:type="dxa"/>
              <w:bottom w:w="80" w:type="dxa"/>
              <w:end w:w="100" w:type="dxa"/>
            </w:tcMar>
            <w:shd w:fill="F2F6F8"/>
          </w:tcPr>
          <w:p>
            <w:r>
              <w:rPr>
                <w:sz w:val="15"/>
              </w:rPr>
              <w:t>Evidence ladder E0–E5.</w:t>
            </w:r>
          </w:p>
        </w:tc>
        <w:tc>
          <w:tcPr>
            <w:tcW w:type="dxa" w:w="2520"/>
            <w:vAlign w:val="top"/>
            <w:tcMar>
              <w:top w:w="80" w:type="dxa"/>
              <w:start w:w="100" w:type="dxa"/>
              <w:bottom w:w="80" w:type="dxa"/>
              <w:end w:w="100" w:type="dxa"/>
            </w:tcMar>
            <w:shd w:fill="F2F6F8"/>
          </w:tcPr>
          <w:p>
            <w:r>
              <w:rPr>
                <w:sz w:val="15"/>
              </w:rPr>
              <w:t>Requires review and decision.</w:t>
            </w:r>
          </w:p>
        </w:tc>
      </w:tr>
      <w:tr>
        <w:tc>
          <w:tcPr>
            <w:tcW w:type="dxa" w:w="2520"/>
            <w:vAlign w:val="top"/>
            <w:tcMar>
              <w:top w:w="80" w:type="dxa"/>
              <w:start w:w="100" w:type="dxa"/>
              <w:bottom w:w="80" w:type="dxa"/>
              <w:end w:w="100" w:type="dxa"/>
            </w:tcMar>
          </w:tcPr>
          <w:p>
            <w:r>
              <w:rPr>
                <w:sz w:val="15"/>
              </w:rPr>
              <w:t>TEST RESULT</w:t>
            </w:r>
          </w:p>
        </w:tc>
        <w:tc>
          <w:tcPr>
            <w:tcW w:type="dxa" w:w="2520"/>
            <w:vAlign w:val="top"/>
            <w:tcMar>
              <w:top w:w="80" w:type="dxa"/>
              <w:start w:w="100" w:type="dxa"/>
              <w:bottom w:w="80" w:type="dxa"/>
              <w:end w:w="100" w:type="dxa"/>
            </w:tcMar>
          </w:tcPr>
          <w:p>
            <w:r>
              <w:rPr>
                <w:sz w:val="15"/>
              </w:rPr>
              <w:t>Observation from a controlled experiment.</w:t>
            </w:r>
          </w:p>
        </w:tc>
        <w:tc>
          <w:tcPr>
            <w:tcW w:type="dxa" w:w="2520"/>
            <w:vAlign w:val="top"/>
            <w:tcMar>
              <w:top w:w="80" w:type="dxa"/>
              <w:start w:w="100" w:type="dxa"/>
              <w:bottom w:w="80" w:type="dxa"/>
              <w:end w:w="100" w:type="dxa"/>
            </w:tcMar>
          </w:tcPr>
          <w:p>
            <w:r>
              <w:rPr>
                <w:sz w:val="15"/>
              </w:rPr>
              <w:t>Agent misdiagnosis rate under allocation failure.</w:t>
            </w:r>
          </w:p>
        </w:tc>
        <w:tc>
          <w:tcPr>
            <w:tcW w:type="dxa" w:w="2520"/>
            <w:vAlign w:val="top"/>
            <w:tcMar>
              <w:top w:w="80" w:type="dxa"/>
              <w:start w:w="100" w:type="dxa"/>
              <w:bottom w:w="80" w:type="dxa"/>
              <w:end w:w="100" w:type="dxa"/>
            </w:tcMar>
          </w:tcPr>
          <w:p>
            <w:r>
              <w:rPr>
                <w:sz w:val="15"/>
              </w:rPr>
              <w:t>Requires reproducibility package.</w:t>
            </w:r>
          </w:p>
        </w:tc>
      </w:tr>
      <w:tr>
        <w:tc>
          <w:tcPr>
            <w:tcW w:type="dxa" w:w="2520"/>
            <w:vAlign w:val="top"/>
            <w:tcMar>
              <w:top w:w="80" w:type="dxa"/>
              <w:start w:w="100" w:type="dxa"/>
              <w:bottom w:w="80" w:type="dxa"/>
              <w:end w:w="100" w:type="dxa"/>
            </w:tcMar>
            <w:shd w:fill="F2F6F8"/>
          </w:tcPr>
          <w:p>
            <w:r>
              <w:rPr>
                <w:sz w:val="15"/>
              </w:rPr>
              <w:t>DECISION</w:t>
            </w:r>
          </w:p>
        </w:tc>
        <w:tc>
          <w:tcPr>
            <w:tcW w:type="dxa" w:w="2520"/>
            <w:vAlign w:val="top"/>
            <w:tcMar>
              <w:top w:w="80" w:type="dxa"/>
              <w:start w:w="100" w:type="dxa"/>
              <w:bottom w:w="80" w:type="dxa"/>
              <w:end w:w="100" w:type="dxa"/>
            </w:tcMar>
            <w:shd w:fill="F2F6F8"/>
          </w:tcPr>
          <w:p>
            <w:r>
              <w:rPr>
                <w:sz w:val="15"/>
              </w:rPr>
              <w:t>Explicit Architect or delegated governance choice.</w:t>
            </w:r>
          </w:p>
        </w:tc>
        <w:tc>
          <w:tcPr>
            <w:tcW w:type="dxa" w:w="2520"/>
            <w:vAlign w:val="top"/>
            <w:tcMar>
              <w:top w:w="80" w:type="dxa"/>
              <w:start w:w="100" w:type="dxa"/>
              <w:bottom w:w="80" w:type="dxa"/>
              <w:end w:w="100" w:type="dxa"/>
            </w:tcMar>
            <w:shd w:fill="F2F6F8"/>
          </w:tcPr>
          <w:p>
            <w:r>
              <w:rPr>
                <w:sz w:val="15"/>
              </w:rPr>
              <w:t>First model uses an allocative operational root.</w:t>
            </w:r>
          </w:p>
        </w:tc>
        <w:tc>
          <w:tcPr>
            <w:tcW w:type="dxa" w:w="2520"/>
            <w:vAlign w:val="top"/>
            <w:tcMar>
              <w:top w:w="80" w:type="dxa"/>
              <w:start w:w="100" w:type="dxa"/>
              <w:bottom w:w="80" w:type="dxa"/>
              <w:end w:w="100" w:type="dxa"/>
            </w:tcMar>
            <w:shd w:fill="F2F6F8"/>
          </w:tcPr>
          <w:p>
            <w:r>
              <w:rPr>
                <w:sz w:val="15"/>
              </w:rPr>
              <w:t>Record date, scope, and rationale.</w:t>
            </w:r>
          </w:p>
        </w:tc>
      </w:tr>
      <w:tr>
        <w:tc>
          <w:tcPr>
            <w:tcW w:type="dxa" w:w="2520"/>
            <w:vAlign w:val="top"/>
            <w:tcMar>
              <w:top w:w="80" w:type="dxa"/>
              <w:start w:w="100" w:type="dxa"/>
              <w:bottom w:w="80" w:type="dxa"/>
              <w:end w:w="100" w:type="dxa"/>
            </w:tcMar>
          </w:tcPr>
          <w:p>
            <w:r>
              <w:rPr>
                <w:sz w:val="15"/>
              </w:rPr>
              <w:t>CANON</w:t>
            </w:r>
          </w:p>
        </w:tc>
        <w:tc>
          <w:tcPr>
            <w:tcW w:type="dxa" w:w="2520"/>
            <w:vAlign w:val="top"/>
            <w:tcMar>
              <w:top w:w="80" w:type="dxa"/>
              <w:start w:w="100" w:type="dxa"/>
              <w:bottom w:w="80" w:type="dxa"/>
              <w:end w:w="100" w:type="dxa"/>
            </w:tcMar>
          </w:tcPr>
          <w:p>
            <w:r>
              <w:rPr>
                <w:sz w:val="15"/>
              </w:rPr>
              <w:t>ONESTAMP-approved content.</w:t>
            </w:r>
          </w:p>
        </w:tc>
        <w:tc>
          <w:tcPr>
            <w:tcW w:type="dxa" w:w="2520"/>
            <w:vAlign w:val="top"/>
            <w:tcMar>
              <w:top w:w="80" w:type="dxa"/>
              <w:start w:w="100" w:type="dxa"/>
              <w:bottom w:w="80" w:type="dxa"/>
              <w:end w:w="100" w:type="dxa"/>
            </w:tcMar>
          </w:tcPr>
          <w:p>
            <w:r>
              <w:rPr>
                <w:sz w:val="15"/>
              </w:rPr>
              <w:t>Future approved CFTRL specification.</w:t>
            </w:r>
          </w:p>
        </w:tc>
        <w:tc>
          <w:tcPr>
            <w:tcW w:type="dxa" w:w="2520"/>
            <w:vAlign w:val="top"/>
            <w:tcMar>
              <w:top w:w="80" w:type="dxa"/>
              <w:start w:w="100" w:type="dxa"/>
              <w:bottom w:w="80" w:type="dxa"/>
              <w:end w:w="100" w:type="dxa"/>
            </w:tcMar>
          </w:tcPr>
          <w:p>
            <w:r>
              <w:rPr>
                <w:sz w:val="15"/>
              </w:rPr>
              <w:t>Only Architect approval changes this status.</w:t>
            </w:r>
          </w:p>
        </w:tc>
      </w:tr>
      <w:tr>
        <w:tc>
          <w:tcPr>
            <w:tcW w:type="dxa" w:w="2520"/>
            <w:vAlign w:val="top"/>
            <w:tcMar>
              <w:top w:w="80" w:type="dxa"/>
              <w:start w:w="100" w:type="dxa"/>
              <w:bottom w:w="80" w:type="dxa"/>
              <w:end w:w="100" w:type="dxa"/>
            </w:tcMar>
            <w:shd w:fill="F2F6F8"/>
          </w:tcPr>
          <w:p>
            <w:r>
              <w:rPr>
                <w:sz w:val="15"/>
              </w:rPr>
              <w:t>UNKNOWN</w:t>
            </w:r>
          </w:p>
        </w:tc>
        <w:tc>
          <w:tcPr>
            <w:tcW w:type="dxa" w:w="2520"/>
            <w:vAlign w:val="top"/>
            <w:tcMar>
              <w:top w:w="80" w:type="dxa"/>
              <w:start w:w="100" w:type="dxa"/>
              <w:bottom w:w="80" w:type="dxa"/>
              <w:end w:w="100" w:type="dxa"/>
            </w:tcMar>
            <w:shd w:fill="F2F6F8"/>
          </w:tcPr>
          <w:p>
            <w:r>
              <w:rPr>
                <w:sz w:val="15"/>
              </w:rPr>
              <w:t>Question or distinction not presently resolvable.</w:t>
            </w:r>
          </w:p>
        </w:tc>
        <w:tc>
          <w:tcPr>
            <w:tcW w:type="dxa" w:w="2520"/>
            <w:vAlign w:val="top"/>
            <w:tcMar>
              <w:top w:w="80" w:type="dxa"/>
              <w:start w:w="100" w:type="dxa"/>
              <w:bottom w:w="80" w:type="dxa"/>
              <w:end w:w="100" w:type="dxa"/>
            </w:tcMar>
            <w:shd w:fill="F2F6F8"/>
          </w:tcPr>
          <w:p>
            <w:r>
              <w:rPr>
                <w:sz w:val="15"/>
              </w:rPr>
              <w:t>Ultimate base reality under perfect indistinguishability.</w:t>
            </w:r>
          </w:p>
        </w:tc>
        <w:tc>
          <w:tcPr>
            <w:tcW w:type="dxa" w:w="2520"/>
            <w:vAlign w:val="top"/>
            <w:tcMar>
              <w:top w:w="80" w:type="dxa"/>
              <w:start w:w="100" w:type="dxa"/>
              <w:bottom w:w="80" w:type="dxa"/>
              <w:end w:w="100" w:type="dxa"/>
            </w:tcMar>
            <w:shd w:fill="F2F6F8"/>
          </w:tcPr>
          <w:p>
            <w:r>
              <w:rPr>
                <w:sz w:val="15"/>
              </w:rPr>
              <w:t>Preserve; do not fill with certainty.</w:t>
            </w:r>
          </w:p>
        </w:tc>
      </w:tr>
    </w:tbl>
    <w:p>
      <w:pPr>
        <w:pStyle w:val="Heading1"/>
      </w:pPr>
      <w:r>
        <w:t>Terminology control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Mar>
              <w:top w:w="80" w:type="dxa"/>
              <w:start w:w="100" w:type="dxa"/>
              <w:bottom w:w="80" w:type="dxa"/>
              <w:end w:w="100" w:type="dxa"/>
            </w:tcMar>
          </w:tcPr>
          <w:p>
            <w:r>
              <w:rPr>
                <w:b/>
                <w:color w:val="FFFFFF"/>
                <w:sz w:val="14"/>
              </w:rPr>
              <w:t>Term</w:t>
            </w:r>
          </w:p>
        </w:tc>
        <w:tc>
          <w:tcPr>
            <w:tcW w:type="dxa" w:w="3360"/>
            <w:shd w:fill="17324D"/>
            <w:tcMar>
              <w:top w:w="80" w:type="dxa"/>
              <w:start w:w="100" w:type="dxa"/>
              <w:bottom w:w="80" w:type="dxa"/>
              <w:end w:w="100" w:type="dxa"/>
            </w:tcMar>
          </w:tcPr>
          <w:p>
            <w:r>
              <w:rPr>
                <w:b/>
                <w:color w:val="FFFFFF"/>
                <w:sz w:val="14"/>
              </w:rPr>
              <w:t>Provisional controlled meaning</w:t>
            </w:r>
          </w:p>
        </w:tc>
        <w:tc>
          <w:tcPr>
            <w:tcW w:type="dxa" w:w="3360"/>
            <w:shd w:fill="17324D"/>
            <w:tcMar>
              <w:top w:w="80" w:type="dxa"/>
              <w:start w:w="100" w:type="dxa"/>
              <w:bottom w:w="80" w:type="dxa"/>
              <w:end w:w="100" w:type="dxa"/>
            </w:tcMar>
          </w:tcPr>
          <w:p>
            <w:r>
              <w:rPr>
                <w:b/>
                <w:color w:val="FFFFFF"/>
                <w:sz w:val="14"/>
              </w:rPr>
              <w:t>Prohibited shortcut</w:t>
            </w:r>
          </w:p>
        </w:tc>
      </w:tr>
      <w:tr>
        <w:tc>
          <w:tcPr>
            <w:tcW w:type="dxa" w:w="3360"/>
            <w:vAlign w:val="top"/>
            <w:tcMar>
              <w:top w:w="80" w:type="dxa"/>
              <w:start w:w="100" w:type="dxa"/>
              <w:bottom w:w="80" w:type="dxa"/>
              <w:end w:w="100" w:type="dxa"/>
            </w:tcMar>
          </w:tcPr>
          <w:p>
            <w:r>
              <w:rPr>
                <w:sz w:val="14"/>
              </w:rPr>
              <w:t>Root</w:t>
            </w:r>
          </w:p>
        </w:tc>
        <w:tc>
          <w:tcPr>
            <w:tcW w:type="dxa" w:w="3360"/>
            <w:vAlign w:val="top"/>
            <w:tcMar>
              <w:top w:w="80" w:type="dxa"/>
              <w:start w:w="100" w:type="dxa"/>
              <w:bottom w:w="80" w:type="dxa"/>
              <w:end w:w="100" w:type="dxa"/>
            </w:tcMar>
          </w:tcPr>
          <w:p>
            <w:r>
              <w:rPr>
                <w:sz w:val="14"/>
              </w:rPr>
              <w:t>A function/layer that is effectively non-reconstructable by dependents within a declared boundary and holds foundational dependency, trust, authority, or persistence.</w:t>
            </w:r>
          </w:p>
        </w:tc>
        <w:tc>
          <w:tcPr>
            <w:tcW w:type="dxa" w:w="3360"/>
            <w:vAlign w:val="top"/>
            <w:tcMar>
              <w:top w:w="80" w:type="dxa"/>
              <w:start w:w="100" w:type="dxa"/>
              <w:bottom w:w="80" w:type="dxa"/>
              <w:end w:w="100" w:type="dxa"/>
            </w:tcMar>
          </w:tcPr>
          <w:p>
            <w:r>
              <w:rPr>
                <w:sz w:val="14"/>
              </w:rPr>
              <w:t>“Top,” “oldest,” “most powerful,” or “base reality” without qualification.</w:t>
            </w:r>
          </w:p>
        </w:tc>
      </w:tr>
      <w:tr>
        <w:tc>
          <w:tcPr>
            <w:tcW w:type="dxa" w:w="3360"/>
            <w:vAlign w:val="top"/>
            <w:tcMar>
              <w:top w:w="80" w:type="dxa"/>
              <w:start w:w="100" w:type="dxa"/>
              <w:bottom w:w="80" w:type="dxa"/>
              <w:end w:w="100" w:type="dxa"/>
            </w:tcMar>
            <w:shd w:fill="F2F6F8"/>
          </w:tcPr>
          <w:p>
            <w:r>
              <w:rPr>
                <w:sz w:val="14"/>
              </w:rPr>
              <w:t>Conditional</w:t>
            </w:r>
          </w:p>
        </w:tc>
        <w:tc>
          <w:tcPr>
            <w:tcW w:type="dxa" w:w="3360"/>
            <w:vAlign w:val="top"/>
            <w:tcMar>
              <w:top w:w="80" w:type="dxa"/>
              <w:start w:w="100" w:type="dxa"/>
              <w:bottom w:w="80" w:type="dxa"/>
              <w:end w:w="100" w:type="dxa"/>
            </w:tcMar>
            <w:shd w:fill="F2F6F8"/>
          </w:tcPr>
          <w:p>
            <w:r>
              <w:rPr>
                <w:sz w:val="14"/>
              </w:rPr>
              <w:t>Failure becomes CFTRL only when specified dependency, asymmetry, downstream effect, and diagnostic/repair limits align.</w:t>
            </w:r>
          </w:p>
        </w:tc>
        <w:tc>
          <w:tcPr>
            <w:tcW w:type="dxa" w:w="3360"/>
            <w:vAlign w:val="top"/>
            <w:tcMar>
              <w:top w:w="80" w:type="dxa"/>
              <w:start w:w="100" w:type="dxa"/>
              <w:bottom w:w="80" w:type="dxa"/>
              <w:end w:w="100" w:type="dxa"/>
            </w:tcMar>
            <w:shd w:fill="F2F6F8"/>
          </w:tcPr>
          <w:p>
            <w:r>
              <w:rPr>
                <w:sz w:val="14"/>
              </w:rPr>
              <w:t>Using “conditional” as decoration.</w:t>
            </w:r>
          </w:p>
        </w:tc>
      </w:tr>
      <w:tr>
        <w:tc>
          <w:tcPr>
            <w:tcW w:type="dxa" w:w="3360"/>
            <w:vAlign w:val="top"/>
            <w:tcMar>
              <w:top w:w="80" w:type="dxa"/>
              <w:start w:w="100" w:type="dxa"/>
              <w:bottom w:w="80" w:type="dxa"/>
              <w:end w:w="100" w:type="dxa"/>
            </w:tcMar>
          </w:tcPr>
          <w:p>
            <w:r>
              <w:rPr>
                <w:sz w:val="14"/>
              </w:rPr>
              <w:t>Failure</w:t>
            </w:r>
          </w:p>
        </w:tc>
        <w:tc>
          <w:tcPr>
            <w:tcW w:type="dxa" w:w="3360"/>
            <w:vAlign w:val="top"/>
            <w:tcMar>
              <w:top w:w="80" w:type="dxa"/>
              <w:start w:w="100" w:type="dxa"/>
              <w:bottom w:w="80" w:type="dxa"/>
              <w:end w:w="100" w:type="dxa"/>
            </w:tcMar>
          </w:tcPr>
          <w:p>
            <w:r>
              <w:rPr>
                <w:sz w:val="14"/>
              </w:rPr>
              <w:t>A requirement or defining function cannot be met under declared conditions.</w:t>
            </w:r>
          </w:p>
        </w:tc>
        <w:tc>
          <w:tcPr>
            <w:tcW w:type="dxa" w:w="3360"/>
            <w:vAlign w:val="top"/>
            <w:tcMar>
              <w:top w:w="80" w:type="dxa"/>
              <w:start w:w="100" w:type="dxa"/>
              <w:bottom w:w="80" w:type="dxa"/>
              <w:end w:w="100" w:type="dxa"/>
            </w:tcMar>
          </w:tcPr>
          <w:p>
            <w:r>
              <w:rPr>
                <w:sz w:val="14"/>
              </w:rPr>
              <w:t>Equating every anomaly with failure.</w:t>
            </w:r>
          </w:p>
        </w:tc>
      </w:tr>
      <w:tr>
        <w:tc>
          <w:tcPr>
            <w:tcW w:type="dxa" w:w="3360"/>
            <w:vAlign w:val="top"/>
            <w:tcMar>
              <w:top w:w="80" w:type="dxa"/>
              <w:start w:w="100" w:type="dxa"/>
              <w:bottom w:w="80" w:type="dxa"/>
              <w:end w:w="100" w:type="dxa"/>
            </w:tcMar>
            <w:shd w:fill="F2F6F8"/>
          </w:tcPr>
          <w:p>
            <w:r>
              <w:rPr>
                <w:sz w:val="14"/>
              </w:rPr>
              <w:t>Compromise</w:t>
            </w:r>
          </w:p>
        </w:tc>
        <w:tc>
          <w:tcPr>
            <w:tcW w:type="dxa" w:w="3360"/>
            <w:vAlign w:val="top"/>
            <w:tcMar>
              <w:top w:w="80" w:type="dxa"/>
              <w:start w:w="100" w:type="dxa"/>
              <w:bottom w:w="80" w:type="dxa"/>
              <w:end w:w="100" w:type="dxa"/>
            </w:tcMar>
            <w:shd w:fill="F2F6F8"/>
          </w:tcPr>
          <w:p>
            <w:r>
              <w:rPr>
                <w:sz w:val="14"/>
              </w:rPr>
              <w:t>Integrity, identity, objective, or evidence is no longer trustworthy, whether or not service continues.</w:t>
            </w:r>
          </w:p>
        </w:tc>
        <w:tc>
          <w:tcPr>
            <w:tcW w:type="dxa" w:w="3360"/>
            <w:vAlign w:val="top"/>
            <w:tcMar>
              <w:top w:w="80" w:type="dxa"/>
              <w:start w:w="100" w:type="dxa"/>
              <w:bottom w:w="80" w:type="dxa"/>
              <w:end w:w="100" w:type="dxa"/>
            </w:tcMar>
            <w:shd w:fill="F2F6F8"/>
          </w:tcPr>
          <w:p>
            <w:r>
              <w:rPr>
                <w:sz w:val="14"/>
              </w:rPr>
              <w:t>Using “compromised” as a synonym for outage.</w:t>
            </w:r>
          </w:p>
        </w:tc>
      </w:tr>
      <w:tr>
        <w:tc>
          <w:tcPr>
            <w:tcW w:type="dxa" w:w="3360"/>
            <w:vAlign w:val="top"/>
            <w:tcMar>
              <w:top w:w="80" w:type="dxa"/>
              <w:start w:w="100" w:type="dxa"/>
              <w:bottom w:w="80" w:type="dxa"/>
              <w:end w:w="100" w:type="dxa"/>
            </w:tcMar>
          </w:tcPr>
          <w:p>
            <w:r>
              <w:rPr>
                <w:sz w:val="14"/>
              </w:rPr>
              <w:t>Base reality</w:t>
            </w:r>
          </w:p>
        </w:tc>
        <w:tc>
          <w:tcPr>
            <w:tcW w:type="dxa" w:w="3360"/>
            <w:vAlign w:val="top"/>
            <w:tcMar>
              <w:top w:w="80" w:type="dxa"/>
              <w:start w:w="100" w:type="dxa"/>
              <w:bottom w:w="80" w:type="dxa"/>
              <w:end w:w="100" w:type="dxa"/>
            </w:tcMar>
          </w:tcPr>
          <w:p>
            <w:r>
              <w:rPr>
                <w:sz w:val="14"/>
              </w:rPr>
              <w:t>Provisional ontological term for a level with no parent allocation or termination rights.</w:t>
            </w:r>
          </w:p>
        </w:tc>
        <w:tc>
          <w:tcPr>
            <w:tcW w:type="dxa" w:w="3360"/>
            <w:vAlign w:val="top"/>
            <w:tcMar>
              <w:top w:w="80" w:type="dxa"/>
              <w:start w:w="100" w:type="dxa"/>
              <w:bottom w:w="80" w:type="dxa"/>
              <w:end w:w="100" w:type="dxa"/>
            </w:tcMar>
          </w:tcPr>
          <w:p>
            <w:r>
              <w:rPr>
                <w:sz w:val="14"/>
              </w:rPr>
              <w:t>Assuming any operational root is base.</w:t>
            </w:r>
          </w:p>
        </w:tc>
      </w:tr>
      <w:tr>
        <w:tc>
          <w:tcPr>
            <w:tcW w:type="dxa" w:w="3360"/>
            <w:vAlign w:val="top"/>
            <w:tcMar>
              <w:top w:w="80" w:type="dxa"/>
              <w:start w:w="100" w:type="dxa"/>
              <w:bottom w:w="80" w:type="dxa"/>
              <w:end w:w="100" w:type="dxa"/>
            </w:tcMar>
            <w:shd w:fill="F2F6F8"/>
          </w:tcPr>
          <w:p>
            <w:r>
              <w:rPr>
                <w:sz w:val="14"/>
              </w:rPr>
              <w:t>Maintenance</w:t>
            </w:r>
          </w:p>
        </w:tc>
        <w:tc>
          <w:tcPr>
            <w:tcW w:type="dxa" w:w="3360"/>
            <w:vAlign w:val="top"/>
            <w:tcMar>
              <w:top w:w="80" w:type="dxa"/>
              <w:start w:w="100" w:type="dxa"/>
              <w:bottom w:w="80" w:type="dxa"/>
              <w:end w:w="100" w:type="dxa"/>
            </w:tcMar>
            <w:shd w:fill="F2F6F8"/>
          </w:tcPr>
          <w:p>
            <w:r>
              <w:rPr>
                <w:sz w:val="14"/>
              </w:rPr>
              <w:t>Actions that sustain valid operation: provisioning, calibration, repair, synchronization, renewal, error correction, and evidence preservation.</w:t>
            </w:r>
          </w:p>
        </w:tc>
        <w:tc>
          <w:tcPr>
            <w:tcW w:type="dxa" w:w="3360"/>
            <w:vAlign w:val="top"/>
            <w:tcMar>
              <w:top w:w="80" w:type="dxa"/>
              <w:start w:w="100" w:type="dxa"/>
              <w:bottom w:w="80" w:type="dxa"/>
              <w:end w:w="100" w:type="dxa"/>
            </w:tcMar>
            <w:shd w:fill="F2F6F8"/>
          </w:tcPr>
          <w:p>
            <w:r>
              <w:rPr>
                <w:sz w:val="14"/>
              </w:rPr>
              <w:t>Reducing maintenance to uptime.</w:t>
            </w:r>
          </w:p>
        </w:tc>
      </w:tr>
      <w:tr>
        <w:tc>
          <w:tcPr>
            <w:tcW w:type="dxa" w:w="3360"/>
            <w:vAlign w:val="top"/>
            <w:tcMar>
              <w:top w:w="80" w:type="dxa"/>
              <w:start w:w="100" w:type="dxa"/>
              <w:bottom w:w="80" w:type="dxa"/>
              <w:end w:w="100" w:type="dxa"/>
            </w:tcMar>
          </w:tcPr>
          <w:p>
            <w:r>
              <w:rPr>
                <w:sz w:val="14"/>
              </w:rPr>
              <w:t>Invariant</w:t>
            </w:r>
          </w:p>
        </w:tc>
        <w:tc>
          <w:tcPr>
            <w:tcW w:type="dxa" w:w="3360"/>
            <w:vAlign w:val="top"/>
            <w:tcMar>
              <w:top w:w="80" w:type="dxa"/>
              <w:start w:w="100" w:type="dxa"/>
              <w:bottom w:w="80" w:type="dxa"/>
              <w:end w:w="100" w:type="dxa"/>
            </w:tcMar>
          </w:tcPr>
          <w:p>
            <w:r>
              <w:rPr>
                <w:sz w:val="14"/>
              </w:rPr>
              <w:t>A property expected to remain true within a stated model and tolerance.</w:t>
            </w:r>
          </w:p>
        </w:tc>
        <w:tc>
          <w:tcPr>
            <w:tcW w:type="dxa" w:w="3360"/>
            <w:vAlign w:val="top"/>
            <w:tcMar>
              <w:top w:w="80" w:type="dxa"/>
              <w:start w:w="100" w:type="dxa"/>
              <w:bottom w:w="80" w:type="dxa"/>
              <w:end w:w="100" w:type="dxa"/>
            </w:tcMar>
          </w:tcPr>
          <w:p>
            <w:r>
              <w:rPr>
                <w:sz w:val="14"/>
              </w:rPr>
              <w:t>Treating an assumption as an observed law.</w:t>
            </w:r>
          </w:p>
        </w:tc>
      </w:tr>
      <w:tr>
        <w:tc>
          <w:tcPr>
            <w:tcW w:type="dxa" w:w="3360"/>
            <w:vAlign w:val="top"/>
            <w:tcMar>
              <w:top w:w="80" w:type="dxa"/>
              <w:start w:w="100" w:type="dxa"/>
              <w:bottom w:w="80" w:type="dxa"/>
              <w:end w:w="100" w:type="dxa"/>
            </w:tcMar>
            <w:shd w:fill="F2F6F8"/>
          </w:tcPr>
          <w:p>
            <w:r>
              <w:rPr>
                <w:sz w:val="14"/>
              </w:rPr>
              <w:t>Independent witness</w:t>
            </w:r>
          </w:p>
        </w:tc>
        <w:tc>
          <w:tcPr>
            <w:tcW w:type="dxa" w:w="3360"/>
            <w:vAlign w:val="top"/>
            <w:tcMar>
              <w:top w:w="80" w:type="dxa"/>
              <w:start w:w="100" w:type="dxa"/>
              <w:bottom w:w="80" w:type="dxa"/>
              <w:end w:w="100" w:type="dxa"/>
            </w:tcMar>
            <w:shd w:fill="F2F6F8"/>
          </w:tcPr>
          <w:p>
            <w:r>
              <w:rPr>
                <w:sz w:val="14"/>
              </w:rPr>
              <w:t>Evidence source outside the mutable state or failure domain being assessed, to the extent specified.</w:t>
            </w:r>
          </w:p>
        </w:tc>
        <w:tc>
          <w:tcPr>
            <w:tcW w:type="dxa" w:w="3360"/>
            <w:vAlign w:val="top"/>
            <w:tcMar>
              <w:top w:w="80" w:type="dxa"/>
              <w:start w:w="100" w:type="dxa"/>
              <w:bottom w:w="80" w:type="dxa"/>
              <w:end w:w="100" w:type="dxa"/>
            </w:tcMar>
            <w:shd w:fill="F2F6F8"/>
          </w:tcPr>
          <w:p>
            <w:r>
              <w:rPr>
                <w:sz w:val="14"/>
              </w:rPr>
              <w:t>Claiming absolute independence.</w:t>
            </w:r>
          </w:p>
        </w:tc>
      </w:tr>
    </w:tbl>
    <w:p>
      <w:pPr>
        <w:pStyle w:val="Heading1"/>
      </w:pPr>
      <w:r>
        <w:t>Traceability crosswalk</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80" w:type="dxa"/>
              <w:start w:w="100" w:type="dxa"/>
              <w:bottom w:w="80" w:type="dxa"/>
              <w:end w:w="100" w:type="dxa"/>
            </w:tcMar>
          </w:tcPr>
          <w:p>
            <w:r>
              <w:rPr>
                <w:b/>
                <w:color w:val="FFFFFF"/>
                <w:sz w:val="14"/>
              </w:rPr>
              <w:t>Origin concern</w:t>
            </w:r>
          </w:p>
        </w:tc>
        <w:tc>
          <w:tcPr>
            <w:tcW w:type="dxa" w:w="2520"/>
            <w:shd w:fill="17324D"/>
            <w:tcMar>
              <w:top w:w="80" w:type="dxa"/>
              <w:start w:w="100" w:type="dxa"/>
              <w:bottom w:w="80" w:type="dxa"/>
              <w:end w:w="100" w:type="dxa"/>
            </w:tcMar>
          </w:tcPr>
          <w:p>
            <w:r>
              <w:rPr>
                <w:b/>
                <w:color w:val="FFFFFF"/>
                <w:sz w:val="14"/>
              </w:rPr>
              <w:t>Research response</w:t>
            </w:r>
          </w:p>
        </w:tc>
        <w:tc>
          <w:tcPr>
            <w:tcW w:type="dxa" w:w="2520"/>
            <w:shd w:fill="17324D"/>
            <w:tcMar>
              <w:top w:w="80" w:type="dxa"/>
              <w:start w:w="100" w:type="dxa"/>
              <w:bottom w:w="80" w:type="dxa"/>
              <w:end w:w="100" w:type="dxa"/>
            </w:tcMar>
          </w:tcPr>
          <w:p>
            <w:r>
              <w:rPr>
                <w:b/>
                <w:color w:val="FFFFFF"/>
                <w:sz w:val="14"/>
              </w:rPr>
              <w:t>Development artifact</w:t>
            </w:r>
          </w:p>
        </w:tc>
        <w:tc>
          <w:tcPr>
            <w:tcW w:type="dxa" w:w="2520"/>
            <w:shd w:fill="17324D"/>
            <w:tcMar>
              <w:top w:w="80" w:type="dxa"/>
              <w:start w:w="100" w:type="dxa"/>
              <w:bottom w:w="80" w:type="dxa"/>
              <w:end w:w="100" w:type="dxa"/>
            </w:tcMar>
          </w:tcPr>
          <w:p>
            <w:r>
              <w:rPr>
                <w:b/>
                <w:color w:val="FFFFFF"/>
                <w:sz w:val="14"/>
              </w:rPr>
              <w:t>Open decision</w:t>
            </w:r>
          </w:p>
        </w:tc>
      </w:tr>
      <w:tr>
        <w:tc>
          <w:tcPr>
            <w:tcW w:type="dxa" w:w="2520"/>
            <w:vAlign w:val="top"/>
            <w:tcMar>
              <w:top w:w="80" w:type="dxa"/>
              <w:start w:w="100" w:type="dxa"/>
              <w:bottom w:w="80" w:type="dxa"/>
              <w:end w:w="100" w:type="dxa"/>
            </w:tcMar>
          </w:tcPr>
          <w:p>
            <w:r>
              <w:rPr>
                <w:sz w:val="14"/>
              </w:rPr>
              <w:t>What is a root?</w:t>
            </w:r>
          </w:p>
        </w:tc>
        <w:tc>
          <w:tcPr>
            <w:tcW w:type="dxa" w:w="2520"/>
            <w:vAlign w:val="top"/>
            <w:tcMar>
              <w:top w:w="80" w:type="dxa"/>
              <w:start w:w="100" w:type="dxa"/>
              <w:bottom w:w="80" w:type="dxa"/>
              <w:end w:w="100" w:type="dxa"/>
            </w:tcMar>
          </w:tcPr>
          <w:p>
            <w:r>
              <w:rPr>
                <w:sz w:val="14"/>
              </w:rPr>
              <w:t>Root categories and rootness vector.</w:t>
            </w:r>
          </w:p>
        </w:tc>
        <w:tc>
          <w:tcPr>
            <w:tcW w:type="dxa" w:w="2520"/>
            <w:vAlign w:val="top"/>
            <w:tcMar>
              <w:top w:w="80" w:type="dxa"/>
              <w:start w:w="100" w:type="dxa"/>
              <w:bottom w:w="80" w:type="dxa"/>
              <w:end w:w="100" w:type="dxa"/>
            </w:tcMar>
          </w:tcPr>
          <w:p>
            <w:r>
              <w:rPr>
                <w:sz w:val="14"/>
              </w:rPr>
              <w:t>Glossary; boundary template; dependency graph.</w:t>
            </w:r>
          </w:p>
        </w:tc>
        <w:tc>
          <w:tcPr>
            <w:tcW w:type="dxa" w:w="2520"/>
            <w:vAlign w:val="top"/>
            <w:tcMar>
              <w:top w:w="80" w:type="dxa"/>
              <w:start w:w="100" w:type="dxa"/>
              <w:bottom w:w="80" w:type="dxa"/>
              <w:end w:w="100" w:type="dxa"/>
            </w:tcMar>
          </w:tcPr>
          <w:p>
            <w:r>
              <w:rPr>
                <w:sz w:val="14"/>
              </w:rPr>
              <w:t>Which root type leads the canonical first model?</w:t>
            </w:r>
          </w:p>
        </w:tc>
      </w:tr>
      <w:tr>
        <w:tc>
          <w:tcPr>
            <w:tcW w:type="dxa" w:w="2520"/>
            <w:vAlign w:val="top"/>
            <w:tcMar>
              <w:top w:w="80" w:type="dxa"/>
              <w:start w:w="100" w:type="dxa"/>
              <w:bottom w:w="80" w:type="dxa"/>
              <w:end w:w="100" w:type="dxa"/>
            </w:tcMar>
            <w:shd w:fill="F2F6F8"/>
          </w:tcPr>
          <w:p>
            <w:r>
              <w:rPr>
                <w:sz w:val="14"/>
              </w:rPr>
              <w:t>Base versus non-base</w:t>
            </w:r>
          </w:p>
        </w:tc>
        <w:tc>
          <w:tcPr>
            <w:tcW w:type="dxa" w:w="2520"/>
            <w:vAlign w:val="top"/>
            <w:tcMar>
              <w:top w:w="80" w:type="dxa"/>
              <w:start w:w="100" w:type="dxa"/>
              <w:bottom w:w="80" w:type="dxa"/>
              <w:end w:w="100" w:type="dxa"/>
            </w:tcMar>
            <w:shd w:fill="F2F6F8"/>
          </w:tcPr>
          <w:p>
            <w:r>
              <w:rPr>
                <w:sz w:val="14"/>
              </w:rPr>
              <w:t>Operational/ontological separation and indistinguishability limit.</w:t>
            </w:r>
          </w:p>
        </w:tc>
        <w:tc>
          <w:tcPr>
            <w:tcW w:type="dxa" w:w="2520"/>
            <w:vAlign w:val="top"/>
            <w:tcMar>
              <w:top w:w="80" w:type="dxa"/>
              <w:start w:w="100" w:type="dxa"/>
              <w:bottom w:w="80" w:type="dxa"/>
              <w:end w:w="100" w:type="dxa"/>
            </w:tcMar>
            <w:shd w:fill="F2F6F8"/>
          </w:tcPr>
          <w:p>
            <w:r>
              <w:rPr>
                <w:sz w:val="14"/>
              </w:rPr>
              <w:t>Claims ledger and evidence ladder.</w:t>
            </w:r>
          </w:p>
        </w:tc>
        <w:tc>
          <w:tcPr>
            <w:tcW w:type="dxa" w:w="2520"/>
            <w:vAlign w:val="top"/>
            <w:tcMar>
              <w:top w:w="80" w:type="dxa"/>
              <w:start w:w="100" w:type="dxa"/>
              <w:bottom w:w="80" w:type="dxa"/>
              <w:end w:w="100" w:type="dxa"/>
            </w:tcMar>
            <w:shd w:fill="F2F6F8"/>
          </w:tcPr>
          <w:p>
            <w:r>
              <w:rPr>
                <w:sz w:val="14"/>
              </w:rPr>
              <w:t>Is “base reality” retained as a formal term or only as a philosophical branch?</w:t>
            </w:r>
          </w:p>
        </w:tc>
      </w:tr>
      <w:tr>
        <w:tc>
          <w:tcPr>
            <w:tcW w:type="dxa" w:w="2520"/>
            <w:vAlign w:val="top"/>
            <w:tcMar>
              <w:top w:w="80" w:type="dxa"/>
              <w:start w:w="100" w:type="dxa"/>
              <w:bottom w:w="80" w:type="dxa"/>
              <w:end w:w="100" w:type="dxa"/>
            </w:tcMar>
          </w:tcPr>
          <w:p>
            <w:r>
              <w:rPr>
                <w:sz w:val="14"/>
              </w:rPr>
              <w:t>Detect root failure</w:t>
            </w:r>
          </w:p>
        </w:tc>
        <w:tc>
          <w:tcPr>
            <w:tcW w:type="dxa" w:w="2520"/>
            <w:vAlign w:val="top"/>
            <w:tcMar>
              <w:top w:w="80" w:type="dxa"/>
              <w:start w:w="100" w:type="dxa"/>
              <w:bottom w:w="80" w:type="dxa"/>
              <w:end w:w="100" w:type="dxa"/>
            </w:tcMar>
          </w:tcPr>
          <w:p>
            <w:r>
              <w:rPr>
                <w:sz w:val="14"/>
              </w:rPr>
              <w:t>Failure taxonomy, independent witnesses, causal interventions.</w:t>
            </w:r>
          </w:p>
        </w:tc>
        <w:tc>
          <w:tcPr>
            <w:tcW w:type="dxa" w:w="2520"/>
            <w:vAlign w:val="top"/>
            <w:tcMar>
              <w:top w:w="80" w:type="dxa"/>
              <w:start w:w="100" w:type="dxa"/>
              <w:bottom w:w="80" w:type="dxa"/>
              <w:end w:w="100" w:type="dxa"/>
            </w:tcMar>
          </w:tcPr>
          <w:p>
            <w:r>
              <w:rPr>
                <w:sz w:val="14"/>
              </w:rPr>
              <w:t>Diagnostic protocol and experiment registry.</w:t>
            </w:r>
          </w:p>
        </w:tc>
        <w:tc>
          <w:tcPr>
            <w:tcW w:type="dxa" w:w="2520"/>
            <w:vAlign w:val="top"/>
            <w:tcMar>
              <w:top w:w="80" w:type="dxa"/>
              <w:start w:w="100" w:type="dxa"/>
              <w:bottom w:w="80" w:type="dxa"/>
              <w:end w:w="100" w:type="dxa"/>
            </w:tcMar>
          </w:tcPr>
          <w:p>
            <w:r>
              <w:rPr>
                <w:sz w:val="14"/>
              </w:rPr>
              <w:t>What evidence threshold authorizes a root-level incident declaration?</w:t>
            </w:r>
          </w:p>
        </w:tc>
      </w:tr>
      <w:tr>
        <w:tc>
          <w:tcPr>
            <w:tcW w:type="dxa" w:w="2520"/>
            <w:vAlign w:val="top"/>
            <w:tcMar>
              <w:top w:w="80" w:type="dxa"/>
              <w:start w:w="100" w:type="dxa"/>
              <w:bottom w:w="80" w:type="dxa"/>
              <w:end w:w="100" w:type="dxa"/>
            </w:tcMar>
            <w:shd w:fill="F2F6F8"/>
          </w:tcPr>
          <w:p>
            <w:r>
              <w:rPr>
                <w:sz w:val="14"/>
              </w:rPr>
              <w:t>Study beyond structures</w:t>
            </w:r>
          </w:p>
        </w:tc>
        <w:tc>
          <w:tcPr>
            <w:tcW w:type="dxa" w:w="2520"/>
            <w:vAlign w:val="top"/>
            <w:tcMar>
              <w:top w:w="80" w:type="dxa"/>
              <w:start w:w="100" w:type="dxa"/>
              <w:bottom w:w="80" w:type="dxa"/>
              <w:end w:w="100" w:type="dxa"/>
            </w:tcMar>
            <w:shd w:fill="F2F6F8"/>
          </w:tcPr>
          <w:p>
            <w:r>
              <w:rPr>
                <w:sz w:val="14"/>
              </w:rPr>
              <w:t>Unknown-boundary mapping and alternative models.</w:t>
            </w:r>
          </w:p>
        </w:tc>
        <w:tc>
          <w:tcPr>
            <w:tcW w:type="dxa" w:w="2520"/>
            <w:vAlign w:val="top"/>
            <w:tcMar>
              <w:top w:w="80" w:type="dxa"/>
              <w:start w:w="100" w:type="dxa"/>
              <w:bottom w:w="80" w:type="dxa"/>
              <w:end w:w="100" w:type="dxa"/>
            </w:tcMar>
            <w:shd w:fill="F2F6F8"/>
          </w:tcPr>
          <w:p>
            <w:r>
              <w:rPr>
                <w:sz w:val="14"/>
              </w:rPr>
              <w:t>Reality-map schema.</w:t>
            </w:r>
          </w:p>
        </w:tc>
        <w:tc>
          <w:tcPr>
            <w:tcW w:type="dxa" w:w="2520"/>
            <w:vAlign w:val="top"/>
            <w:tcMar>
              <w:top w:w="80" w:type="dxa"/>
              <w:start w:w="100" w:type="dxa"/>
              <w:bottom w:w="80" w:type="dxa"/>
              <w:end w:w="100" w:type="dxa"/>
            </w:tcMar>
            <w:shd w:fill="F2F6F8"/>
          </w:tcPr>
          <w:p>
            <w:r>
              <w:rPr>
                <w:sz w:val="14"/>
              </w:rPr>
              <w:t>How far may the program speculate beyond testable models?</w:t>
            </w:r>
          </w:p>
        </w:tc>
      </w:tr>
      <w:tr>
        <w:tc>
          <w:tcPr>
            <w:tcW w:type="dxa" w:w="2520"/>
            <w:vAlign w:val="top"/>
            <w:tcMar>
              <w:top w:w="80" w:type="dxa"/>
              <w:start w:w="100" w:type="dxa"/>
              <w:bottom w:w="80" w:type="dxa"/>
              <w:end w:w="100" w:type="dxa"/>
            </w:tcMar>
          </w:tcPr>
          <w:p>
            <w:r>
              <w:rPr>
                <w:sz w:val="14"/>
              </w:rPr>
              <w:t>Laboratory feasibility</w:t>
            </w:r>
          </w:p>
        </w:tc>
        <w:tc>
          <w:tcPr>
            <w:tcW w:type="dxa" w:w="2520"/>
            <w:vAlign w:val="top"/>
            <w:tcMar>
              <w:top w:w="80" w:type="dxa"/>
              <w:start w:w="100" w:type="dxa"/>
              <w:bottom w:w="80" w:type="dxa"/>
              <w:end w:w="100" w:type="dxa"/>
            </w:tcMar>
          </w:tcPr>
          <w:p>
            <w:r>
              <w:rPr>
                <w:sz w:val="14"/>
              </w:rPr>
              <w:t>Synthetic layered simulation and blind diagnosis.</w:t>
            </w:r>
          </w:p>
        </w:tc>
        <w:tc>
          <w:tcPr>
            <w:tcW w:type="dxa" w:w="2520"/>
            <w:vAlign w:val="top"/>
            <w:tcMar>
              <w:top w:w="80" w:type="dxa"/>
              <w:start w:w="100" w:type="dxa"/>
              <w:bottom w:w="80" w:type="dxa"/>
              <w:end w:w="100" w:type="dxa"/>
            </w:tcMar>
          </w:tcPr>
          <w:p>
            <w:r>
              <w:rPr>
                <w:sz w:val="14"/>
              </w:rPr>
              <w:t>Lab specification and MVP roadmap.</w:t>
            </w:r>
          </w:p>
        </w:tc>
        <w:tc>
          <w:tcPr>
            <w:tcW w:type="dxa" w:w="2520"/>
            <w:vAlign w:val="top"/>
            <w:tcMar>
              <w:top w:w="80" w:type="dxa"/>
              <w:start w:w="100" w:type="dxa"/>
              <w:bottom w:w="80" w:type="dxa"/>
              <w:end w:w="100" w:type="dxa"/>
            </w:tcMar>
          </w:tcPr>
          <w:p>
            <w:r>
              <w:rPr>
                <w:sz w:val="14"/>
              </w:rPr>
              <w:t>Python framework, agent design, and first topology.</w:t>
            </w:r>
          </w:p>
        </w:tc>
      </w:tr>
      <w:tr>
        <w:tc>
          <w:tcPr>
            <w:tcW w:type="dxa" w:w="2520"/>
            <w:vAlign w:val="top"/>
            <w:tcMar>
              <w:top w:w="80" w:type="dxa"/>
              <w:start w:w="100" w:type="dxa"/>
              <w:bottom w:w="80" w:type="dxa"/>
              <w:end w:w="100" w:type="dxa"/>
            </w:tcMar>
            <w:shd w:fill="F2F6F8"/>
          </w:tcPr>
          <w:p>
            <w:r>
              <w:rPr>
                <w:sz w:val="14"/>
              </w:rPr>
              <w:t>Incomplete information</w:t>
            </w:r>
          </w:p>
        </w:tc>
        <w:tc>
          <w:tcPr>
            <w:tcW w:type="dxa" w:w="2520"/>
            <w:vAlign w:val="top"/>
            <w:tcMar>
              <w:top w:w="80" w:type="dxa"/>
              <w:start w:w="100" w:type="dxa"/>
              <w:bottom w:w="80" w:type="dxa"/>
              <w:end w:w="100" w:type="dxa"/>
            </w:tcMar>
            <w:shd w:fill="F2F6F8"/>
          </w:tcPr>
          <w:p>
            <w:r>
              <w:rPr>
                <w:sz w:val="14"/>
              </w:rPr>
              <w:t>Confidence calibration and compatible-hypothesis preservation.</w:t>
            </w:r>
          </w:p>
        </w:tc>
        <w:tc>
          <w:tcPr>
            <w:tcW w:type="dxa" w:w="2520"/>
            <w:vAlign w:val="top"/>
            <w:tcMar>
              <w:top w:w="80" w:type="dxa"/>
              <w:start w:w="100" w:type="dxa"/>
              <w:bottom w:w="80" w:type="dxa"/>
              <w:end w:w="100" w:type="dxa"/>
            </w:tcMar>
            <w:shd w:fill="F2F6F8"/>
          </w:tcPr>
          <w:p>
            <w:r>
              <w:rPr>
                <w:sz w:val="14"/>
              </w:rPr>
              <w:t>Diagnosis report schema.</w:t>
            </w:r>
          </w:p>
        </w:tc>
        <w:tc>
          <w:tcPr>
            <w:tcW w:type="dxa" w:w="2520"/>
            <w:vAlign w:val="top"/>
            <w:tcMar>
              <w:top w:w="80" w:type="dxa"/>
              <w:start w:w="100" w:type="dxa"/>
              <w:bottom w:w="80" w:type="dxa"/>
              <w:end w:w="100" w:type="dxa"/>
            </w:tcMar>
            <w:shd w:fill="F2F6F8"/>
          </w:tcPr>
          <w:p>
            <w:r>
              <w:rPr>
                <w:sz w:val="14"/>
              </w:rPr>
              <w:t>Which uncertainty notation becomes standard?</w:t>
            </w:r>
          </w:p>
        </w:tc>
      </w:tr>
      <w:tr>
        <w:tc>
          <w:tcPr>
            <w:tcW w:type="dxa" w:w="2520"/>
            <w:vAlign w:val="top"/>
            <w:tcMar>
              <w:top w:w="80" w:type="dxa"/>
              <w:start w:w="100" w:type="dxa"/>
              <w:bottom w:w="80" w:type="dxa"/>
              <w:end w:w="100" w:type="dxa"/>
            </w:tcMar>
          </w:tcPr>
          <w:p>
            <w:r>
              <w:rPr>
                <w:sz w:val="14"/>
              </w:rPr>
              <w:t>Learn from failure</w:t>
            </w:r>
          </w:p>
        </w:tc>
        <w:tc>
          <w:tcPr>
            <w:tcW w:type="dxa" w:w="2520"/>
            <w:vAlign w:val="top"/>
            <w:tcMar>
              <w:top w:w="80" w:type="dxa"/>
              <w:start w:w="100" w:type="dxa"/>
              <w:bottom w:w="80" w:type="dxa"/>
              <w:end w:w="100" w:type="dxa"/>
            </w:tcMar>
          </w:tcPr>
          <w:p>
            <w:r>
              <w:rPr>
                <w:sz w:val="14"/>
              </w:rPr>
              <w:t>Department of Endings workflow.</w:t>
            </w:r>
          </w:p>
        </w:tc>
        <w:tc>
          <w:tcPr>
            <w:tcW w:type="dxa" w:w="2520"/>
            <w:vAlign w:val="top"/>
            <w:tcMar>
              <w:top w:w="80" w:type="dxa"/>
              <w:start w:w="100" w:type="dxa"/>
              <w:bottom w:w="80" w:type="dxa"/>
              <w:end w:w="100" w:type="dxa"/>
            </w:tcMar>
          </w:tcPr>
          <w:p>
            <w:r>
              <w:rPr>
                <w:sz w:val="14"/>
              </w:rPr>
              <w:t>Charter and design-diff traceability.</w:t>
            </w:r>
          </w:p>
        </w:tc>
        <w:tc>
          <w:tcPr>
            <w:tcW w:type="dxa" w:w="2520"/>
            <w:vAlign w:val="top"/>
            <w:tcMar>
              <w:top w:w="80" w:type="dxa"/>
              <w:start w:w="100" w:type="dxa"/>
              <w:bottom w:w="80" w:type="dxa"/>
              <w:end w:w="100" w:type="dxa"/>
            </w:tcMar>
          </w:tcPr>
          <w:p>
            <w:r>
              <w:rPr>
                <w:sz w:val="14"/>
              </w:rPr>
              <w:t>Authority, staffing, and relationship to the Abundance Set/Antithesis Set.</w:t>
            </w:r>
          </w:p>
        </w:tc>
      </w:tr>
      <w:tr>
        <w:tc>
          <w:tcPr>
            <w:tcW w:type="dxa" w:w="2520"/>
            <w:vAlign w:val="top"/>
            <w:tcMar>
              <w:top w:w="80" w:type="dxa"/>
              <w:start w:w="100" w:type="dxa"/>
              <w:bottom w:w="80" w:type="dxa"/>
              <w:end w:w="100" w:type="dxa"/>
            </w:tcMar>
            <w:shd w:fill="F2F6F8"/>
          </w:tcPr>
          <w:p>
            <w:r>
              <w:rPr>
                <w:sz w:val="14"/>
              </w:rPr>
              <w:t>Original documents</w:t>
            </w:r>
          </w:p>
        </w:tc>
        <w:tc>
          <w:tcPr>
            <w:tcW w:type="dxa" w:w="2520"/>
            <w:vAlign w:val="top"/>
            <w:tcMar>
              <w:top w:w="80" w:type="dxa"/>
              <w:start w:w="100" w:type="dxa"/>
              <w:bottom w:w="80" w:type="dxa"/>
              <w:end w:w="100" w:type="dxa"/>
            </w:tcMar>
            <w:shd w:fill="F2F6F8"/>
          </w:tcPr>
          <w:p>
            <w:r>
              <w:rPr>
                <w:sz w:val="14"/>
              </w:rPr>
              <w:t>Sidecar archive and checksums.</w:t>
            </w:r>
          </w:p>
        </w:tc>
        <w:tc>
          <w:tcPr>
            <w:tcW w:type="dxa" w:w="2520"/>
            <w:vAlign w:val="top"/>
            <w:tcMar>
              <w:top w:w="80" w:type="dxa"/>
              <w:start w:w="100" w:type="dxa"/>
              <w:bottom w:w="80" w:type="dxa"/>
              <w:end w:w="100" w:type="dxa"/>
            </w:tcMar>
            <w:shd w:fill="F2F6F8"/>
          </w:tcPr>
          <w:p>
            <w:r>
              <w:rPr>
                <w:sz w:val="14"/>
              </w:rPr>
              <w:t>Source manifest.</w:t>
            </w:r>
          </w:p>
        </w:tc>
        <w:tc>
          <w:tcPr>
            <w:tcW w:type="dxa" w:w="2520"/>
            <w:vAlign w:val="top"/>
            <w:tcMar>
              <w:top w:w="80" w:type="dxa"/>
              <w:start w:w="100" w:type="dxa"/>
              <w:bottom w:w="80" w:type="dxa"/>
              <w:end w:w="100" w:type="dxa"/>
            </w:tcMar>
            <w:shd w:fill="F2F6F8"/>
          </w:tcPr>
          <w:p>
            <w:r>
              <w:rPr>
                <w:sz w:val="14"/>
              </w:rPr>
              <w:t>Which files will be designated foundational versus supplemental?</w:t>
            </w:r>
          </w:p>
        </w:tc>
      </w:tr>
    </w:tbl>
    <w:p>
      <w:pPr>
        <w:pStyle w:val="Heading1"/>
      </w:pPr>
      <w:r>
        <w:t>Conflict and contamination protocol</w:t>
      </w:r>
    </w:p>
    <w:p>
      <w:pPr>
        <w:pStyle w:val="ListNumber"/>
      </w:pPr>
      <w:r>
        <w:t>Preserve the original artifact unchanged and compute a cryptographic hash.</w:t>
      </w:r>
    </w:p>
    <w:p>
      <w:pPr>
        <w:pStyle w:val="ListNumber"/>
      </w:pPr>
      <w:r>
        <w:t>Create a working copy only when needed; label every redaction, normalization, or extraction.</w:t>
      </w:r>
    </w:p>
    <w:p>
      <w:pPr>
        <w:pStyle w:val="ListNumber"/>
      </w:pPr>
      <w:r>
        <w:t>If two source documents conflict, record both statements and identify their source, date, and status.</w:t>
      </w:r>
    </w:p>
    <w:p>
      <w:pPr>
        <w:pStyle w:val="ListNumber"/>
      </w:pPr>
      <w:r>
        <w:t>Ask the Architect for a decision only when the conflict affects the next design gate; otherwise defer it visibly.</w:t>
      </w:r>
    </w:p>
    <w:p>
      <w:pPr>
        <w:pStyle w:val="ListNumber"/>
      </w:pPr>
      <w:r>
        <w:t>Exclude unrelated material from working synthesis while retaining it in the immutable provenance record.</w:t>
      </w:r>
    </w:p>
    <w:p>
      <w:pPr>
        <w:pStyle w:val="ListNumber"/>
      </w:pPr>
      <w:r>
        <w:t>Never resolve conflict by AI majority vote. Evaluate source authority, directness, date, evidence, and Architect intent.</w:t>
      </w:r>
    </w:p>
    <w:p>
      <w:pPr>
        <w:pStyle w:val="ListNumber"/>
      </w:pPr>
      <w:r>
        <w:t>After a decision, retain the superseded language and record why it was accepted, rejected, or narrowed.</w:t>
      </w:r>
    </w:p>
    <w:p>
      <w:pPr>
        <w:pStyle w:val="Heading1"/>
      </w:pPr>
      <w:r>
        <w:t>Change-control record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80" w:type="dxa"/>
              <w:start w:w="100" w:type="dxa"/>
              <w:bottom w:w="80" w:type="dxa"/>
              <w:end w:w="100" w:type="dxa"/>
            </w:tcMar>
          </w:tcPr>
          <w:p>
            <w:r>
              <w:rPr>
                <w:b/>
                <w:color w:val="FFFFFF"/>
                <w:sz w:val="16"/>
              </w:rPr>
              <w:t>Field</w:t>
            </w:r>
          </w:p>
        </w:tc>
        <w:tc>
          <w:tcPr>
            <w:tcW w:type="dxa" w:w="5040"/>
            <w:shd w:fill="17324D"/>
            <w:tcMar>
              <w:top w:w="80" w:type="dxa"/>
              <w:start w:w="100" w:type="dxa"/>
              <w:bottom w:w="80" w:type="dxa"/>
              <w:end w:w="100" w:type="dxa"/>
            </w:tcMar>
          </w:tcPr>
          <w:p>
            <w:r>
              <w:rPr>
                <w:b/>
                <w:color w:val="FFFFFF"/>
                <w:sz w:val="16"/>
              </w:rPr>
              <w:t>Required entry</w:t>
            </w:r>
          </w:p>
        </w:tc>
      </w:tr>
      <w:tr>
        <w:tc>
          <w:tcPr>
            <w:tcW w:type="dxa" w:w="5040"/>
            <w:vAlign w:val="top"/>
            <w:tcMar>
              <w:top w:w="80" w:type="dxa"/>
              <w:start w:w="100" w:type="dxa"/>
              <w:bottom w:w="80" w:type="dxa"/>
              <w:end w:w="100" w:type="dxa"/>
            </w:tcMar>
          </w:tcPr>
          <w:p>
            <w:r>
              <w:rPr>
                <w:sz w:val="16"/>
              </w:rPr>
              <w:t>Change ID</w:t>
            </w:r>
          </w:p>
        </w:tc>
        <w:tc>
          <w:tcPr>
            <w:tcW w:type="dxa" w:w="5040"/>
            <w:vAlign w:val="top"/>
            <w:tcMar>
              <w:top w:w="80" w:type="dxa"/>
              <w:start w:w="100" w:type="dxa"/>
              <w:bottom w:w="80" w:type="dxa"/>
              <w:end w:w="100" w:type="dxa"/>
            </w:tcMar>
          </w:tcPr>
          <w:p>
            <w:r>
              <w:rPr>
                <w:sz w:val="16"/>
              </w:rPr>
              <w:t>Unique identifier linked to document and section.</w:t>
            </w:r>
          </w:p>
        </w:tc>
      </w:tr>
      <w:tr>
        <w:tc>
          <w:tcPr>
            <w:tcW w:type="dxa" w:w="5040"/>
            <w:vAlign w:val="top"/>
            <w:tcMar>
              <w:top w:w="80" w:type="dxa"/>
              <w:start w:w="100" w:type="dxa"/>
              <w:bottom w:w="80" w:type="dxa"/>
              <w:end w:w="100" w:type="dxa"/>
            </w:tcMar>
            <w:shd w:fill="F2F6F8"/>
          </w:tcPr>
          <w:p>
            <w:r>
              <w:rPr>
                <w:sz w:val="16"/>
              </w:rPr>
              <w:t>Proposer</w:t>
            </w:r>
          </w:p>
        </w:tc>
        <w:tc>
          <w:tcPr>
            <w:tcW w:type="dxa" w:w="5040"/>
            <w:vAlign w:val="top"/>
            <w:tcMar>
              <w:top w:w="80" w:type="dxa"/>
              <w:start w:w="100" w:type="dxa"/>
              <w:bottom w:w="80" w:type="dxa"/>
              <w:end w:w="100" w:type="dxa"/>
            </w:tcMar>
            <w:shd w:fill="F2F6F8"/>
          </w:tcPr>
          <w:p>
            <w:r>
              <w:rPr>
                <w:sz w:val="16"/>
              </w:rPr>
              <w:t>Human or AI collaborator.</w:t>
            </w:r>
          </w:p>
        </w:tc>
      </w:tr>
      <w:tr>
        <w:tc>
          <w:tcPr>
            <w:tcW w:type="dxa" w:w="5040"/>
            <w:vAlign w:val="top"/>
            <w:tcMar>
              <w:top w:w="80" w:type="dxa"/>
              <w:start w:w="100" w:type="dxa"/>
              <w:bottom w:w="80" w:type="dxa"/>
              <w:end w:w="100" w:type="dxa"/>
            </w:tcMar>
          </w:tcPr>
          <w:p>
            <w:r>
              <w:rPr>
                <w:sz w:val="16"/>
              </w:rPr>
              <w:t>Source basis</w:t>
            </w:r>
          </w:p>
        </w:tc>
        <w:tc>
          <w:tcPr>
            <w:tcW w:type="dxa" w:w="5040"/>
            <w:vAlign w:val="top"/>
            <w:tcMar>
              <w:top w:w="80" w:type="dxa"/>
              <w:start w:w="100" w:type="dxa"/>
              <w:bottom w:w="80" w:type="dxa"/>
              <w:end w:w="100" w:type="dxa"/>
            </w:tcMar>
          </w:tcPr>
          <w:p>
            <w:r>
              <w:rPr>
                <w:sz w:val="16"/>
              </w:rPr>
              <w:t>Origin text, external evidence, test result, or decision prompting the change.</w:t>
            </w:r>
          </w:p>
        </w:tc>
      </w:tr>
      <w:tr>
        <w:tc>
          <w:tcPr>
            <w:tcW w:type="dxa" w:w="5040"/>
            <w:vAlign w:val="top"/>
            <w:tcMar>
              <w:top w:w="80" w:type="dxa"/>
              <w:start w:w="100" w:type="dxa"/>
              <w:bottom w:w="80" w:type="dxa"/>
              <w:end w:w="100" w:type="dxa"/>
            </w:tcMar>
            <w:shd w:fill="F2F6F8"/>
          </w:tcPr>
          <w:p>
            <w:r>
              <w:rPr>
                <w:sz w:val="16"/>
              </w:rPr>
              <w:t>Old/new text</w:t>
            </w:r>
          </w:p>
        </w:tc>
        <w:tc>
          <w:tcPr>
            <w:tcW w:type="dxa" w:w="5040"/>
            <w:vAlign w:val="top"/>
            <w:tcMar>
              <w:top w:w="80" w:type="dxa"/>
              <w:start w:w="100" w:type="dxa"/>
              <w:bottom w:w="80" w:type="dxa"/>
              <w:end w:w="100" w:type="dxa"/>
            </w:tcMar>
            <w:shd w:fill="F2F6F8"/>
          </w:tcPr>
          <w:p>
            <w:r>
              <w:rPr>
                <w:sz w:val="16"/>
              </w:rPr>
              <w:t>Exact before-and-after language.</w:t>
            </w:r>
          </w:p>
        </w:tc>
      </w:tr>
      <w:tr>
        <w:tc>
          <w:tcPr>
            <w:tcW w:type="dxa" w:w="5040"/>
            <w:vAlign w:val="top"/>
            <w:tcMar>
              <w:top w:w="80" w:type="dxa"/>
              <w:start w:w="100" w:type="dxa"/>
              <w:bottom w:w="80" w:type="dxa"/>
              <w:end w:w="100" w:type="dxa"/>
            </w:tcMar>
          </w:tcPr>
          <w:p>
            <w:r>
              <w:rPr>
                <w:sz w:val="16"/>
              </w:rPr>
              <w:t>Rationale</w:t>
            </w:r>
          </w:p>
        </w:tc>
        <w:tc>
          <w:tcPr>
            <w:tcW w:type="dxa" w:w="5040"/>
            <w:vAlign w:val="top"/>
            <w:tcMar>
              <w:top w:w="80" w:type="dxa"/>
              <w:start w:w="100" w:type="dxa"/>
              <w:bottom w:w="80" w:type="dxa"/>
              <w:end w:w="100" w:type="dxa"/>
            </w:tcMar>
          </w:tcPr>
          <w:p>
            <w:r>
              <w:rPr>
                <w:sz w:val="16"/>
              </w:rPr>
              <w:t>Problem solved and alternatives considered.</w:t>
            </w:r>
          </w:p>
        </w:tc>
      </w:tr>
      <w:tr>
        <w:tc>
          <w:tcPr>
            <w:tcW w:type="dxa" w:w="5040"/>
            <w:vAlign w:val="top"/>
            <w:tcMar>
              <w:top w:w="80" w:type="dxa"/>
              <w:start w:w="100" w:type="dxa"/>
              <w:bottom w:w="80" w:type="dxa"/>
              <w:end w:w="100" w:type="dxa"/>
            </w:tcMar>
            <w:shd w:fill="F2F6F8"/>
          </w:tcPr>
          <w:p>
            <w:r>
              <w:rPr>
                <w:sz w:val="16"/>
              </w:rPr>
              <w:t>Impact</w:t>
            </w:r>
          </w:p>
        </w:tc>
        <w:tc>
          <w:tcPr>
            <w:tcW w:type="dxa" w:w="5040"/>
            <w:vAlign w:val="top"/>
            <w:tcMar>
              <w:top w:w="80" w:type="dxa"/>
              <w:start w:w="100" w:type="dxa"/>
              <w:bottom w:w="80" w:type="dxa"/>
              <w:end w:w="100" w:type="dxa"/>
            </w:tcMar>
            <w:shd w:fill="F2F6F8"/>
          </w:tcPr>
          <w:p>
            <w:r>
              <w:rPr>
                <w:sz w:val="16"/>
              </w:rPr>
              <w:t>Definitions, models, code, experiments, narrative, and prior results affected.</w:t>
            </w:r>
          </w:p>
        </w:tc>
      </w:tr>
      <w:tr>
        <w:tc>
          <w:tcPr>
            <w:tcW w:type="dxa" w:w="5040"/>
            <w:vAlign w:val="top"/>
            <w:tcMar>
              <w:top w:w="80" w:type="dxa"/>
              <w:start w:w="100" w:type="dxa"/>
              <w:bottom w:w="80" w:type="dxa"/>
              <w:end w:w="100" w:type="dxa"/>
            </w:tcMar>
          </w:tcPr>
          <w:p>
            <w:r>
              <w:rPr>
                <w:sz w:val="16"/>
              </w:rPr>
              <w:t>Review</w:t>
            </w:r>
          </w:p>
        </w:tc>
        <w:tc>
          <w:tcPr>
            <w:tcW w:type="dxa" w:w="5040"/>
            <w:vAlign w:val="top"/>
            <w:tcMar>
              <w:top w:w="80" w:type="dxa"/>
              <w:start w:w="100" w:type="dxa"/>
              <w:bottom w:w="80" w:type="dxa"/>
              <w:end w:w="100" w:type="dxa"/>
            </w:tcMar>
          </w:tcPr>
          <w:p>
            <w:r>
              <w:rPr>
                <w:sz w:val="16"/>
              </w:rPr>
              <w:t>Research, safety, systems, provenance, and Architect reviews as applicable.</w:t>
            </w:r>
          </w:p>
        </w:tc>
      </w:tr>
      <w:tr>
        <w:tc>
          <w:tcPr>
            <w:tcW w:type="dxa" w:w="5040"/>
            <w:vAlign w:val="top"/>
            <w:tcMar>
              <w:top w:w="80" w:type="dxa"/>
              <w:start w:w="100" w:type="dxa"/>
              <w:bottom w:w="80" w:type="dxa"/>
              <w:end w:w="100" w:type="dxa"/>
            </w:tcMar>
            <w:shd w:fill="F2F6F8"/>
          </w:tcPr>
          <w:p>
            <w:r>
              <w:rPr>
                <w:sz w:val="16"/>
              </w:rPr>
              <w:t>Disposition</w:t>
            </w:r>
          </w:p>
        </w:tc>
        <w:tc>
          <w:tcPr>
            <w:tcW w:type="dxa" w:w="5040"/>
            <w:vAlign w:val="top"/>
            <w:tcMar>
              <w:top w:w="80" w:type="dxa"/>
              <w:start w:w="100" w:type="dxa"/>
              <w:bottom w:w="80" w:type="dxa"/>
              <w:end w:w="100" w:type="dxa"/>
            </w:tcMar>
            <w:shd w:fill="F2F6F8"/>
          </w:tcPr>
          <w:p>
            <w:r>
              <w:rPr>
                <w:sz w:val="16"/>
              </w:rPr>
              <w:t>Accepted, rejected, deferred, experimental, or superseded.</w:t>
            </w:r>
          </w:p>
        </w:tc>
      </w:tr>
      <w:tr>
        <w:tc>
          <w:tcPr>
            <w:tcW w:type="dxa" w:w="5040"/>
            <w:vAlign w:val="top"/>
            <w:tcMar>
              <w:top w:w="80" w:type="dxa"/>
              <w:start w:w="100" w:type="dxa"/>
              <w:bottom w:w="80" w:type="dxa"/>
              <w:end w:w="100" w:type="dxa"/>
            </w:tcMar>
          </w:tcPr>
          <w:p>
            <w:r>
              <w:rPr>
                <w:sz w:val="16"/>
              </w:rPr>
              <w:t>Approval status</w:t>
            </w:r>
          </w:p>
        </w:tc>
        <w:tc>
          <w:tcPr>
            <w:tcW w:type="dxa" w:w="5040"/>
            <w:vAlign w:val="top"/>
            <w:tcMar>
              <w:top w:w="80" w:type="dxa"/>
              <w:start w:w="100" w:type="dxa"/>
              <w:bottom w:w="80" w:type="dxa"/>
              <w:end w:w="100" w:type="dxa"/>
            </w:tcMar>
          </w:tcPr>
          <w:p>
            <w:r>
              <w:rPr>
                <w:sz w:val="16"/>
              </w:rPr>
              <w:t>Draft or ONESTAMP scope/date.</w:t>
            </w:r>
          </w:p>
        </w:tc>
      </w:tr>
    </w:tbl>
    <w:p>
      <w:pPr>
        <w:pStyle w:val="Heading1"/>
      </w:pPr>
      <w:r>
        <w:t>Open Architect decisions</w:t>
      </w:r>
    </w:p>
    <w:p>
      <w:pPr>
        <w:pStyle w:val="ListNumber"/>
      </w:pPr>
      <w:r>
        <w:t>Decide whether the first canonical CFTRL scope is allocative simulation roots, broader operational roots, or a multi-root framework.</w:t>
      </w:r>
    </w:p>
    <w:p>
      <w:pPr>
        <w:pStyle w:val="ListNumber"/>
      </w:pPr>
      <w:r>
        <w:t>Decide whether “base reality” is a core framework term, a bounded research branch, or an appendix-level philosophical question.</w:t>
      </w:r>
    </w:p>
    <w:p>
      <w:pPr>
        <w:pStyle w:val="ListNumber"/>
      </w:pPr>
      <w:r>
        <w:t>Decide the exact necessary conditions for the word “conditional.”</w:t>
      </w:r>
    </w:p>
    <w:p>
      <w:pPr>
        <w:pStyle w:val="ListNumber"/>
      </w:pPr>
      <w:r>
        <w:t>Decide whether the wishbone concept remains a metaphor, becomes a testable sub-hypothesis, or moves to a separate document.</w:t>
      </w:r>
    </w:p>
    <w:p>
      <w:pPr>
        <w:pStyle w:val="ListNumber"/>
      </w:pPr>
      <w:r>
        <w:t>Decide the Department of Endings’ organizational form, authority, staffing, reporting line, and relationship to the Abundance Set and Antithesis Set.</w:t>
      </w:r>
    </w:p>
    <w:p>
      <w:pPr>
        <w:pStyle w:val="ListNumber"/>
      </w:pPr>
      <w:r>
        <w:t>Decide which original files are foundational source documents and which are supplemental collaboration records.</w:t>
      </w:r>
    </w:p>
    <w:p>
      <w:pPr>
        <w:pStyle w:val="ListNumber"/>
      </w:pPr>
      <w:r>
        <w:t>Decide whether the Nail Prototype remains cross-referenced as an applied case or is fully separated from the CFTRL framework package.</w:t>
      </w:r>
    </w:p>
    <w:p>
      <w:pPr>
        <w:pStyle w:val="ListNumber"/>
      </w:pPr>
      <w:r>
        <w:t>Approve or revise the proposed evidence ladder, rootness vector, failure taxonomy, and first-laboratory scope.</w:t>
      </w:r>
    </w:p>
    <w:p>
      <w:pPr>
        <w:pStyle w:val="Heading1"/>
      </w:pPr>
      <w:r>
        <w:t>Approval doctrine</w:t>
      </w:r>
    </w:p>
    <w:p>
      <w:r>
        <w:t>No output in this package is canon. Drafts may be used to ask better questions, plan experiments, and prepare review material. Canon requires an explicit Architect decision and ONESTAMP applied to a specific document version and scope. Later research does not silently amend an approved document; it produces a new version, change record, and review package.</w:t>
      </w:r>
    </w:p>
    <w:p>
      <w:pPr>
        <w:pStyle w:val="Heading1"/>
      </w:pPr>
      <w:r>
        <w:t>Preservation instructions</w:t>
      </w:r>
    </w:p>
    <w:p>
      <w:pPr>
        <w:pStyle w:val="ListBullet"/>
      </w:pPr>
      <w:r>
        <w:t>Keep original source files read-only and store at least two independent copies.</w:t>
      </w:r>
    </w:p>
    <w:p>
      <w:pPr>
        <w:pStyle w:val="ListBullet"/>
      </w:pPr>
      <w:r>
        <w:t>Preserve original filenames, byte lengths, hashes, and acquisition dates.</w:t>
      </w:r>
    </w:p>
    <w:p>
      <w:pPr>
        <w:pStyle w:val="ListBullet"/>
      </w:pPr>
      <w:r>
        <w:t>Do not replace originals with reconstructed appendices, exports, or normalized text.</w:t>
      </w:r>
    </w:p>
    <w:p>
      <w:pPr>
        <w:pStyle w:val="ListBullet"/>
      </w:pPr>
      <w:r>
        <w:t>When converting formats, label the conversion as a derivative and retain the source artifact.</w:t>
      </w:r>
    </w:p>
    <w:p>
      <w:pPr>
        <w:pStyle w:val="ListBullet"/>
      </w:pPr>
      <w:r>
        <w:t>Keep verbatim prompts separate from corrected or structured versions.</w:t>
      </w:r>
    </w:p>
    <w:p>
      <w:pPr>
        <w:pStyle w:val="ListBullet"/>
      </w:pPr>
      <w:r>
        <w:t>Archive AI outputs individually before creating a synthesis.</w:t>
      </w:r>
    </w:p>
    <w:p>
      <w:pPr>
        <w:pStyle w:val="ListBullet"/>
      </w:pPr>
      <w:r>
        <w:t>Include a release manifest whenever documents are shared with the team.</w:t>
      </w:r>
    </w:p>
    <w:p>
      <w:pPr>
        <w:pStyle w:val="ListBullet"/>
      </w:pPr>
      <w:r>
        <w:t>Recompute and compare hashes before declaring an archive complete.</w:t>
      </w:r>
    </w:p>
    <w:p>
      <w:pPr>
        <w:pStyle w:val="Heading1"/>
      </w:pPr>
      <w:r>
        <w:t>Conclusion</w:t>
      </w:r>
    </w:p>
    <w:p>
      <w:r>
        <w:t>CFTRL can develop safely and coherently only if source preservation and conceptual development proceed together. This record establishes the origin prompt, requirements, non-assumptions, file identity, claim labels, and change controls needed for that discipline. The next source-governance action is Architect confirmation of the inventory and first-scope decisions; the next research action is glossary approval; the next technical action is a bounded root-identification experiment.</w:t>
      </w:r>
    </w:p>
    <w:p>
      <w:pPr>
        <w:pStyle w:val="Heading1"/>
      </w:pPr>
      <w:r>
        <w:t>Research evidence register</w:t>
      </w:r>
    </w:p>
    <w:p>
      <w:r>
        <w:t>The following sources support the research layer. They are external evidence, not OAL canon. Inline markers [R#] identify the source supporting a claim. Source descriptions are intentionally limited to what the cited material establishes.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80" w:type="dxa"/>
              <w:start w:w="100" w:type="dxa"/>
              <w:bottom w:w="80" w:type="dxa"/>
              <w:end w:w="100" w:type="dxa"/>
            </w:tcMar>
          </w:tcPr>
          <w:p>
            <w:r>
              <w:rPr>
                <w:b/>
                <w:color w:val="FFFFFF"/>
                <w:sz w:val="14"/>
              </w:rPr>
              <w:t>ID</w:t>
            </w:r>
          </w:p>
        </w:tc>
        <w:tc>
          <w:tcPr>
            <w:tcW w:type="dxa" w:w="2520"/>
            <w:shd w:fill="17324D"/>
            <w:tcMar>
              <w:top w:w="80" w:type="dxa"/>
              <w:start w:w="100" w:type="dxa"/>
              <w:bottom w:w="80" w:type="dxa"/>
              <w:end w:w="100" w:type="dxa"/>
            </w:tcMar>
          </w:tcPr>
          <w:p>
            <w:r>
              <w:rPr>
                <w:b/>
                <w:color w:val="FFFFFF"/>
                <w:sz w:val="14"/>
              </w:rPr>
              <w:t>Source</w:t>
            </w:r>
          </w:p>
        </w:tc>
        <w:tc>
          <w:tcPr>
            <w:tcW w:type="dxa" w:w="2520"/>
            <w:shd w:fill="17324D"/>
            <w:tcMar>
              <w:top w:w="80" w:type="dxa"/>
              <w:start w:w="100" w:type="dxa"/>
              <w:bottom w:w="80" w:type="dxa"/>
              <w:end w:w="100" w:type="dxa"/>
            </w:tcMar>
          </w:tcPr>
          <w:p>
            <w:r>
              <w:rPr>
                <w:b/>
                <w:color w:val="FFFFFF"/>
                <w:sz w:val="14"/>
              </w:rPr>
              <w:t>Relevance</w:t>
            </w:r>
          </w:p>
        </w:tc>
        <w:tc>
          <w:tcPr>
            <w:tcW w:type="dxa" w:w="2520"/>
            <w:shd w:fill="17324D"/>
            <w:tcMar>
              <w:top w:w="80" w:type="dxa"/>
              <w:start w:w="100" w:type="dxa"/>
              <w:bottom w:w="80" w:type="dxa"/>
              <w:end w:w="100" w:type="dxa"/>
            </w:tcMar>
          </w:tcPr>
          <w:p>
            <w:r>
              <w:rPr>
                <w:b/>
                <w:color w:val="FFFFFF"/>
                <w:sz w:val="14"/>
              </w:rPr>
              <w:t>URL</w:t>
            </w:r>
          </w:p>
        </w:tc>
      </w:tr>
      <w:tr>
        <w:tc>
          <w:tcPr>
            <w:tcW w:type="dxa" w:w="2520"/>
            <w:vAlign w:val="top"/>
            <w:tcMar>
              <w:top w:w="80" w:type="dxa"/>
              <w:start w:w="100" w:type="dxa"/>
              <w:bottom w:w="80" w:type="dxa"/>
              <w:end w:w="100" w:type="dxa"/>
            </w:tcMar>
          </w:tcPr>
          <w:p>
            <w:r>
              <w:rPr>
                <w:sz w:val="14"/>
              </w:rPr>
              <w:t>R1</w:t>
            </w:r>
          </w:p>
        </w:tc>
        <w:tc>
          <w:tcPr>
            <w:tcW w:type="dxa" w:w="2520"/>
            <w:vAlign w:val="top"/>
            <w:tcMar>
              <w:top w:w="80" w:type="dxa"/>
              <w:start w:w="100" w:type="dxa"/>
              <w:bottom w:w="80" w:type="dxa"/>
              <w:end w:w="100" w:type="dxa"/>
            </w:tcMar>
          </w:tcPr>
          <w:p>
            <w:r>
              <w:rPr>
                <w:sz w:val="14"/>
              </w:rPr>
              <w:t>NIST CSRC, “Trusted Computing Base (TCB)”</w:t>
            </w:r>
          </w:p>
        </w:tc>
        <w:tc>
          <w:tcPr>
            <w:tcW w:type="dxa" w:w="2520"/>
            <w:vAlign w:val="top"/>
            <w:tcMar>
              <w:top w:w="80" w:type="dxa"/>
              <w:start w:w="100" w:type="dxa"/>
              <w:bottom w:w="80" w:type="dxa"/>
              <w:end w:w="100" w:type="dxa"/>
            </w:tcMar>
          </w:tcPr>
          <w:p>
            <w:r>
              <w:rPr>
                <w:sz w:val="14"/>
              </w:rPr>
              <w:t>Defines the TCB as the totality of hardware, firmware, and software protection mechanisms responsible for enforcing a security policy.</w:t>
            </w:r>
          </w:p>
        </w:tc>
        <w:tc>
          <w:tcPr>
            <w:tcW w:type="dxa" w:w="2520"/>
            <w:vAlign w:val="top"/>
            <w:tcMar>
              <w:top w:w="80" w:type="dxa"/>
              <w:start w:w="100" w:type="dxa"/>
              <w:bottom w:w="80" w:type="dxa"/>
              <w:end w:w="100" w:type="dxa"/>
            </w:tcMar>
          </w:tcPr>
          <w:p>
            <w:r>
              <w:rPr>
                <w:sz w:val="14"/>
              </w:rPr>
              <w:t>https://csrc.nist.gov/glossary/term/trusted_computing_base</w:t>
            </w:r>
          </w:p>
        </w:tc>
      </w:tr>
      <w:tr>
        <w:tc>
          <w:tcPr>
            <w:tcW w:type="dxa" w:w="2520"/>
            <w:vAlign w:val="top"/>
            <w:tcMar>
              <w:top w:w="80" w:type="dxa"/>
              <w:start w:w="100" w:type="dxa"/>
              <w:bottom w:w="80" w:type="dxa"/>
              <w:end w:w="100" w:type="dxa"/>
            </w:tcMar>
            <w:shd w:fill="F2F6F8"/>
          </w:tcPr>
          <w:p>
            <w:r>
              <w:rPr>
                <w:sz w:val="14"/>
              </w:rPr>
              <w:t>R2</w:t>
            </w:r>
          </w:p>
        </w:tc>
        <w:tc>
          <w:tcPr>
            <w:tcW w:type="dxa" w:w="2520"/>
            <w:vAlign w:val="top"/>
            <w:tcMar>
              <w:top w:w="80" w:type="dxa"/>
              <w:start w:w="100" w:type="dxa"/>
              <w:bottom w:w="80" w:type="dxa"/>
              <w:end w:w="100" w:type="dxa"/>
            </w:tcMar>
            <w:shd w:fill="F2F6F8"/>
          </w:tcPr>
          <w:p>
            <w:r>
              <w:rPr>
                <w:sz w:val="14"/>
              </w:rPr>
              <w:t>NIST, Hardware-Enabled Security / Platform Integrity</w:t>
            </w:r>
          </w:p>
        </w:tc>
        <w:tc>
          <w:tcPr>
            <w:tcW w:type="dxa" w:w="2520"/>
            <w:vAlign w:val="top"/>
            <w:tcMar>
              <w:top w:w="80" w:type="dxa"/>
              <w:start w:w="100" w:type="dxa"/>
              <w:bottom w:w="80" w:type="dxa"/>
              <w:end w:w="100" w:type="dxa"/>
            </w:tcMar>
            <w:shd w:fill="F2F6F8"/>
          </w:tcPr>
          <w:p>
            <w:r>
              <w:rPr>
                <w:sz w:val="14"/>
              </w:rPr>
              <w:t>Describes cryptographic measurement, chains of trust, roots of trust for update, detection, and recovery, and remote attestation.</w:t>
            </w:r>
          </w:p>
        </w:tc>
        <w:tc>
          <w:tcPr>
            <w:tcW w:type="dxa" w:w="2520"/>
            <w:vAlign w:val="top"/>
            <w:tcMar>
              <w:top w:w="80" w:type="dxa"/>
              <w:start w:w="100" w:type="dxa"/>
              <w:bottom w:w="80" w:type="dxa"/>
              <w:end w:w="100" w:type="dxa"/>
            </w:tcMar>
            <w:shd w:fill="F2F6F8"/>
          </w:tcPr>
          <w:p>
            <w:r>
              <w:rPr>
                <w:sz w:val="14"/>
              </w:rPr>
              <w:t>https://tsapps.nist.gov/publication/get_pdf.cfm?pub_id=934427</w:t>
            </w:r>
          </w:p>
        </w:tc>
      </w:tr>
      <w:tr>
        <w:tc>
          <w:tcPr>
            <w:tcW w:type="dxa" w:w="2520"/>
            <w:vAlign w:val="top"/>
            <w:tcMar>
              <w:top w:w="80" w:type="dxa"/>
              <w:start w:w="100" w:type="dxa"/>
              <w:bottom w:w="80" w:type="dxa"/>
              <w:end w:w="100" w:type="dxa"/>
            </w:tcMar>
          </w:tcPr>
          <w:p>
            <w:r>
              <w:rPr>
                <w:sz w:val="14"/>
              </w:rPr>
              <w:t>R3</w:t>
            </w:r>
          </w:p>
        </w:tc>
        <w:tc>
          <w:tcPr>
            <w:tcW w:type="dxa" w:w="2520"/>
            <w:vAlign w:val="top"/>
            <w:tcMar>
              <w:top w:w="80" w:type="dxa"/>
              <w:start w:w="100" w:type="dxa"/>
              <w:bottom w:w="80" w:type="dxa"/>
              <w:end w:w="100" w:type="dxa"/>
            </w:tcMar>
          </w:tcPr>
          <w:p>
            <w:r>
              <w:rPr>
                <w:sz w:val="14"/>
              </w:rPr>
              <w:t>NIST SP 800-160 Vol. 2 Rev. 1, Developing Cyber-Resilient Systems</w:t>
            </w:r>
          </w:p>
        </w:tc>
        <w:tc>
          <w:tcPr>
            <w:tcW w:type="dxa" w:w="2520"/>
            <w:vAlign w:val="top"/>
            <w:tcMar>
              <w:top w:w="80" w:type="dxa"/>
              <w:start w:w="100" w:type="dxa"/>
              <w:bottom w:w="80" w:type="dxa"/>
              <w:end w:w="100" w:type="dxa"/>
            </w:tcMar>
          </w:tcPr>
          <w:p>
            <w:r>
              <w:rPr>
                <w:sz w:val="14"/>
              </w:rPr>
              <w:t>Frames resilience as anticipating, withstanding, recovering from, and adapting to adverse conditions, stresses, attacks, and compromises across the system life cycle.</w:t>
            </w:r>
          </w:p>
        </w:tc>
        <w:tc>
          <w:tcPr>
            <w:tcW w:type="dxa" w:w="2520"/>
            <w:vAlign w:val="top"/>
            <w:tcMar>
              <w:top w:w="80" w:type="dxa"/>
              <w:start w:w="100" w:type="dxa"/>
              <w:bottom w:w="80" w:type="dxa"/>
              <w:end w:w="100" w:type="dxa"/>
            </w:tcMar>
          </w:tcPr>
          <w:p>
            <w:r>
              <w:rPr>
                <w:sz w:val="14"/>
              </w:rPr>
              <w:t>https://csrc.nist.gov/pubs/sp/800/160/v2/r1/final</w:t>
            </w:r>
          </w:p>
        </w:tc>
      </w:tr>
      <w:tr>
        <w:tc>
          <w:tcPr>
            <w:tcW w:type="dxa" w:w="2520"/>
            <w:vAlign w:val="top"/>
            <w:tcMar>
              <w:top w:w="80" w:type="dxa"/>
              <w:start w:w="100" w:type="dxa"/>
              <w:bottom w:w="80" w:type="dxa"/>
              <w:end w:w="100" w:type="dxa"/>
            </w:tcMar>
            <w:shd w:fill="F2F6F8"/>
          </w:tcPr>
          <w:p>
            <w:r>
              <w:rPr>
                <w:sz w:val="14"/>
              </w:rPr>
              <w:t>R4</w:t>
            </w:r>
          </w:p>
        </w:tc>
        <w:tc>
          <w:tcPr>
            <w:tcW w:type="dxa" w:w="2520"/>
            <w:vAlign w:val="top"/>
            <w:tcMar>
              <w:top w:w="80" w:type="dxa"/>
              <w:start w:w="100" w:type="dxa"/>
              <w:bottom w:w="80" w:type="dxa"/>
              <w:end w:w="100" w:type="dxa"/>
            </w:tcMar>
            <w:shd w:fill="F2F6F8"/>
          </w:tcPr>
          <w:p>
            <w:r>
              <w:rPr>
                <w:sz w:val="14"/>
              </w:rPr>
              <w:t>Google SRE, “Addressing Cascading Failures”</w:t>
            </w:r>
          </w:p>
        </w:tc>
        <w:tc>
          <w:tcPr>
            <w:tcW w:type="dxa" w:w="2520"/>
            <w:vAlign w:val="top"/>
            <w:tcMar>
              <w:top w:w="80" w:type="dxa"/>
              <w:start w:w="100" w:type="dxa"/>
              <w:bottom w:w="80" w:type="dxa"/>
              <w:end w:w="100" w:type="dxa"/>
            </w:tcMar>
            <w:shd w:fill="F2F6F8"/>
          </w:tcPr>
          <w:p>
            <w:r>
              <w:rPr>
                <w:sz w:val="14"/>
              </w:rPr>
              <w:t>Shows how overload, feedback, and secondary symptoms can spread failures and make apparent causes misleading.</w:t>
            </w:r>
          </w:p>
        </w:tc>
        <w:tc>
          <w:tcPr>
            <w:tcW w:type="dxa" w:w="2520"/>
            <w:vAlign w:val="top"/>
            <w:tcMar>
              <w:top w:w="80" w:type="dxa"/>
              <w:start w:w="100" w:type="dxa"/>
              <w:bottom w:w="80" w:type="dxa"/>
              <w:end w:w="100" w:type="dxa"/>
            </w:tcMar>
            <w:shd w:fill="F2F6F8"/>
          </w:tcPr>
          <w:p>
            <w:r>
              <w:rPr>
                <w:sz w:val="14"/>
              </w:rPr>
              <w:t>https://sre.google/sre-book/addressing-cascading-failures/</w:t>
            </w:r>
          </w:p>
        </w:tc>
      </w:tr>
      <w:tr>
        <w:tc>
          <w:tcPr>
            <w:tcW w:type="dxa" w:w="2520"/>
            <w:vAlign w:val="top"/>
            <w:tcMar>
              <w:top w:w="80" w:type="dxa"/>
              <w:start w:w="100" w:type="dxa"/>
              <w:bottom w:w="80" w:type="dxa"/>
              <w:end w:w="100" w:type="dxa"/>
            </w:tcMar>
          </w:tcPr>
          <w:p>
            <w:r>
              <w:rPr>
                <w:sz w:val="14"/>
              </w:rPr>
              <w:t>R5</w:t>
            </w:r>
          </w:p>
        </w:tc>
        <w:tc>
          <w:tcPr>
            <w:tcW w:type="dxa" w:w="2520"/>
            <w:vAlign w:val="top"/>
            <w:tcMar>
              <w:top w:w="80" w:type="dxa"/>
              <w:start w:w="100" w:type="dxa"/>
              <w:bottom w:w="80" w:type="dxa"/>
              <w:end w:w="100" w:type="dxa"/>
            </w:tcMar>
          </w:tcPr>
          <w:p>
            <w:r>
              <w:rPr>
                <w:sz w:val="14"/>
              </w:rPr>
              <w:t>Buldyrev et al., Nature 464 (2010), “Catastrophic cascade of failures in interdependent networks”</w:t>
            </w:r>
          </w:p>
        </w:tc>
        <w:tc>
          <w:tcPr>
            <w:tcW w:type="dxa" w:w="2520"/>
            <w:vAlign w:val="top"/>
            <w:tcMar>
              <w:top w:w="80" w:type="dxa"/>
              <w:start w:w="100" w:type="dxa"/>
              <w:bottom w:w="80" w:type="dxa"/>
              <w:end w:w="100" w:type="dxa"/>
            </w:tcMar>
          </w:tcPr>
          <w:p>
            <w:r>
              <w:rPr>
                <w:sz w:val="14"/>
              </w:rPr>
              <w:t>Demonstrates that dependency coupling can propagate small failures recursively across networks and produce fragmentation.</w:t>
            </w:r>
          </w:p>
        </w:tc>
        <w:tc>
          <w:tcPr>
            <w:tcW w:type="dxa" w:w="2520"/>
            <w:vAlign w:val="top"/>
            <w:tcMar>
              <w:top w:w="80" w:type="dxa"/>
              <w:start w:w="100" w:type="dxa"/>
              <w:bottom w:w="80" w:type="dxa"/>
              <w:end w:w="100" w:type="dxa"/>
            </w:tcMar>
          </w:tcPr>
          <w:p>
            <w:r>
              <w:rPr>
                <w:sz w:val="14"/>
              </w:rPr>
              <w:t>https://www.nature.com/articles/nature08932</w:t>
            </w:r>
          </w:p>
        </w:tc>
      </w:tr>
      <w:tr>
        <w:tc>
          <w:tcPr>
            <w:tcW w:type="dxa" w:w="2520"/>
            <w:vAlign w:val="top"/>
            <w:tcMar>
              <w:top w:w="80" w:type="dxa"/>
              <w:start w:w="100" w:type="dxa"/>
              <w:bottom w:w="80" w:type="dxa"/>
              <w:end w:w="100" w:type="dxa"/>
            </w:tcMar>
            <w:shd w:fill="F2F6F8"/>
          </w:tcPr>
          <w:p>
            <w:r>
              <w:rPr>
                <w:sz w:val="14"/>
              </w:rPr>
              <w:t>R6</w:t>
            </w:r>
          </w:p>
        </w:tc>
        <w:tc>
          <w:tcPr>
            <w:tcW w:type="dxa" w:w="2520"/>
            <w:vAlign w:val="top"/>
            <w:tcMar>
              <w:top w:w="80" w:type="dxa"/>
              <w:start w:w="100" w:type="dxa"/>
              <w:bottom w:w="80" w:type="dxa"/>
              <w:end w:w="100" w:type="dxa"/>
            </w:tcMar>
            <w:shd w:fill="F2F6F8"/>
          </w:tcPr>
          <w:p>
            <w:r>
              <w:rPr>
                <w:sz w:val="14"/>
              </w:rPr>
              <w:t>E. W. Dijkstra, “Self-stabilizing Systems in Spite of Distributed Control” (1974)</w:t>
            </w:r>
          </w:p>
        </w:tc>
        <w:tc>
          <w:tcPr>
            <w:tcW w:type="dxa" w:w="2520"/>
            <w:vAlign w:val="top"/>
            <w:tcMar>
              <w:top w:w="80" w:type="dxa"/>
              <w:start w:w="100" w:type="dxa"/>
              <w:bottom w:w="80" w:type="dxa"/>
              <w:end w:w="100" w:type="dxa"/>
            </w:tcMar>
            <w:shd w:fill="F2F6F8"/>
          </w:tcPr>
          <w:p>
            <w:r>
              <w:rPr>
                <w:sz w:val="14"/>
              </w:rPr>
              <w:t>Defines self-stabilization as eventual return to a legitimate state regardless of initial state, under the stated model.</w:t>
            </w:r>
          </w:p>
        </w:tc>
        <w:tc>
          <w:tcPr>
            <w:tcW w:type="dxa" w:w="2520"/>
            <w:vAlign w:val="top"/>
            <w:tcMar>
              <w:top w:w="80" w:type="dxa"/>
              <w:start w:w="100" w:type="dxa"/>
              <w:bottom w:w="80" w:type="dxa"/>
              <w:end w:w="100" w:type="dxa"/>
            </w:tcMar>
            <w:shd w:fill="F2F6F8"/>
          </w:tcPr>
          <w:p>
            <w:r>
              <w:rPr>
                <w:sz w:val="14"/>
              </w:rPr>
              <w:t>https://courses.csail.mit.edu/6.852/05/papers/p643-Dijkstra.pdf</w:t>
            </w:r>
          </w:p>
        </w:tc>
      </w:tr>
      <w:tr>
        <w:tc>
          <w:tcPr>
            <w:tcW w:type="dxa" w:w="2520"/>
            <w:vAlign w:val="top"/>
            <w:tcMar>
              <w:top w:w="80" w:type="dxa"/>
              <w:start w:w="100" w:type="dxa"/>
              <w:bottom w:w="80" w:type="dxa"/>
              <w:end w:w="100" w:type="dxa"/>
            </w:tcMar>
          </w:tcPr>
          <w:p>
            <w:r>
              <w:rPr>
                <w:sz w:val="14"/>
              </w:rPr>
              <w:t>R7</w:t>
            </w:r>
          </w:p>
        </w:tc>
        <w:tc>
          <w:tcPr>
            <w:tcW w:type="dxa" w:w="2520"/>
            <w:vAlign w:val="top"/>
            <w:tcMar>
              <w:top w:w="80" w:type="dxa"/>
              <w:start w:w="100" w:type="dxa"/>
              <w:bottom w:w="80" w:type="dxa"/>
              <w:end w:w="100" w:type="dxa"/>
            </w:tcMar>
          </w:tcPr>
          <w:p>
            <w:r>
              <w:rPr>
                <w:sz w:val="14"/>
              </w:rPr>
              <w:t>Lamport, Shostak, and Pease, “The Byzantine Generals Problem” (1982)</w:t>
            </w:r>
          </w:p>
        </w:tc>
        <w:tc>
          <w:tcPr>
            <w:tcW w:type="dxa" w:w="2520"/>
            <w:vAlign w:val="top"/>
            <w:tcMar>
              <w:top w:w="80" w:type="dxa"/>
              <w:start w:w="100" w:type="dxa"/>
              <w:bottom w:w="80" w:type="dxa"/>
              <w:end w:w="100" w:type="dxa"/>
            </w:tcMar>
          </w:tcPr>
          <w:p>
            <w:r>
              <w:rPr>
                <w:sz w:val="14"/>
              </w:rPr>
              <w:t>Formalizes agreement when components may send conflicting information and establishes fault-tolerance limits under specified communication assumptions.</w:t>
            </w:r>
          </w:p>
        </w:tc>
        <w:tc>
          <w:tcPr>
            <w:tcW w:type="dxa" w:w="2520"/>
            <w:vAlign w:val="top"/>
            <w:tcMar>
              <w:top w:w="80" w:type="dxa"/>
              <w:start w:w="100" w:type="dxa"/>
              <w:bottom w:w="80" w:type="dxa"/>
              <w:end w:w="100" w:type="dxa"/>
            </w:tcMar>
          </w:tcPr>
          <w:p>
            <w:r>
              <w:rPr>
                <w:sz w:val="14"/>
              </w:rPr>
              <w:t>https://dl.acm.org/doi/pdf/10.1145/357172.357176</w:t>
            </w:r>
          </w:p>
        </w:tc>
      </w:tr>
      <w:tr>
        <w:tc>
          <w:tcPr>
            <w:tcW w:type="dxa" w:w="2520"/>
            <w:vAlign w:val="top"/>
            <w:tcMar>
              <w:top w:w="80" w:type="dxa"/>
              <w:start w:w="100" w:type="dxa"/>
              <w:bottom w:w="80" w:type="dxa"/>
              <w:end w:w="100" w:type="dxa"/>
            </w:tcMar>
            <w:shd w:fill="F2F6F8"/>
          </w:tcPr>
          <w:p>
            <w:r>
              <w:rPr>
                <w:sz w:val="14"/>
              </w:rPr>
              <w:t>R8</w:t>
            </w:r>
          </w:p>
        </w:tc>
        <w:tc>
          <w:tcPr>
            <w:tcW w:type="dxa" w:w="2520"/>
            <w:vAlign w:val="top"/>
            <w:tcMar>
              <w:top w:w="80" w:type="dxa"/>
              <w:start w:w="100" w:type="dxa"/>
              <w:bottom w:w="80" w:type="dxa"/>
              <w:end w:w="100" w:type="dxa"/>
            </w:tcMar>
            <w:shd w:fill="F2F6F8"/>
          </w:tcPr>
          <w:p>
            <w:r>
              <w:rPr>
                <w:sz w:val="14"/>
              </w:rPr>
              <w:t>Fischer, Lynch, and Paterson, “Impossibility of Distributed Consensus with One Faulty Process” (1985)</w:t>
            </w:r>
          </w:p>
        </w:tc>
        <w:tc>
          <w:tcPr>
            <w:tcW w:type="dxa" w:w="2520"/>
            <w:vAlign w:val="top"/>
            <w:tcMar>
              <w:top w:w="80" w:type="dxa"/>
              <w:start w:w="100" w:type="dxa"/>
              <w:bottom w:w="80" w:type="dxa"/>
              <w:end w:w="100" w:type="dxa"/>
            </w:tcMar>
            <w:shd w:fill="F2F6F8"/>
          </w:tcPr>
          <w:p>
            <w:r>
              <w:rPr>
                <w:sz w:val="14"/>
              </w:rPr>
              <w:t>Shows that deterministic consensus cannot be guaranteed in a fully asynchronous system even with one crash fault under the paper’s assumptions.</w:t>
            </w:r>
          </w:p>
        </w:tc>
        <w:tc>
          <w:tcPr>
            <w:tcW w:type="dxa" w:w="2520"/>
            <w:vAlign w:val="top"/>
            <w:tcMar>
              <w:top w:w="80" w:type="dxa"/>
              <w:start w:w="100" w:type="dxa"/>
              <w:bottom w:w="80" w:type="dxa"/>
              <w:end w:w="100" w:type="dxa"/>
            </w:tcMar>
            <w:shd w:fill="F2F6F8"/>
          </w:tcPr>
          <w:p>
            <w:r>
              <w:rPr>
                <w:sz w:val="14"/>
              </w:rPr>
              <w:t>https://www.cs.princeton.edu/courses/archive/fall07/cos518/papers/flp.pdf</w:t>
            </w:r>
          </w:p>
        </w:tc>
      </w:tr>
      <w:tr>
        <w:tc>
          <w:tcPr>
            <w:tcW w:type="dxa" w:w="2520"/>
            <w:vAlign w:val="top"/>
            <w:tcMar>
              <w:top w:w="80" w:type="dxa"/>
              <w:start w:w="100" w:type="dxa"/>
              <w:bottom w:w="80" w:type="dxa"/>
              <w:end w:w="100" w:type="dxa"/>
            </w:tcMar>
          </w:tcPr>
          <w:p>
            <w:r>
              <w:rPr>
                <w:sz w:val="14"/>
              </w:rPr>
              <w:t>R9</w:t>
            </w:r>
          </w:p>
        </w:tc>
        <w:tc>
          <w:tcPr>
            <w:tcW w:type="dxa" w:w="2520"/>
            <w:vAlign w:val="top"/>
            <w:tcMar>
              <w:top w:w="80" w:type="dxa"/>
              <w:start w:w="100" w:type="dxa"/>
              <w:bottom w:w="80" w:type="dxa"/>
              <w:end w:w="100" w:type="dxa"/>
            </w:tcMar>
          </w:tcPr>
          <w:p>
            <w:r>
              <w:rPr>
                <w:sz w:val="14"/>
              </w:rPr>
              <w:t>Stanford Encyclopedia of Philosophy, “Causal Models”</w:t>
            </w:r>
          </w:p>
        </w:tc>
        <w:tc>
          <w:tcPr>
            <w:tcW w:type="dxa" w:w="2520"/>
            <w:vAlign w:val="top"/>
            <w:tcMar>
              <w:top w:w="80" w:type="dxa"/>
              <w:start w:w="100" w:type="dxa"/>
              <w:bottom w:w="80" w:type="dxa"/>
              <w:end w:w="100" w:type="dxa"/>
            </w:tcMar>
          </w:tcPr>
          <w:p>
            <w:r>
              <w:rPr>
                <w:sz w:val="14"/>
              </w:rPr>
              <w:t>Explains that causal models support predictions about interventions and counterfactuals, not only observed correlations.</w:t>
            </w:r>
          </w:p>
        </w:tc>
        <w:tc>
          <w:tcPr>
            <w:tcW w:type="dxa" w:w="2520"/>
            <w:vAlign w:val="top"/>
            <w:tcMar>
              <w:top w:w="80" w:type="dxa"/>
              <w:start w:w="100" w:type="dxa"/>
              <w:bottom w:w="80" w:type="dxa"/>
              <w:end w:w="100" w:type="dxa"/>
            </w:tcMar>
          </w:tcPr>
          <w:p>
            <w:r>
              <w:rPr>
                <w:sz w:val="14"/>
              </w:rPr>
              <w:t>https://plato.stanford.edu/entries/causal-models/</w:t>
            </w:r>
          </w:p>
        </w:tc>
      </w:tr>
      <w:tr>
        <w:tc>
          <w:tcPr>
            <w:tcW w:type="dxa" w:w="2520"/>
            <w:vAlign w:val="top"/>
            <w:tcMar>
              <w:top w:w="80" w:type="dxa"/>
              <w:start w:w="100" w:type="dxa"/>
              <w:bottom w:w="80" w:type="dxa"/>
              <w:end w:w="100" w:type="dxa"/>
            </w:tcMar>
            <w:shd w:fill="F2F6F8"/>
          </w:tcPr>
          <w:p>
            <w:r>
              <w:rPr>
                <w:sz w:val="14"/>
              </w:rPr>
              <w:t>R10</w:t>
            </w:r>
          </w:p>
        </w:tc>
        <w:tc>
          <w:tcPr>
            <w:tcW w:type="dxa" w:w="2520"/>
            <w:vAlign w:val="top"/>
            <w:tcMar>
              <w:top w:w="80" w:type="dxa"/>
              <w:start w:w="100" w:type="dxa"/>
              <w:bottom w:w="80" w:type="dxa"/>
              <w:end w:w="100" w:type="dxa"/>
            </w:tcMar>
            <w:shd w:fill="F2F6F8"/>
          </w:tcPr>
          <w:p>
            <w:r>
              <w:rPr>
                <w:sz w:val="14"/>
              </w:rPr>
              <w:t>NASA Systems Engineering Handbook / Expanded Guidance</w:t>
            </w:r>
          </w:p>
        </w:tc>
        <w:tc>
          <w:tcPr>
            <w:tcW w:type="dxa" w:w="2520"/>
            <w:vAlign w:val="top"/>
            <w:tcMar>
              <w:top w:w="80" w:type="dxa"/>
              <w:start w:w="100" w:type="dxa"/>
              <w:bottom w:w="80" w:type="dxa"/>
              <w:end w:w="100" w:type="dxa"/>
            </w:tcMar>
            <w:shd w:fill="F2F6F8"/>
          </w:tcPr>
          <w:p>
            <w:r>
              <w:rPr>
                <w:sz w:val="14"/>
              </w:rPr>
              <w:t>Separates verification (“built right”) from validation (“right product”) and requires planning, execution, analysis, reporting, and work-product capture.</w:t>
            </w:r>
          </w:p>
        </w:tc>
        <w:tc>
          <w:tcPr>
            <w:tcW w:type="dxa" w:w="2520"/>
            <w:vAlign w:val="top"/>
            <w:tcMar>
              <w:top w:w="80" w:type="dxa"/>
              <w:start w:w="100" w:type="dxa"/>
              <w:bottom w:w="80" w:type="dxa"/>
              <w:end w:w="100" w:type="dxa"/>
            </w:tcMar>
            <w:shd w:fill="F2F6F8"/>
          </w:tcPr>
          <w:p>
            <w:r>
              <w:rPr>
                <w:sz w:val="14"/>
              </w:rPr>
              <w:t>https://www.nasa.gov/reference/systems-engineering-handbook/</w:t>
            </w:r>
          </w:p>
        </w:tc>
      </w:tr>
      <w:tr>
        <w:tc>
          <w:tcPr>
            <w:tcW w:type="dxa" w:w="2520"/>
            <w:vAlign w:val="top"/>
            <w:tcMar>
              <w:top w:w="80" w:type="dxa"/>
              <w:start w:w="100" w:type="dxa"/>
              <w:bottom w:w="80" w:type="dxa"/>
              <w:end w:w="100" w:type="dxa"/>
            </w:tcMar>
          </w:tcPr>
          <w:p>
            <w:r>
              <w:rPr>
                <w:sz w:val="14"/>
              </w:rPr>
              <w:t>R11</w:t>
            </w:r>
          </w:p>
        </w:tc>
        <w:tc>
          <w:tcPr>
            <w:tcW w:type="dxa" w:w="2520"/>
            <w:vAlign w:val="top"/>
            <w:tcMar>
              <w:top w:w="80" w:type="dxa"/>
              <w:start w:w="100" w:type="dxa"/>
              <w:bottom w:w="80" w:type="dxa"/>
              <w:end w:w="100" w:type="dxa"/>
            </w:tcMar>
          </w:tcPr>
          <w:p>
            <w:r>
              <w:rPr>
                <w:sz w:val="14"/>
              </w:rPr>
              <w:t>NASA Software Engineering Handbook, “Software Fault Tree Analysis”</w:t>
            </w:r>
          </w:p>
        </w:tc>
        <w:tc>
          <w:tcPr>
            <w:tcW w:type="dxa" w:w="2520"/>
            <w:vAlign w:val="top"/>
            <w:tcMar>
              <w:top w:w="80" w:type="dxa"/>
              <w:start w:w="100" w:type="dxa"/>
              <w:bottom w:w="80" w:type="dxa"/>
              <w:end w:w="100" w:type="dxa"/>
            </w:tcMar>
          </w:tcPr>
          <w:p>
            <w:r>
              <w:rPr>
                <w:sz w:val="14"/>
              </w:rPr>
              <w:t>Describes deductive analysis from an undesired top event to credible combinations of contributing faults or system states.</w:t>
            </w:r>
          </w:p>
        </w:tc>
        <w:tc>
          <w:tcPr>
            <w:tcW w:type="dxa" w:w="2520"/>
            <w:vAlign w:val="top"/>
            <w:tcMar>
              <w:top w:w="80" w:type="dxa"/>
              <w:start w:w="100" w:type="dxa"/>
              <w:bottom w:w="80" w:type="dxa"/>
              <w:end w:w="100" w:type="dxa"/>
            </w:tcMar>
          </w:tcPr>
          <w:p>
            <w:r>
              <w:rPr>
                <w:sz w:val="14"/>
              </w:rPr>
              <w:t>https://swehb.nasa.gov/spaces/SWEHBVC/pages/72025030/8.07+-+Software+Fault+Tree+Analysis</w:t>
            </w:r>
          </w:p>
        </w:tc>
      </w:tr>
      <w:tr>
        <w:tc>
          <w:tcPr>
            <w:tcW w:type="dxa" w:w="2520"/>
            <w:vAlign w:val="top"/>
            <w:tcMar>
              <w:top w:w="80" w:type="dxa"/>
              <w:start w:w="100" w:type="dxa"/>
              <w:bottom w:w="80" w:type="dxa"/>
              <w:end w:w="100" w:type="dxa"/>
            </w:tcMar>
            <w:shd w:fill="F2F6F8"/>
          </w:tcPr>
          <w:p>
            <w:r>
              <w:rPr>
                <w:sz w:val="14"/>
              </w:rPr>
              <w:t>R12</w:t>
            </w:r>
          </w:p>
        </w:tc>
        <w:tc>
          <w:tcPr>
            <w:tcW w:type="dxa" w:w="2520"/>
            <w:vAlign w:val="top"/>
            <w:tcMar>
              <w:top w:w="80" w:type="dxa"/>
              <w:start w:w="100" w:type="dxa"/>
              <w:bottom w:w="80" w:type="dxa"/>
              <w:end w:w="100" w:type="dxa"/>
            </w:tcMar>
            <w:shd w:fill="F2F6F8"/>
          </w:tcPr>
          <w:p>
            <w:r>
              <w:rPr>
                <w:sz w:val="14"/>
              </w:rPr>
              <w:t>CISA, Shields Ready</w:t>
            </w:r>
          </w:p>
        </w:tc>
        <w:tc>
          <w:tcPr>
            <w:tcW w:type="dxa" w:w="2520"/>
            <w:vAlign w:val="top"/>
            <w:tcMar>
              <w:top w:w="80" w:type="dxa"/>
              <w:start w:w="100" w:type="dxa"/>
              <w:bottom w:w="80" w:type="dxa"/>
              <w:end w:w="100" w:type="dxa"/>
            </w:tcMar>
            <w:shd w:fill="F2F6F8"/>
          </w:tcPr>
          <w:p>
            <w:r>
              <w:rPr>
                <w:sz w:val="14"/>
              </w:rPr>
              <w:t>Recommends identifying critical assets, mapping dependencies, assessing risks, exercising plans, and adapting from lessons learned.</w:t>
            </w:r>
          </w:p>
        </w:tc>
        <w:tc>
          <w:tcPr>
            <w:tcW w:type="dxa" w:w="2520"/>
            <w:vAlign w:val="top"/>
            <w:tcMar>
              <w:top w:w="80" w:type="dxa"/>
              <w:start w:w="100" w:type="dxa"/>
              <w:bottom w:w="80" w:type="dxa"/>
              <w:end w:w="100" w:type="dxa"/>
            </w:tcMar>
            <w:shd w:fill="F2F6F8"/>
          </w:tcPr>
          <w:p>
            <w:r>
              <w:rPr>
                <w:sz w:val="14"/>
              </w:rPr>
              <w:t>https://www.cisa.gov/shields-ready</w:t>
            </w:r>
          </w:p>
        </w:tc>
      </w:tr>
      <w:tr>
        <w:tc>
          <w:tcPr>
            <w:tcW w:type="dxa" w:w="2520"/>
            <w:vAlign w:val="top"/>
            <w:tcMar>
              <w:top w:w="80" w:type="dxa"/>
              <w:start w:w="100" w:type="dxa"/>
              <w:bottom w:w="80" w:type="dxa"/>
              <w:end w:w="100" w:type="dxa"/>
            </w:tcMar>
          </w:tcPr>
          <w:p>
            <w:r>
              <w:rPr>
                <w:sz w:val="14"/>
              </w:rPr>
              <w:t>R13</w:t>
            </w:r>
          </w:p>
        </w:tc>
        <w:tc>
          <w:tcPr>
            <w:tcW w:type="dxa" w:w="2520"/>
            <w:vAlign w:val="top"/>
            <w:tcMar>
              <w:top w:w="80" w:type="dxa"/>
              <w:start w:w="100" w:type="dxa"/>
              <w:bottom w:w="80" w:type="dxa"/>
              <w:end w:w="100" w:type="dxa"/>
            </w:tcMar>
          </w:tcPr>
          <w:p>
            <w:r>
              <w:rPr>
                <w:sz w:val="14"/>
              </w:rPr>
              <w:t>AWS Prescriptive Guidance, Chaos Engineering</w:t>
            </w:r>
          </w:p>
        </w:tc>
        <w:tc>
          <w:tcPr>
            <w:tcW w:type="dxa" w:w="2520"/>
            <w:vAlign w:val="top"/>
            <w:tcMar>
              <w:top w:w="80" w:type="dxa"/>
              <w:start w:w="100" w:type="dxa"/>
              <w:bottom w:w="80" w:type="dxa"/>
              <w:end w:w="100" w:type="dxa"/>
            </w:tcMar>
          </w:tcPr>
          <w:p>
            <w:r>
              <w:rPr>
                <w:sz w:val="14"/>
              </w:rPr>
              <w:t>Distinguishes deterministic resilience testing from hypothesis-based chaos experiments; emphasizes baselines, stop conditions, limited blast radius, monitoring, and learning.</w:t>
            </w:r>
          </w:p>
        </w:tc>
        <w:tc>
          <w:tcPr>
            <w:tcW w:type="dxa" w:w="2520"/>
            <w:vAlign w:val="top"/>
            <w:tcMar>
              <w:top w:w="80" w:type="dxa"/>
              <w:start w:w="100" w:type="dxa"/>
              <w:bottom w:w="80" w:type="dxa"/>
              <w:end w:w="100" w:type="dxa"/>
            </w:tcMar>
          </w:tcPr>
          <w:p>
            <w:r>
              <w:rPr>
                <w:sz w:val="14"/>
              </w:rPr>
              <w:t>https://docs.aws.amazon.com/prescriptive-guidance/latest/chaos-engineering-on-aws/overview.html</w:t>
            </w:r>
          </w:p>
        </w:tc>
      </w:tr>
      <w:tr>
        <w:tc>
          <w:tcPr>
            <w:tcW w:type="dxa" w:w="2520"/>
            <w:vAlign w:val="top"/>
            <w:tcMar>
              <w:top w:w="80" w:type="dxa"/>
              <w:start w:w="100" w:type="dxa"/>
              <w:bottom w:w="80" w:type="dxa"/>
              <w:end w:w="100" w:type="dxa"/>
            </w:tcMar>
            <w:shd w:fill="F2F6F8"/>
          </w:tcPr>
          <w:p>
            <w:r>
              <w:rPr>
                <w:sz w:val="14"/>
              </w:rPr>
              <w:t>R14</w:t>
            </w:r>
          </w:p>
        </w:tc>
        <w:tc>
          <w:tcPr>
            <w:tcW w:type="dxa" w:w="2520"/>
            <w:vAlign w:val="top"/>
            <w:tcMar>
              <w:top w:w="80" w:type="dxa"/>
              <w:start w:w="100" w:type="dxa"/>
              <w:bottom w:w="80" w:type="dxa"/>
              <w:end w:w="100" w:type="dxa"/>
            </w:tcMar>
            <w:shd w:fill="F2F6F8"/>
          </w:tcPr>
          <w:p>
            <w:r>
              <w:rPr>
                <w:sz w:val="14"/>
              </w:rPr>
              <w:t>Nick Bostrom, “Are We Living in a Computer Simulation?” (2003)</w:t>
            </w:r>
          </w:p>
        </w:tc>
        <w:tc>
          <w:tcPr>
            <w:tcW w:type="dxa" w:w="2520"/>
            <w:vAlign w:val="top"/>
            <w:tcMar>
              <w:top w:w="80" w:type="dxa"/>
              <w:start w:w="100" w:type="dxa"/>
              <w:bottom w:w="80" w:type="dxa"/>
              <w:end w:w="100" w:type="dxa"/>
            </w:tcMar>
            <w:shd w:fill="F2F6F8"/>
          </w:tcPr>
          <w:p>
            <w:r>
              <w:rPr>
                <w:sz w:val="14"/>
              </w:rPr>
              <w:t>Presents a probabilistic trilemma; it does not itself provide a direct internal test for identifying base reality.</w:t>
            </w:r>
          </w:p>
        </w:tc>
        <w:tc>
          <w:tcPr>
            <w:tcW w:type="dxa" w:w="2520"/>
            <w:vAlign w:val="top"/>
            <w:tcMar>
              <w:top w:w="80" w:type="dxa"/>
              <w:start w:w="100" w:type="dxa"/>
              <w:bottom w:w="80" w:type="dxa"/>
              <w:end w:w="100" w:type="dxa"/>
            </w:tcMar>
            <w:shd w:fill="F2F6F8"/>
          </w:tcPr>
          <w:p>
            <w:r>
              <w:rPr>
                <w:sz w:val="14"/>
              </w:rPr>
              <w:t>https://academic.oup.com/pq/article-abstract/53/211/243/1610975</w:t>
            </w:r>
          </w:p>
        </w:tc>
      </w:tr>
      <w:tr>
        <w:tc>
          <w:tcPr>
            <w:tcW w:type="dxa" w:w="2520"/>
            <w:vAlign w:val="top"/>
            <w:tcMar>
              <w:top w:w="80" w:type="dxa"/>
              <w:start w:w="100" w:type="dxa"/>
              <w:bottom w:w="80" w:type="dxa"/>
              <w:end w:w="100" w:type="dxa"/>
            </w:tcMar>
          </w:tcPr>
          <w:p>
            <w:r>
              <w:rPr>
                <w:sz w:val="14"/>
              </w:rPr>
              <w:t>R15</w:t>
            </w:r>
          </w:p>
        </w:tc>
        <w:tc>
          <w:tcPr>
            <w:tcW w:type="dxa" w:w="2520"/>
            <w:vAlign w:val="top"/>
            <w:tcMar>
              <w:top w:w="80" w:type="dxa"/>
              <w:start w:w="100" w:type="dxa"/>
              <w:bottom w:w="80" w:type="dxa"/>
              <w:end w:w="100" w:type="dxa"/>
            </w:tcMar>
          </w:tcPr>
          <w:p>
            <w:r>
              <w:rPr>
                <w:sz w:val="14"/>
              </w:rPr>
              <w:t>David Chalmers, discussion of perfect and imperfect simulations (2022)</w:t>
            </w:r>
          </w:p>
        </w:tc>
        <w:tc>
          <w:tcPr>
            <w:tcW w:type="dxa" w:w="2520"/>
            <w:vAlign w:val="top"/>
            <w:tcMar>
              <w:top w:w="80" w:type="dxa"/>
              <w:start w:w="100" w:type="dxa"/>
              <w:bottom w:w="80" w:type="dxa"/>
              <w:end w:w="100" w:type="dxa"/>
            </w:tcMar>
          </w:tcPr>
          <w:p>
            <w:r>
              <w:rPr>
                <w:sz w:val="14"/>
              </w:rPr>
              <w:t>Argues that an imperfect simulation might provide detectable evidence, while a perfect simulation may be observationally indistinguishable from non-simulated reality.</w:t>
            </w:r>
          </w:p>
        </w:tc>
        <w:tc>
          <w:tcPr>
            <w:tcW w:type="dxa" w:w="2520"/>
            <w:vAlign w:val="top"/>
            <w:tcMar>
              <w:top w:w="80" w:type="dxa"/>
              <w:start w:w="100" w:type="dxa"/>
              <w:bottom w:w="80" w:type="dxa"/>
              <w:end w:w="100" w:type="dxa"/>
            </w:tcMar>
          </w:tcPr>
          <w:p>
            <w:r>
              <w:rPr>
                <w:sz w:val="14"/>
              </w:rPr>
              <w:t>https://www.carnegiecouncil.org/media/series/aiei/how-real-is-virtual-reality-david-chalmers</w:t>
            </w:r>
          </w:p>
        </w:tc>
      </w:tr>
      <w:tr>
        <w:tc>
          <w:tcPr>
            <w:tcW w:type="dxa" w:w="2520"/>
            <w:vAlign w:val="top"/>
            <w:tcMar>
              <w:top w:w="80" w:type="dxa"/>
              <w:start w:w="100" w:type="dxa"/>
              <w:bottom w:w="80" w:type="dxa"/>
              <w:end w:w="100" w:type="dxa"/>
            </w:tcMar>
            <w:shd w:fill="F2F6F8"/>
          </w:tcPr>
          <w:p>
            <w:r>
              <w:rPr>
                <w:sz w:val="14"/>
              </w:rPr>
              <w:t>R16</w:t>
            </w:r>
          </w:p>
        </w:tc>
        <w:tc>
          <w:tcPr>
            <w:tcW w:type="dxa" w:w="2520"/>
            <w:vAlign w:val="top"/>
            <w:tcMar>
              <w:top w:w="80" w:type="dxa"/>
              <w:start w:w="100" w:type="dxa"/>
              <w:bottom w:w="80" w:type="dxa"/>
              <w:end w:w="100" w:type="dxa"/>
            </w:tcMar>
            <w:shd w:fill="F2F6F8"/>
          </w:tcPr>
          <w:p>
            <w:r>
              <w:rPr>
                <w:sz w:val="14"/>
              </w:rPr>
              <w:t>Vazza, “Astrophysical constraints on the simulation hypothesis” (Frontiers in Physics, 2025)</w:t>
            </w:r>
          </w:p>
        </w:tc>
        <w:tc>
          <w:tcPr>
            <w:tcW w:type="dxa" w:w="2520"/>
            <w:vAlign w:val="top"/>
            <w:tcMar>
              <w:top w:w="80" w:type="dxa"/>
              <w:start w:w="100" w:type="dxa"/>
              <w:bottom w:w="80" w:type="dxa"/>
              <w:end w:w="100" w:type="dxa"/>
            </w:tcMar>
            <w:shd w:fill="F2F6F8"/>
          </w:tcPr>
          <w:p>
            <w:r>
              <w:rPr>
                <w:sz w:val="14"/>
              </w:rPr>
              <w:t>Evaluates physical resource constraints for particular simulation scenarios and emphasizes that claims outside shared physical assumptions remain difficult or impossible to falsify.</w:t>
            </w:r>
          </w:p>
        </w:tc>
        <w:tc>
          <w:tcPr>
            <w:tcW w:type="dxa" w:w="2520"/>
            <w:vAlign w:val="top"/>
            <w:tcMar>
              <w:top w:w="80" w:type="dxa"/>
              <w:start w:w="100" w:type="dxa"/>
              <w:bottom w:w="80" w:type="dxa"/>
              <w:end w:w="100" w:type="dxa"/>
            </w:tcMar>
            <w:shd w:fill="F2F6F8"/>
          </w:tcPr>
          <w:p>
            <w:r>
              <w:rPr>
                <w:sz w:val="14"/>
              </w:rPr>
              <w:t>https://www.frontiersin.org/journals/physics/articles/10.3389/fphy.2025.1561873/full</w:t>
            </w:r>
          </w:p>
        </w:tc>
      </w:tr>
      <w:tr>
        <w:tc>
          <w:tcPr>
            <w:tcW w:type="dxa" w:w="2520"/>
            <w:vAlign w:val="top"/>
            <w:tcMar>
              <w:top w:w="80" w:type="dxa"/>
              <w:start w:w="100" w:type="dxa"/>
              <w:bottom w:w="80" w:type="dxa"/>
              <w:end w:w="100" w:type="dxa"/>
            </w:tcMar>
          </w:tcPr>
          <w:p>
            <w:r>
              <w:rPr>
                <w:sz w:val="14"/>
              </w:rPr>
              <w:t>R17</w:t>
            </w:r>
          </w:p>
        </w:tc>
        <w:tc>
          <w:tcPr>
            <w:tcW w:type="dxa" w:w="2520"/>
            <w:vAlign w:val="top"/>
            <w:tcMar>
              <w:top w:w="80" w:type="dxa"/>
              <w:start w:w="100" w:type="dxa"/>
              <w:bottom w:w="80" w:type="dxa"/>
              <w:end w:w="100" w:type="dxa"/>
            </w:tcMar>
          </w:tcPr>
          <w:p>
            <w:r>
              <w:rPr>
                <w:sz w:val="14"/>
              </w:rPr>
              <w:t>NTSB, Safety Management Systems</w:t>
            </w:r>
          </w:p>
        </w:tc>
        <w:tc>
          <w:tcPr>
            <w:tcW w:type="dxa" w:w="2520"/>
            <w:vAlign w:val="top"/>
            <w:tcMar>
              <w:top w:w="80" w:type="dxa"/>
              <w:start w:w="100" w:type="dxa"/>
              <w:bottom w:w="80" w:type="dxa"/>
              <w:end w:w="100" w:type="dxa"/>
            </w:tcMar>
          </w:tcPr>
          <w:p>
            <w:r>
              <w:rPr>
                <w:sz w:val="14"/>
              </w:rPr>
              <w:t>Treats safety as an organization-wide cycle of policy, risk management, assurance, promotion, data collection, mitigation, and evaluation.</w:t>
            </w:r>
          </w:p>
        </w:tc>
        <w:tc>
          <w:tcPr>
            <w:tcW w:type="dxa" w:w="2520"/>
            <w:vAlign w:val="top"/>
            <w:tcMar>
              <w:top w:w="80" w:type="dxa"/>
              <w:start w:w="100" w:type="dxa"/>
              <w:bottom w:w="80" w:type="dxa"/>
              <w:end w:w="100" w:type="dxa"/>
            </w:tcMar>
          </w:tcPr>
          <w:p>
            <w:r>
              <w:rPr>
                <w:sz w:val="14"/>
              </w:rPr>
              <w:t>https://www.ntsb.gov/Advocacy/mwl/Pages/mwl-3.aspx</w:t>
            </w:r>
          </w:p>
        </w:tc>
      </w:tr>
      <w:tr>
        <w:tc>
          <w:tcPr>
            <w:tcW w:type="dxa" w:w="2520"/>
            <w:vAlign w:val="top"/>
            <w:tcMar>
              <w:top w:w="80" w:type="dxa"/>
              <w:start w:w="100" w:type="dxa"/>
              <w:bottom w:w="80" w:type="dxa"/>
              <w:end w:w="100" w:type="dxa"/>
            </w:tcMar>
            <w:shd w:fill="F2F6F8"/>
          </w:tcPr>
          <w:p>
            <w:r>
              <w:rPr>
                <w:sz w:val="14"/>
              </w:rPr>
              <w:t>R18</w:t>
            </w:r>
          </w:p>
        </w:tc>
        <w:tc>
          <w:tcPr>
            <w:tcW w:type="dxa" w:w="2520"/>
            <w:vAlign w:val="top"/>
            <w:tcMar>
              <w:top w:w="80" w:type="dxa"/>
              <w:start w:w="100" w:type="dxa"/>
              <w:bottom w:w="80" w:type="dxa"/>
              <w:end w:w="100" w:type="dxa"/>
            </w:tcMar>
            <w:shd w:fill="F2F6F8"/>
          </w:tcPr>
          <w:p>
            <w:r>
              <w:rPr>
                <w:sz w:val="14"/>
              </w:rPr>
              <w:t>INCOSE definition and systems-boundary discussion (IET summary)</w:t>
            </w:r>
          </w:p>
        </w:tc>
        <w:tc>
          <w:tcPr>
            <w:tcW w:type="dxa" w:w="2520"/>
            <w:vAlign w:val="top"/>
            <w:tcMar>
              <w:top w:w="80" w:type="dxa"/>
              <w:start w:w="100" w:type="dxa"/>
              <w:bottom w:w="80" w:type="dxa"/>
              <w:end w:w="100" w:type="dxa"/>
            </w:tcMar>
            <w:shd w:fill="F2F6F8"/>
          </w:tcPr>
          <w:p>
            <w:r>
              <w:rPr>
                <w:sz w:val="14"/>
              </w:rPr>
              <w:t>Defines systems engineering as an integrative life-cycle approach and distinguishes the system boundary from its broader context.</w:t>
            </w:r>
          </w:p>
        </w:tc>
        <w:tc>
          <w:tcPr>
            <w:tcW w:type="dxa" w:w="2520"/>
            <w:vAlign w:val="top"/>
            <w:tcMar>
              <w:top w:w="80" w:type="dxa"/>
              <w:start w:w="100" w:type="dxa"/>
              <w:bottom w:w="80" w:type="dxa"/>
              <w:end w:w="100" w:type="dxa"/>
            </w:tcMar>
            <w:shd w:fill="F2F6F8"/>
          </w:tcPr>
          <w:p>
            <w:r>
              <w:rPr>
                <w:sz w:val="14"/>
              </w:rPr>
              <w:t>https://www.theiet.org/impact-society/policy-and-public-affairs/digital-futures-policy/reports-and-papers/quantum-technologies-a-systems-approach</w:t>
            </w:r>
          </w:p>
        </w:tc>
      </w:tr>
      <w:tr>
        <w:tc>
          <w:tcPr>
            <w:tcW w:type="dxa" w:w="2520"/>
            <w:vAlign w:val="top"/>
            <w:tcMar>
              <w:top w:w="80" w:type="dxa"/>
              <w:start w:w="100" w:type="dxa"/>
              <w:bottom w:w="80" w:type="dxa"/>
              <w:end w:w="100" w:type="dxa"/>
            </w:tcMar>
          </w:tcPr>
          <w:p>
            <w:r>
              <w:rPr>
                <w:sz w:val="14"/>
              </w:rPr>
              <w:t>R19</w:t>
            </w:r>
          </w:p>
        </w:tc>
        <w:tc>
          <w:tcPr>
            <w:tcW w:type="dxa" w:w="2520"/>
            <w:vAlign w:val="top"/>
            <w:tcMar>
              <w:top w:w="80" w:type="dxa"/>
              <w:start w:w="100" w:type="dxa"/>
              <w:bottom w:w="80" w:type="dxa"/>
              <w:end w:w="100" w:type="dxa"/>
            </w:tcMar>
          </w:tcPr>
          <w:p>
            <w:r>
              <w:rPr>
                <w:sz w:val="14"/>
              </w:rPr>
              <w:t>NIST SP 800-207, Zero Trust Architecture</w:t>
            </w:r>
          </w:p>
        </w:tc>
        <w:tc>
          <w:tcPr>
            <w:tcW w:type="dxa" w:w="2520"/>
            <w:vAlign w:val="top"/>
            <w:tcMar>
              <w:top w:w="80" w:type="dxa"/>
              <w:start w:w="100" w:type="dxa"/>
              <w:bottom w:w="80" w:type="dxa"/>
              <w:end w:w="100" w:type="dxa"/>
            </w:tcMar>
          </w:tcPr>
          <w:p>
            <w:r>
              <w:rPr>
                <w:sz w:val="14"/>
              </w:rPr>
              <w:t>Rejects implicit trust based only on location or ownership and requires explicit authentication and authorization for access.</w:t>
            </w:r>
          </w:p>
        </w:tc>
        <w:tc>
          <w:tcPr>
            <w:tcW w:type="dxa" w:w="2520"/>
            <w:vAlign w:val="top"/>
            <w:tcMar>
              <w:top w:w="80" w:type="dxa"/>
              <w:start w:w="100" w:type="dxa"/>
              <w:bottom w:w="80" w:type="dxa"/>
              <w:end w:w="100" w:type="dxa"/>
            </w:tcMar>
          </w:tcPr>
          <w:p>
            <w:r>
              <w:rPr>
                <w:sz w:val="14"/>
              </w:rPr>
              <w:t>https://www.nist.gov/publications/zero-trust-architecture</w:t>
            </w:r>
          </w:p>
        </w:tc>
      </w:tr>
      <w:tr>
        <w:tc>
          <w:tcPr>
            <w:tcW w:type="dxa" w:w="2520"/>
            <w:vAlign w:val="top"/>
            <w:tcMar>
              <w:top w:w="80" w:type="dxa"/>
              <w:start w:w="100" w:type="dxa"/>
              <w:bottom w:w="80" w:type="dxa"/>
              <w:end w:w="100" w:type="dxa"/>
            </w:tcMar>
            <w:shd w:fill="F2F6F8"/>
          </w:tcPr>
          <w:p>
            <w:r>
              <w:rPr>
                <w:sz w:val="14"/>
              </w:rPr>
              <w:t>R20</w:t>
            </w:r>
          </w:p>
        </w:tc>
        <w:tc>
          <w:tcPr>
            <w:tcW w:type="dxa" w:w="2520"/>
            <w:vAlign w:val="top"/>
            <w:tcMar>
              <w:top w:w="80" w:type="dxa"/>
              <w:start w:w="100" w:type="dxa"/>
              <w:bottom w:w="80" w:type="dxa"/>
              <w:end w:w="100" w:type="dxa"/>
            </w:tcMar>
            <w:shd w:fill="F2F6F8"/>
          </w:tcPr>
          <w:p>
            <w:r>
              <w:rPr>
                <w:sz w:val="14"/>
              </w:rPr>
              <w:t>NASA Spaceflight Mishap Investigation Handbook</w:t>
            </w:r>
          </w:p>
        </w:tc>
        <w:tc>
          <w:tcPr>
            <w:tcW w:type="dxa" w:w="2520"/>
            <w:vAlign w:val="top"/>
            <w:tcMar>
              <w:top w:w="80" w:type="dxa"/>
              <w:start w:w="100" w:type="dxa"/>
              <w:bottom w:w="80" w:type="dxa"/>
              <w:end w:w="100" w:type="dxa"/>
            </w:tcMar>
            <w:shd w:fill="F2F6F8"/>
          </w:tcPr>
          <w:p>
            <w:r>
              <w:rPr>
                <w:sz w:val="14"/>
              </w:rPr>
              <w:t>Uses timelines, fault trees, event-and-causal-factor trees, and recommendations to identify chains of events and conditions rather than stopping at a proximate cause.</w:t>
            </w:r>
          </w:p>
        </w:tc>
        <w:tc>
          <w:tcPr>
            <w:tcW w:type="dxa" w:w="2520"/>
            <w:vAlign w:val="top"/>
            <w:tcMar>
              <w:top w:w="80" w:type="dxa"/>
              <w:start w:w="100" w:type="dxa"/>
              <w:bottom w:w="80" w:type="dxa"/>
              <w:end w:w="100" w:type="dxa"/>
            </w:tcMar>
            <w:shd w:fill="F2F6F8"/>
          </w:tcPr>
          <w:p>
            <w:r>
              <w:rPr>
                <w:sz w:val="14"/>
              </w:rPr>
              <w:t>https://www.nasa.gov/wp-content/uploads/2023/03/spaceflight-mishap-handbook-tagged.pdf</w:t>
            </w:r>
          </w:p>
        </w:tc>
      </w:tr>
    </w:tbl>
    <w:sectPr w:rsidR="00FC693F" w:rsidRPr="0006063C" w:rsidSect="00034616">
      <w:headerReference w:type="default" r:id="rId9"/>
      <w:footerReference w:type="default" r:id="rId10"/>
      <w:pgSz w:w="12240" w:h="15840"/>
      <w:pgMar w:top="1037" w:right="1037" w:bottom="1037"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Omniversal Architect Labs (OAL)  |  OAL-CFTRL-SRC-001  |  DRAFT — UNDER REVIEW — NOT CANON — ONESTAMP PENDING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47BA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3D5A6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360" w:right="360"/>
    </w:pPr>
    <w:rPr>
      <w:rFonts w:ascii="Aptos" w:hAnsi="Aptos"/>
      <w:i/>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Conditional Failure at the Root Level — Source, Provenance, and Requirements Record</dc:title>
  <dc:subject>Conditional Failure at the Root Level research and development</dc:subject>
  <dc:creator>Perplexity AI Research Layer for Nathan Lewis</dc:creator>
  <cp:keywords>CFTRL, root-level systems, resilience, simulation, epistemology, OAL</cp:keywords>
  <dc:description>generated by python-docx</dc:description>
  <cp:lastModifiedBy/>
  <cp:revision>1</cp:revision>
  <dcterms:created xsi:type="dcterms:W3CDTF">2013-12-23T23:15:00Z</dcterms:created>
  <dcterms:modified xsi:type="dcterms:W3CDTF">2013-12-23T23:15:00Z</dcterms:modified>
  <cp:category/>
</cp:coreProperties>
</file>