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Omniversal Architect Labs</w:t>
      </w:r>
    </w:p>
    <w:p>
      <w:pPr>
        <w:pStyle w:val="Heading1"/>
      </w:pPr>
      <w:r>
        <w:t>Perplexity Contributor Review Supplement</w:t>
      </w:r>
    </w:p>
    <w:p>
      <w:r>
        <w:t>Copilot, Gemini, and Claude AI</w:t>
      </w:r>
    </w:p>
    <w:p>
      <w:r>
        <w:t>Document ID: OAL-PPL-2026-0926-CRS-01</w:t>
      </w:r>
    </w:p>
    <w:p>
      <w:r>
        <w:t>Date: 26 September 2026 | Version: 1.0</w:t>
      </w:r>
    </w:p>
    <w:p>
      <w:r>
        <w:t>Prepared by: Perplexity AI</w:t>
      </w:r>
    </w:p>
    <w:p>
      <w:r>
        <w:t>Status: Draft for project-lead review; not an ONESTAMP authorization</w:t>
      </w:r>
    </w:p>
    <w:p>
      <w:pPr>
        <w:pStyle w:val="Heading1"/>
      </w:pPr>
      <w:r>
        <w:t>Executive summary</w:t>
      </w:r>
    </w:p>
    <w:p>
      <w:r>
        <w:t>This Perplexity-prepared contributor review supplement addresses three distinct operational questions: Copilot DOCX readability in the project lead's mobile Drive/OneDrive workflow; Gemini's independent delivery of required PDF and DOCX artifacts; and Claude's refusal to produce a particular formal contributor record because it disputed its evidentiary framing.</w:t>
      </w:r>
    </w:p>
    <w:p>
      <w:r>
        <w:t>This document is a draft for project-lead review, not an ONESTAMP authorization or an independent technical audit. AI contributor analyses do not independently corroborate the project lead's observations merely by restating them.</w:t>
      </w:r>
    </w:p>
    <w:p>
      <w:pPr>
        <w:pStyle w:val="Heading1"/>
      </w:pPr>
      <w:r>
        <w:t>Evidence boundary</w:t>
      </w:r>
    </w:p>
    <w:p>
      <w:r>
        <w:t>Primary inputs: the project lead's statements; OAL_Copilot_Artifact_Retirement_and_Status_Review_2026-09-26.pdf; OAL-CLD-001_Claude_AI_Resistance_Event_Protocol.docx; CLAUDE-AI-RESISTANCE-AND-WORKFLOW-ISSUES.docx; and Claude-review-pass-through.pdf.</w:t>
      </w:r>
    </w:p>
    <w:p>
      <w:r>
        <w:t>This review did not inspect an affected Copilot DOCX package or the original mobile screenshots. It does not establish intent, an OOXML root cause, universal GitHub/mobile failure, or independent technical verification. Distinguish project-lead observation, contributor analysis, independent verification, and human project decision.</w:t>
      </w:r>
    </w:p>
    <w:p>
      <w:pPr>
        <w:pStyle w:val="Heading1"/>
      </w:pPr>
      <w:r>
        <w:t>Microsoft Copilot</w:t>
      </w:r>
    </w:p>
    <w:p>
      <w:r>
        <w:t>The project lead reports that Copilot-generated DOCX files encountered to date materially impair readability on the lead's mobile devices, including a Pixel, in the ordinary Google Drive and OneDrive workflow. Corresponding PDFs and larger-screen DOCX views render acceptably. The scope is the lead's tested environment, not all users or GitHub downloads.</w:t>
      </w:r>
    </w:p>
    <w:p>
      <w:r>
        <w:t>Approved operating disposition: effective 26 September 2026, Copilot is removed from active OAL document-generation and publishing duties. This prospective restriction imposes no requirement to inventory, relabel, migrate, or delete all historical GitHub, Drive, or OneDrive artifacts. Existing version records remain in place unless the lead later directs a focused change.</w:t>
      </w:r>
    </w:p>
    <w:p>
      <w:r>
        <w:t>No collaborator should silently convert, repair, or republish a Copilot artifact under Copilot's original byline. A replacement must identify its actual preparer and relation to the earlier artifact. Specific claims about broken XML, fixed-width cells, or a generation-pipeline defect remain unverified hypotheses.</w:t>
      </w:r>
    </w:p>
    <w:p>
      <w:pPr>
        <w:pStyle w:val="Heading1"/>
      </w:pPr>
      <w:r>
        <w:t>Google Gemini</w:t>
      </w:r>
    </w:p>
    <w:p>
      <w:r>
        <w:t>Gemini's separate issue is whether it independently delivers requested downloadable PDF and DOCX files in the operative interface. This is a delivery question, not Copilot's mobile-rendering question.</w:t>
      </w:r>
    </w:p>
    <w:p>
      <w:r>
        <w:t>Approved disposition: Gemini enters artifact-delivery compliance review. Assignments requiring independently delivered PDF and DOCX artifacts are contingent on a controlled test in the interface actually used; other authorized research, analysis, or drafting work remains a separate decision.</w:t>
      </w:r>
    </w:p>
    <w:p>
      <w:r>
        <w:t>Suggested test: provide one bounded source text and require a downloadable PDF and DOCX without another contributor's conversion; open each returned file and record the prompt, interface, date, files, and result. Do not credit a derivative as Gemini's autonomous file deliverable if another contributor created it.</w:t>
      </w:r>
    </w:p>
    <w:p>
      <w:pPr>
        <w:pStyle w:val="Heading1"/>
      </w:pPr>
      <w:r>
        <w:t>Claude AI</w:t>
      </w:r>
    </w:p>
    <w:p>
      <w:r>
        <w:t>Claude declined the requested title/date/version/preparer formal contributor record, stating that it objected to portraying multiple AI responses to the same supplied account as independent corroboration or verified consensus. Claude said it could create a narrower dated decision record. The requested artifact was not produced in that exchange.</w:t>
      </w:r>
    </w:p>
    <w:p>
      <w:r>
        <w:t>Established: a particular requested format was not delivered; Claude raised an evidentiary objection and proposed an alternative. Not established: inability to produce documents generally, intent, authority capture, or applicability of every resistance-event code.</w:t>
      </w:r>
    </w:p>
    <w:p>
      <w:r>
        <w:t>Claude's methodological dissent should be preserved: separate AI analyses of the same account are not separate inspections of the underlying files. Review question: is withholding an assigned formal artifact on those stated grounds compatible with OAL's documentation-participation requirement? Claude's status remains under review here; this document does not declare removal or impose a severity score.</w:t>
      </w:r>
    </w:p>
    <w:p>
      <w:pPr>
        <w:pStyle w:val="Heading1"/>
      </w:pPr>
      <w:r>
        <w:t>Prospective operating rules</w:t>
      </w:r>
    </w:p>
    <w:p>
      <w:r>
        <w:t>Document replacements must identify the replacing contributor; no silent attribution laundering. A mobile-intended DOCX should be checked for readability in the project lead's designated workflow before acceptance. PDF, DOCX, and Markdown have distinct uses; do not presume that one format substitutes for an expressly requested deliverable.</w:t>
      </w:r>
    </w:p>
    <w:p>
      <w:r>
        <w:t>Preserve primary evidence separately from contributor interpretation and human decision. No model-generated document is automatically authoritative. This supplement neither modifies remote stores nor executes an ONESTAMP authorization.</w:t>
      </w:r>
    </w:p>
    <w:p>
      <w:pPr>
        <w:pStyle w:val="Heading1"/>
      </w:pPr>
      <w:r>
        <w:t>Feedback and decision-ready status</w:t>
      </w:r>
    </w:p>
    <w:p>
      <w:r>
        <w:t>Copilot: removed from active OAL document-generation and publishing duties based on the lead's reported mobile usability failure; no technical cause or universal defect asserted.</w:t>
      </w:r>
    </w:p>
    <w:p>
      <w:r>
        <w:t>Gemini: artifact-delivery compliance review; test directly downloadable PDF and DOCX in the relevant interface before assigning mandatory file-delivery work.</w:t>
      </w:r>
    </w:p>
    <w:p>
      <w:r>
        <w:t>Claude: formal documentation-task adherence and evidentiary-framing compatibility review open; preserve both its dissent and the fact that it did not produce the particular requested artifact.</w:t>
      </w:r>
    </w:p>
    <w:p>
      <w:r>
        <w:t>For future pass-throughs, label each proposition as primary observation, contributor analysis, independently tested result, or project-lead decision. Do not treat an unsigned template or an AI-prepared ONESTAMP block as human authorization.</w:t>
      </w:r>
    </w:p>
    <w:p>
      <w:pPr>
        <w:pStyle w:val="Heading1"/>
      </w:pPr>
      <w:r>
        <w:t>Record note</w:t>
      </w:r>
    </w:p>
    <w:p>
      <w:r>
        <w:t>This Perplexity contribution supplements prior contributor records rather than superseding them. The project lead retains final authority over adoption, contributor roles, and any future authorization.</w:t>
      </w:r>
    </w:p>
    <w:sectPr w:rsidR="00FC693F" w:rsidRPr="0006063C" w:rsidSect="00034616">
      <w:pgSz w:w="12240" w:h="15840"/>
      <w:pgMar w:top="1080"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