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dependent_review_of_the_environ_3eb938"/>
      <w:r>
        <w:rPr>
          <w:rFonts w:eastAsia="source serif 4" w:cs="source serif 4" w:ascii="source serif 4" w:hAnsi="source serif 4"/>
          <w:b/>
          <w:color w:val="000000"/>
          <w:sz w:val="39"/>
        </w:rPr>
        <w:t xml:space="preserve">Independent Review of the Environmental Sensing and Threat-Discernment Foundations</w:t>
      </w:r>
      <w:bookmarkEnd w:id="0"/>
    </w:p>
    <w:p>
      <w:pPr>
        <w:spacing w:line="360" w:before="315" w:after="105" w:lineRule="auto"/>
        <w:ind w:left="-30"/>
        <w:jc w:val="left"/>
      </w:pPr>
      <w:bookmarkStart w:id="1" w:name="review_determination"/>
      <w:r>
        <w:rPr>
          <w:rFonts w:eastAsia="source serif 4" w:cs="source serif 4" w:ascii="source serif 4" w:hAnsi="source serif 4"/>
          <w:b/>
          <w:color w:val="000000"/>
          <w:sz w:val="24"/>
        </w:rPr>
        <w:t xml:space="preserve">Review determination</w:t>
      </w:r>
      <w:bookmarkEnd w:id="1"/>
    </w:p>
    <w:p>
      <w:pPr>
        <w:spacing w:line="360" w:after="210" w:lineRule="auto"/>
      </w:pPr>
      <w:r>
        <w:rPr>
          <w:rFonts w:eastAsia="source serif 4" w:cs="source serif 4" w:ascii="source serif 4" w:hAnsi="source serif 4"/>
          <w:color w:val="000000"/>
        </w:rPr>
        <w:t xml:space="preserve">The attached documents form a strong independent-design corpus rather than five redundant answers. Their most useful differences are architectural: Claude centers reconciliation and identifiability; Perplexity supplies the broadest staged research program; Grok supplies registers, integrity criteria, and dissent governance; ChatGPT supplies threat-discernibility states, functional layers, and a minimum event record; Copilot treats every handoff—including the laboratory’s own instrumentation—as an auditable interface contract.[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4][^5]</w:t>
      </w:r>
    </w:p>
    <w:p>
      <w:pPr>
        <w:spacing w:line="360" w:after="210" w:lineRule="auto"/>
      </w:pPr>
      <w:r>
        <w:rPr>
          <w:rFonts w:eastAsia="source serif 4" w:cs="source serif 4" w:ascii="source serif 4" w:hAnsi="source serif 4"/>
          <w:color w:val="000000"/>
        </w:rPr>
        <w:t xml:space="preserve">No single version should be selected as the complete laboratory design, and the documents should not yet be blended into a consensus narrative. The appropriate next artifact is a human-controlled decision and dissent record that preserves each independent hypothesis while defining which concepts become shared requirements, which remain competing explanations, and which require revision.</w:t>
      </w:r>
    </w:p>
    <w:p>
      <w:pPr>
        <w:spacing w:line="360" w:before="315" w:after="105" w:lineRule="auto"/>
        <w:ind w:left="-30"/>
        <w:jc w:val="left"/>
      </w:pPr>
      <w:bookmarkStart w:id="2" w:name="materials_reviewed"/>
      <w:r>
        <w:rPr>
          <w:rFonts w:eastAsia="source serif 4" w:cs="source serif 4" w:ascii="source serif 4" w:hAnsi="source serif 4"/>
          <w:b/>
          <w:color w:val="000000"/>
          <w:sz w:val="24"/>
        </w:rPr>
        <w:t xml:space="preserve">Materials reviewed</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Artifact reviewed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Declared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Distinctive lane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 v0.1.0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not canon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Three-register model, Entity Integrity Criterion, dissent governance[^1]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 v0.1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Foundational independent draft; non-operational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 ontology, staged program, decision gates, measures, evidence notes[^2]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DOCX, v1.0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for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Update architecture, formal model families, identifiability limit[^3]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PDF, v0.1.0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not canon; conceptual design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Threat non-minimization, threat-discernibility classes, event record[^4]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Copilot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PDF, v1.0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Independent design baseline; not consolidated canon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Interface Contract Architecture and laboratory self-audit[^5]</w:t>
            </w:r>
          </w:p>
        </w:tc>
      </w:tr>
    </w:tbl>
    <w:p>
      <w:pPr>
        <w:spacing w:lineRule="auto"/>
      </w:pPr>
    </w:p>
    <w:p>
      <w:pPr>
        <w:spacing w:line="360" w:after="210" w:lineRule="auto"/>
      </w:pPr>
      <w:r>
        <w:rPr>
          <w:rFonts w:eastAsia="source serif 4" w:cs="source serif 4" w:ascii="source serif 4" w:hAnsi="source serif 4"/>
          <w:color w:val="000000"/>
        </w:rPr>
        <w:t xml:space="preserve">No independent Gemini foundational document was included in the supplied set. That absence should remain visible in the provenance record rather than being filled by another collaborator’s conversion or reconstruction.</w:t>
      </w:r>
    </w:p>
    <w:p>
      <w:pPr>
        <w:spacing w:line="360" w:before="315" w:after="105" w:lineRule="auto"/>
        <w:ind w:left="-30"/>
        <w:jc w:val="left"/>
      </w:pPr>
      <w:bookmarkStart w:id="3" w:name="corpus_level_strengths"/>
      <w:r>
        <w:rPr>
          <w:rFonts w:eastAsia="source serif 4" w:cs="source serif 4" w:ascii="source serif 4" w:hAnsi="source serif 4"/>
          <w:b/>
          <w:color w:val="000000"/>
          <w:sz w:val="24"/>
        </w:rPr>
        <w:t xml:space="preserve">Corpus-level strengths</w:t>
      </w:r>
      <w:bookmarkEnd w:id="3"/>
    </w:p>
    <w:p>
      <w:pPr>
        <w:spacing w:line="360" w:before="315" w:after="105" w:lineRule="auto"/>
        <w:ind w:left="-30"/>
        <w:jc w:val="left"/>
      </w:pPr>
      <w:bookmarkStart w:id="4" w:name="origin_fidelity"/>
      <w:r>
        <w:rPr>
          <w:rFonts w:eastAsia="source serif 4" w:cs="source serif 4" w:ascii="source serif 4" w:hAnsi="source serif 4"/>
          <w:b/>
          <w:color w:val="000000"/>
          <w:sz w:val="24"/>
        </w:rPr>
        <w:t xml:space="preserve">Origin fidelity</w:t>
      </w:r>
      <w:bookmarkEnd w:id="4"/>
    </w:p>
    <w:p>
      <w:pPr>
        <w:spacing w:line="360" w:after="210" w:lineRule="auto"/>
      </w:pPr>
      <w:r>
        <w:rPr>
          <w:rFonts w:eastAsia="source serif 4" w:cs="source serif 4" w:ascii="source serif 4" w:hAnsi="source serif 4"/>
          <w:color w:val="000000"/>
        </w:rPr>
        <w:t xml:space="preserve">All five documents preserve the central problem: an entity must act while presentation, environmental reference state, and internal state may diverge. They also retain the non-anthropocentric constraint, the relational nature of threat, the open-world limitation, and the rule that failure to detect danger is not evidence of safety.[</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5][^1]</w:t>
      </w:r>
    </w:p>
    <w:p>
      <w:pPr>
        <w:spacing w:line="360" w:after="210" w:lineRule="auto"/>
      </w:pPr>
      <w:r>
        <w:rPr>
          <w:rFonts w:eastAsia="source serif 4" w:cs="source serif 4" w:ascii="source serif 4" w:hAnsi="source serif 4"/>
          <w:color w:val="000000"/>
        </w:rPr>
        <w:t xml:space="preserve">This is genuine conceptual convergence, but it should be recorded as shared framing rather than empirical validation. Several authors correctly warn that agreement among AI systems may reflect shared language and training patterns, so convergence cannot substitute for independent evidence or experiments.[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2]</w:t>
      </w:r>
    </w:p>
    <w:p>
      <w:pPr>
        <w:spacing w:line="360" w:before="315" w:after="105" w:lineRule="auto"/>
        <w:ind w:left="-30"/>
        <w:jc w:val="left"/>
      </w:pPr>
      <w:bookmarkStart w:id="5" w:name="safety_posture"/>
      <w:r>
        <w:rPr>
          <w:rFonts w:eastAsia="source serif 4" w:cs="source serif 4" w:ascii="source serif 4" w:hAnsi="source serif 4"/>
          <w:b/>
          <w:color w:val="000000"/>
          <w:sz w:val="24"/>
        </w:rPr>
        <w:t xml:space="preserve">Safety posture</w:t>
      </w:r>
      <w:bookmarkEnd w:id="5"/>
    </w:p>
    <w:p>
      <w:pPr>
        <w:spacing w:line="360" w:after="210" w:lineRule="auto"/>
      </w:pPr>
      <w:r>
        <w:rPr>
          <w:rFonts w:eastAsia="source serif 4" w:cs="source serif 4" w:ascii="source serif 4" w:hAnsi="source serif 4"/>
          <w:color w:val="000000"/>
        </w:rPr>
        <w:t xml:space="preserve">The corpus consistently rejects interpreting “poison/toxin/corrosive laboratory” as authorization for live hazardous exposure. Perplexity and ChatGPT explicitly make simulation and benign proxies the starting point; Grok excludes live-injury protocols from Series 1; Copilot makes simulation and non-injurious surrogates the unconditional default absent qualified approval.[</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1][</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5]</w:t>
      </w:r>
    </w:p>
    <w:p>
      <w:pPr>
        <w:spacing w:line="360" w:after="210" w:lineRule="auto"/>
      </w:pPr>
      <w:r>
        <w:rPr>
          <w:rFonts w:eastAsia="source serif 4" w:cs="source serif 4" w:ascii="source serif 4" w:hAnsi="source serif 4"/>
          <w:color w:val="000000"/>
        </w:rPr>
        <w:t xml:space="preserve">That shared boundary is essential and should become a corpus-wide invariant. The conceptual framework, experimental program, hazardous-material operations, animal or human protocols, and institutional approvals must remain separate document classes.</w:t>
      </w:r>
    </w:p>
    <w:p>
      <w:pPr>
        <w:spacing w:line="360" w:before="315" w:after="105" w:lineRule="auto"/>
        <w:ind w:left="-30"/>
        <w:jc w:val="left"/>
      </w:pPr>
      <w:bookmarkStart w:id="6" w:name="reference_state_humility"/>
      <w:r>
        <w:rPr>
          <w:rFonts w:eastAsia="source serif 4" w:cs="source serif 4" w:ascii="source serif 4" w:hAnsi="source serif 4"/>
          <w:b/>
          <w:color w:val="000000"/>
          <w:sz w:val="24"/>
        </w:rPr>
        <w:t xml:space="preserve">Reference-state humility</w:t>
      </w:r>
      <w:bookmarkEnd w:id="6"/>
    </w:p>
    <w:p>
      <w:pPr>
        <w:spacing w:line="360" w:after="210" w:lineRule="auto"/>
      </w:pPr>
      <w:r>
        <w:rPr>
          <w:rFonts w:eastAsia="source serif 4" w:cs="source serif 4" w:ascii="source serif 4" w:hAnsi="source serif 4"/>
          <w:color w:val="000000"/>
        </w:rPr>
        <w:t xml:space="preserve">The documents improve materially on the phrase “what the environment actually states.” Each recognizes that a laboratory has an instrumented reference model, not unmediated access to metaphysical ground truth. Grok calls this the Environment Register, Perplexity defines a reference environmental state with measurement uncertainty, ChatGPT adds a laboratory audit layer, and Copilot requires interface characterization of the laboratory’s own instruments.[</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after="210" w:lineRule="auto"/>
      </w:pPr>
      <w:r>
        <w:rPr>
          <w:rFonts w:eastAsia="source serif 4" w:cs="source serif 4" w:ascii="source serif 4" w:hAnsi="source serif 4"/>
          <w:color w:val="000000"/>
        </w:rPr>
        <w:t xml:space="preserve">This should be retained. It prevents entity error, apparatus error, timing error, label error, and model incompleteness from being collapsed into one category.</w:t>
      </w:r>
    </w:p>
    <w:p>
      <w:pPr>
        <w:spacing w:line="360" w:before="315" w:after="105" w:lineRule="auto"/>
        <w:ind w:left="-30"/>
        <w:jc w:val="left"/>
      </w:pPr>
      <w:bookmarkStart w:id="7" w:name="nonbinary_outcomes"/>
      <w:r>
        <w:rPr>
          <w:rFonts w:eastAsia="source serif 4" w:cs="source serif 4" w:ascii="source serif 4" w:hAnsi="source serif 4"/>
          <w:b/>
          <w:color w:val="000000"/>
          <w:sz w:val="24"/>
        </w:rPr>
        <w:t xml:space="preserve">Nonbinary outcomes</w:t>
      </w:r>
      <w:bookmarkEnd w:id="7"/>
    </w:p>
    <w:p>
      <w:pPr>
        <w:spacing w:line="360" w:after="210" w:lineRule="auto"/>
      </w:pPr>
      <w:r>
        <w:rPr>
          <w:rFonts w:eastAsia="source serif 4" w:cs="source serif 4" w:ascii="source serif 4" w:hAnsi="source serif 4"/>
          <w:color w:val="000000"/>
        </w:rPr>
        <w:t xml:space="preserve">The corpus rejects forced safe/threat classification. It preserves unknown, ambiguous, inaccessible, delayed, misleading, recognized-but-unaddressable, and abstention states, while separating detection, interpretation, confidence, action, and outcome.[</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4][</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p>
    <w:p>
      <w:pPr>
        <w:spacing w:line="360" w:after="210" w:lineRule="auto"/>
      </w:pPr>
      <w:r>
        <w:rPr>
          <w:rFonts w:eastAsia="source serif 4" w:cs="source serif 4" w:ascii="source serif 4" w:hAnsi="source serif 4"/>
          <w:color w:val="000000"/>
        </w:rPr>
        <w:t xml:space="preserve">This is one of the project’s most important achievements. A laboratory that allows only “detected” and “not detected” would be structurally incapable of answering the originating questions.</w:t>
      </w:r>
    </w:p>
    <w:p>
      <w:pPr>
        <w:spacing w:line="360" w:before="315" w:after="105" w:lineRule="auto"/>
        <w:ind w:left="-30"/>
        <w:jc w:val="left"/>
      </w:pPr>
      <w:bookmarkStart w:id="8" w:name="contributor_feedback"/>
      <w:r>
        <w:rPr>
          <w:rFonts w:eastAsia="source serif 4" w:cs="source serif 4" w:ascii="source serif 4" w:hAnsi="source serif 4"/>
          <w:b/>
          <w:color w:val="000000"/>
          <w:sz w:val="24"/>
        </w:rPr>
        <w:t xml:space="preserve">Contributor feedback</w:t>
      </w:r>
      <w:bookmarkEnd w:id="8"/>
    </w:p>
    <w:p>
      <w:pPr>
        <w:spacing w:line="360" w:before="315" w:after="105" w:lineRule="auto"/>
        <w:ind w:left="-30"/>
        <w:jc w:val="left"/>
      </w:pPr>
      <w:bookmarkStart w:id="9" w:name="claude"/>
      <w:r>
        <w:rPr>
          <w:rFonts w:eastAsia="source serif 4" w:cs="source serif 4" w:ascii="source serif 4" w:hAnsi="source serif 4"/>
          <w:b/>
          <w:color w:val="000000"/>
          <w:sz w:val="24"/>
        </w:rPr>
        <w:t xml:space="preserve">Claude</w:t>
      </w:r>
      <w:bookmarkEnd w:id="9"/>
    </w:p>
    <w:p>
      <w:pPr>
        <w:spacing w:line="360" w:after="210" w:lineRule="auto"/>
      </w:pPr>
      <w:r>
        <w:rPr>
          <w:rFonts w:eastAsia="source serif 4" w:cs="source serif 4" w:ascii="source serif 4" w:hAnsi="source serif 4"/>
          <w:color w:val="000000"/>
        </w:rPr>
        <w:t xml:space="preserve">Claude’s version is the most compact formal-theory contribution. Its primary hypothesis—that reconciliation or update architecture may matter more than raw sensor fidelity—is explicit and falsifiable, and its proposed comparison between low-fidelity/strong-update and high-fidelity/weak-update entities directly converts the research question into an experimental contrast.[^3]</w:t>
      </w:r>
    </w:p>
    <w:p>
      <w:pPr>
        <w:spacing w:line="360" w:after="210" w:lineRule="auto"/>
      </w:pPr>
      <w:r>
        <w:rPr>
          <w:rFonts w:eastAsia="source serif 4" w:cs="source serif 4" w:ascii="source serif 4" w:hAnsi="source serif 4"/>
          <w:color w:val="000000"/>
        </w:rPr>
        <w:t xml:space="preserve">Its strongest original contribution is the identifiability limit: a discrepancy may be impossible to attribute to sensor error, environmental change, or stale internal state without another channel or deliberate test action. This correctly makes calibrated uncertainty a possible success outcome rather than treating certainty as the universal objective.[^3]</w:t>
      </w:r>
    </w:p>
    <w:p>
      <w:pPr>
        <w:spacing w:line="360" w:after="210" w:lineRule="auto"/>
      </w:pPr>
      <w:r>
        <w:rPr>
          <w:rFonts w:eastAsia="source serif 4" w:cs="source serif 4" w:ascii="source serif 4" w:hAnsi="source serif 4"/>
          <w:color w:val="000000"/>
        </w:rPr>
        <w:t xml:space="preserve">What should be retained:</w:t>
      </w:r>
    </w:p>
    <w:p>
      <w:pPr>
        <w:numPr>
          <w:ilvl w:val="0"/>
          <w:numId w:val="1"/>
        </w:numPr>
        <w:spacing w:line="360" w:before="105" w:after="105" w:lineRule="auto"/>
      </w:pPr>
      <w:r>
        <w:rPr>
          <w:rFonts w:eastAsia="source serif 4" w:cs="source serif 4" w:ascii="source serif 4" w:hAnsi="source serif 4"/>
          <w:color w:val="000000"/>
          <w:sz w:val="21"/>
        </w:rPr>
        <w:t xml:space="preserve">The update-architecture hypothesis as a competing mechanism, not a settled foundation.</w:t>
      </w:r>
    </w:p>
    <w:p>
      <w:pPr>
        <w:numPr>
          <w:ilvl w:val="0"/>
          <w:numId w:val="1"/>
        </w:numPr>
        <w:spacing w:line="360" w:before="105" w:after="105" w:lineRule="auto"/>
      </w:pPr>
      <w:r>
        <w:rPr>
          <w:rFonts w:eastAsia="source serif 4" w:cs="source serif 4" w:ascii="source serif 4" w:hAnsi="source serif 4"/>
          <w:color w:val="000000"/>
          <w:sz w:val="21"/>
        </w:rPr>
        <w:t xml:space="preserve">Independent manipulation of sensor fidelity and reconciliation quality.</w:t>
      </w:r>
    </w:p>
    <w:p>
      <w:pPr>
        <w:numPr>
          <w:ilvl w:val="0"/>
          <w:numId w:val="1"/>
        </w:numPr>
        <w:spacing w:line="360" w:before="105" w:after="105" w:lineRule="auto"/>
      </w:pPr>
      <w:r>
        <w:rPr>
          <w:rFonts w:eastAsia="source serif 4" w:cs="source serif 4" w:ascii="source serif 4" w:hAnsi="source serif 4"/>
          <w:color w:val="000000"/>
          <w:sz w:val="21"/>
        </w:rPr>
        <w:t xml:space="preserve">Separation of signal-detection sensitivity from criterion shifts.</w:t>
      </w:r>
    </w:p>
    <w:p>
      <w:pPr>
        <w:numPr>
          <w:ilvl w:val="0"/>
          <w:numId w:val="1"/>
        </w:numPr>
        <w:spacing w:line="360" w:before="105" w:after="105" w:lineRule="auto"/>
      </w:pPr>
      <w:r>
        <w:rPr>
          <w:rFonts w:eastAsia="source serif 4" w:cs="source serif 4" w:ascii="source serif 4" w:hAnsi="source serif 4"/>
          <w:color w:val="000000"/>
          <w:sz w:val="21"/>
        </w:rPr>
        <w:t xml:space="preserve">Active sensing as evidence gathering rather than merely a terminal action.</w:t>
      </w:r>
    </w:p>
    <w:p>
      <w:pPr>
        <w:numPr>
          <w:ilvl w:val="0"/>
          <w:numId w:val="1"/>
        </w:numPr>
        <w:spacing w:line="360" w:before="105" w:after="105" w:lineRule="auto"/>
      </w:pPr>
      <w:r>
        <w:rPr>
          <w:rFonts w:eastAsia="source serif 4" w:cs="source serif 4" w:ascii="source serif 4" w:hAnsi="source serif 4"/>
          <w:color w:val="000000"/>
          <w:sz w:val="21"/>
        </w:rPr>
        <w:t xml:space="preserve">Explicit irreducible-ambiguity trials.</w:t>
      </w:r>
    </w:p>
    <w:p>
      <w:pPr>
        <w:spacing w:line="360" w:after="210" w:lineRule="auto"/>
      </w:pPr>
      <w:r>
        <w:rPr>
          <w:rFonts w:eastAsia="source serif 4" w:cs="source serif 4" w:ascii="source serif 4" w:hAnsi="source serif 4"/>
          <w:color w:val="000000"/>
        </w:rPr>
        <w:t xml:space="preserve">What needs revision or expansion:</w:t>
      </w:r>
    </w:p>
    <w:p>
      <w:pPr>
        <w:numPr>
          <w:ilvl w:val="0"/>
          <w:numId w:val="2"/>
        </w:numPr>
        <w:spacing w:line="360" w:before="105" w:after="105" w:lineRule="auto"/>
      </w:pPr>
      <w:r>
        <w:rPr>
          <w:rFonts w:eastAsia="source serif 4" w:cs="source serif 4" w:ascii="source serif 4" w:hAnsi="source serif 4"/>
          <w:color w:val="000000"/>
          <w:sz w:val="21"/>
        </w:rPr>
        <w:t xml:space="preserve">The document is comparatively thin on controlled vocabulary, governance, ethics, reference instrumentation, data records, decision gates, and staged escalation.</w:t>
      </w:r>
    </w:p>
    <w:p>
      <w:pPr>
        <w:numPr>
          <w:ilvl w:val="0"/>
          <w:numId w:val="2"/>
        </w:numPr>
        <w:spacing w:line="360" w:before="105" w:after="105" w:lineRule="auto"/>
      </w:pPr>
      <w:r>
        <w:rPr>
          <w:rFonts w:eastAsia="source serif 4" w:cs="source serif 4" w:ascii="source serif 4" w:hAnsi="source serif 4"/>
          <w:color w:val="000000"/>
          <w:sz w:val="21"/>
        </w:rPr>
        <w:t xml:space="preserve">“Direct engineering answer” language for Kalman filters, particle filters, and POMDPs is too broad; these are candidate formal tools whose assumptions may not hold for every biological, collective, or non-Markovian entity.</w:t>
      </w:r>
    </w:p>
    <w:p>
      <w:pPr>
        <w:numPr>
          <w:ilvl w:val="0"/>
          <w:numId w:val="2"/>
        </w:numPr>
        <w:spacing w:line="360" w:before="105" w:after="105" w:lineRule="auto"/>
      </w:pPr>
      <w:r>
        <w:rPr>
          <w:rFonts w:eastAsia="source serif 4" w:cs="source serif 4" w:ascii="source serif 4" w:hAnsi="source serif 4"/>
          <w:color w:val="000000"/>
          <w:sz w:val="21"/>
        </w:rPr>
        <w:t xml:space="preserve">Priors, cost functions, hidden-state assumptions, stationarity assumptions, and the observable behavioral signatures of each candidate model need to be declared before the formalism can discriminate mechanisms.</w:t>
      </w:r>
    </w:p>
    <w:p>
      <w:pPr>
        <w:numPr>
          <w:ilvl w:val="0"/>
          <w:numId w:val="2"/>
        </w:numPr>
        <w:spacing w:line="360" w:before="105" w:after="105" w:lineRule="auto"/>
      </w:pPr>
      <w:r>
        <w:rPr>
          <w:rFonts w:eastAsia="source serif 4" w:cs="source serif 4" w:ascii="source serif 4" w:hAnsi="source serif 4"/>
          <w:color w:val="000000"/>
          <w:sz w:val="21"/>
        </w:rPr>
        <w:t xml:space="preserve">The toxin/poison/corrosive domain needs clearer separation between regulatory chemical categories and abstract threat-interaction classes.</w:t>
      </w:r>
    </w:p>
    <w:p>
      <w:pPr>
        <w:numPr>
          <w:ilvl w:val="0"/>
          <w:numId w:val="2"/>
        </w:numPr>
        <w:spacing w:line="360" w:before="105" w:after="105" w:lineRule="auto"/>
      </w:pPr>
      <w:r>
        <w:rPr>
          <w:rFonts w:eastAsia="source serif 4" w:cs="source serif 4" w:ascii="source serif 4" w:hAnsi="source serif 4"/>
          <w:color w:val="000000"/>
          <w:sz w:val="21"/>
        </w:rPr>
        <w:t xml:space="preserve">The missing PDF counterpart should be produced by Claude if dual-format delivery remains a project requirement.</w:t>
      </w:r>
    </w:p>
    <w:p>
      <w:pPr>
        <w:spacing w:line="360" w:after="210" w:lineRule="auto"/>
      </w:pPr>
      <w:r>
        <w:rPr>
          <w:rFonts w:eastAsia="source serif 4" w:cs="source serif 4" w:ascii="source serif 4" w:hAnsi="source serif 4"/>
          <w:color w:val="000000"/>
        </w:rPr>
        <w:t xml:space="preserve">Best role in the program: formal model comparison, identifiability analysis, and hypothesis falsification.</w:t>
      </w:r>
    </w:p>
    <w:p>
      <w:pPr>
        <w:spacing w:line="360" w:before="315" w:after="105" w:lineRule="auto"/>
        <w:ind w:left="-30"/>
        <w:jc w:val="left"/>
      </w:pPr>
      <w:bookmarkStart w:id="10" w:name="perplexity_ai"/>
      <w:r>
        <w:rPr>
          <w:rFonts w:eastAsia="source serif 4" w:cs="source serif 4" w:ascii="source serif 4" w:hAnsi="source serif 4"/>
          <w:b/>
          <w:color w:val="000000"/>
          <w:sz w:val="24"/>
        </w:rPr>
        <w:t xml:space="preserve">Perplexity AI</w:t>
      </w:r>
      <w:bookmarkEnd w:id="10"/>
    </w:p>
    <w:p>
      <w:pPr>
        <w:spacing w:line="360" w:after="210" w:lineRule="auto"/>
      </w:pPr>
      <w:r>
        <w:rPr>
          <w:rFonts w:eastAsia="source serif 4" w:cs="source serif 4" w:ascii="source serif 4" w:hAnsi="source serif 4"/>
          <w:color w:val="000000"/>
        </w:rPr>
        <w:t xml:space="preserve">Perplexity’s document is the most complete program-level design basis. It supplies document control, safety boundaries, ontology, foundational propositions, primary and secondary hypotheses, research questions, sensorium profiles, a staged program, experiment families, a factor matrix, measures, alternative analyses, chemical boundaries, governance roles, decision gates, acceptance criteria, and traceability.[^2]</w:t>
      </w:r>
    </w:p>
    <w:p>
      <w:pPr>
        <w:spacing w:line="360" w:after="210" w:lineRule="auto"/>
      </w:pPr>
      <w:r>
        <w:rPr>
          <w:rFonts w:eastAsia="source serif 4" w:cs="source serif 4" w:ascii="source serif 4" w:hAnsi="source serif 4"/>
          <w:color w:val="000000"/>
        </w:rPr>
        <w:t xml:space="preserve">Its most valuable judgment is that the umbrella program should concern threat discernment and state integrity, with poison/toxin/corrosive work treated as an application domain rather than allowing one hazard class to define the whole ontology. Its distinction between environmental characterization and entity discernment is especially important because cues, exposure, harm, and response can dissociate.[^2]</w:t>
      </w:r>
    </w:p>
    <w:p>
      <w:pPr>
        <w:spacing w:line="360" w:after="210" w:lineRule="auto"/>
      </w:pPr>
      <w:r>
        <w:rPr>
          <w:rFonts w:eastAsia="source serif 4" w:cs="source serif 4" w:ascii="source serif 4" w:hAnsi="source serif 4"/>
          <w:color w:val="000000"/>
        </w:rPr>
        <w:t xml:space="preserve">What should be retained:</w:t>
      </w:r>
    </w:p>
    <w:p>
      <w:pPr>
        <w:numPr>
          <w:ilvl w:val="0"/>
          <w:numId w:val="3"/>
        </w:numPr>
        <w:spacing w:line="360" w:before="105" w:after="105" w:lineRule="auto"/>
      </w:pPr>
      <w:r>
        <w:rPr>
          <w:rFonts w:eastAsia="source serif 4" w:cs="source serif 4" w:ascii="source serif 4" w:hAnsi="source serif 4"/>
          <w:color w:val="000000"/>
          <w:sz w:val="21"/>
        </w:rPr>
        <w:t xml:space="preserve">The layered ontology distinguishing stressor, hazard, exposure, threat, risk, and harm.</w:t>
      </w:r>
    </w:p>
    <w:p>
      <w:pPr>
        <w:numPr>
          <w:ilvl w:val="0"/>
          <w:numId w:val="3"/>
        </w:numPr>
        <w:spacing w:line="360" w:before="105" w:after="105" w:lineRule="auto"/>
      </w:pPr>
      <w:r>
        <w:rPr>
          <w:rFonts w:eastAsia="source serif 4" w:cs="source serif 4" w:ascii="source serif 4" w:hAnsi="source serif 4"/>
          <w:color w:val="000000"/>
          <w:sz w:val="21"/>
        </w:rPr>
        <w:t xml:space="preserve">The entity-specific sensorium profile.</w:t>
      </w:r>
    </w:p>
    <w:p>
      <w:pPr>
        <w:numPr>
          <w:ilvl w:val="0"/>
          <w:numId w:val="3"/>
        </w:numPr>
        <w:spacing w:line="360" w:before="105" w:after="105" w:lineRule="auto"/>
      </w:pPr>
      <w:r>
        <w:rPr>
          <w:rFonts w:eastAsia="source serif 4" w:cs="source serif 4" w:ascii="source serif 4" w:hAnsi="source serif 4"/>
          <w:color w:val="000000"/>
          <w:sz w:val="21"/>
        </w:rPr>
        <w:t xml:space="preserve">The staged escalation sequence and decision gates.</w:t>
      </w:r>
    </w:p>
    <w:p>
      <w:pPr>
        <w:numPr>
          <w:ilvl w:val="0"/>
          <w:numId w:val="3"/>
        </w:numPr>
        <w:spacing w:line="360" w:before="105" w:after="105" w:lineRule="auto"/>
      </w:pPr>
      <w:r>
        <w:rPr>
          <w:rFonts w:eastAsia="source serif 4" w:cs="source serif 4" w:ascii="source serif 4" w:hAnsi="source serif 4"/>
          <w:color w:val="000000"/>
          <w:sz w:val="21"/>
        </w:rPr>
        <w:t xml:space="preserve">The requirement for at least two plausible explanations and predeclared discriminating predictions.</w:t>
      </w:r>
    </w:p>
    <w:p>
      <w:pPr>
        <w:numPr>
          <w:ilvl w:val="0"/>
          <w:numId w:val="3"/>
        </w:numPr>
        <w:spacing w:line="360" w:before="105" w:after="105" w:lineRule="auto"/>
      </w:pPr>
      <w:r>
        <w:rPr>
          <w:rFonts w:eastAsia="source serif 4" w:cs="source serif 4" w:ascii="source serif 4" w:hAnsi="source serif 4"/>
          <w:color w:val="000000"/>
          <w:sz w:val="21"/>
        </w:rPr>
        <w:t xml:space="preserve">Separate measures for detectability, calibration, temporal integrity, map quality, decision quality, learning, and robustness.</w:t>
      </w:r>
    </w:p>
    <w:p>
      <w:pPr>
        <w:numPr>
          <w:ilvl w:val="0"/>
          <w:numId w:val="3"/>
        </w:numPr>
        <w:spacing w:line="360" w:before="105" w:after="105" w:lineRule="auto"/>
      </w:pPr>
      <w:r>
        <w:rPr>
          <w:rFonts w:eastAsia="source serif 4" w:cs="source serif 4" w:ascii="source serif 4" w:hAnsi="source serif 4"/>
          <w:color w:val="000000"/>
          <w:sz w:val="21"/>
        </w:rPr>
        <w:t xml:space="preserve">The traceability matrix and approval record.</w:t>
      </w:r>
    </w:p>
    <w:p>
      <w:pPr>
        <w:spacing w:line="360" w:after="210" w:lineRule="auto"/>
      </w:pPr>
      <w:r>
        <w:rPr>
          <w:rFonts w:eastAsia="source serif 4" w:cs="source serif 4" w:ascii="source serif 4" w:hAnsi="source serif 4"/>
          <w:color w:val="000000"/>
        </w:rPr>
        <w:t xml:space="preserve">What needs revision or restraint:</w:t>
      </w:r>
    </w:p>
    <w:p>
      <w:pPr>
        <w:numPr>
          <w:ilvl w:val="0"/>
          <w:numId w:val="4"/>
        </w:numPr>
        <w:spacing w:line="360" w:before="105" w:after="105" w:lineRule="auto"/>
      </w:pPr>
      <w:r>
        <w:rPr>
          <w:rFonts w:eastAsia="source serif 4" w:cs="source serif 4" w:ascii="source serif 4" w:hAnsi="source serif 4"/>
          <w:color w:val="000000"/>
          <w:sz w:val="21"/>
        </w:rPr>
        <w:t xml:space="preserve">The document is broad enough to become a de facto master specification before the Architect has adopted its decisions. It should remain a candidate design basis, not silently become the controlling document through completeness alone.</w:t>
      </w:r>
    </w:p>
    <w:p>
      <w:pPr>
        <w:numPr>
          <w:ilvl w:val="0"/>
          <w:numId w:val="4"/>
        </w:numPr>
        <w:spacing w:line="360" w:before="105" w:after="105" w:lineRule="auto"/>
      </w:pPr>
      <w:r>
        <w:rPr>
          <w:rFonts w:eastAsia="source serif 4" w:cs="source serif 4" w:ascii="source serif 4" w:hAnsi="source serif 4"/>
          <w:color w:val="000000"/>
          <w:sz w:val="21"/>
        </w:rPr>
        <w:t xml:space="preserve">The metadata statement that it “supersedes” initial notes and unsynchronized drafts is too strong for an independent contribution. It should say that it consolidates its own analysis while preserving the originating statements and sibling documents as independent records.</w:t>
      </w:r>
    </w:p>
    <w:p>
      <w:pPr>
        <w:numPr>
          <w:ilvl w:val="0"/>
          <w:numId w:val="4"/>
        </w:numPr>
        <w:spacing w:line="360" w:before="105" w:after="105" w:lineRule="auto"/>
      </w:pPr>
      <w:r>
        <w:rPr>
          <w:rFonts w:eastAsia="source serif 4" w:cs="source serif 4" w:ascii="source serif 4" w:hAnsi="source serif 4"/>
          <w:color w:val="000000"/>
          <w:sz w:val="21"/>
        </w:rPr>
        <w:t xml:space="preserve">The primary hypothesis combines many factors and may be difficult to falsify as a unit. The secondary hypotheses are more experimentally useful and should carry more weight.</w:t>
      </w:r>
    </w:p>
    <w:p>
      <w:pPr>
        <w:numPr>
          <w:ilvl w:val="0"/>
          <w:numId w:val="4"/>
        </w:numPr>
        <w:spacing w:line="360" w:before="105" w:after="105" w:lineRule="auto"/>
      </w:pPr>
      <w:r>
        <w:rPr>
          <w:rFonts w:eastAsia="source serif 4" w:cs="source serif 4" w:ascii="source serif 4" w:hAnsi="source serif 4"/>
          <w:color w:val="000000"/>
          <w:sz w:val="21"/>
        </w:rPr>
        <w:t xml:space="preserve">The numbering of the minimal reconciliation cycle begins at 9, and the immediate owner questions begin at 17; these appear to be formatting or list-continuation errors that should be corrected in the next version.[^2]</w:t>
      </w:r>
    </w:p>
    <w:p>
      <w:pPr>
        <w:numPr>
          <w:ilvl w:val="0"/>
          <w:numId w:val="4"/>
        </w:numPr>
        <w:spacing w:line="360" w:before="105" w:after="105" w:lineRule="auto"/>
      </w:pPr>
      <w:r>
        <w:rPr>
          <w:rFonts w:eastAsia="source serif 4" w:cs="source serif 4" w:ascii="source serif 4" w:hAnsi="source serif 4"/>
          <w:color w:val="000000"/>
          <w:sz w:val="21"/>
        </w:rPr>
        <w:t xml:space="preserve">Evidence notes are helpful, but cited scientific or regulatory sources should be independently verified during protocol development rather than inherited as authority from the foundation.</w:t>
      </w:r>
    </w:p>
    <w:p>
      <w:pPr>
        <w:numPr>
          <w:ilvl w:val="0"/>
          <w:numId w:val="4"/>
        </w:numPr>
        <w:spacing w:line="360" w:before="105" w:after="105" w:lineRule="auto"/>
      </w:pPr>
      <w:r>
        <w:rPr>
          <w:rFonts w:eastAsia="source serif 4" w:cs="source serif 4" w:ascii="source serif 4" w:hAnsi="source serif 4"/>
          <w:color w:val="000000"/>
          <w:sz w:val="21"/>
        </w:rPr>
        <w:t xml:space="preserve">The missing PDF counterpart should be issued by Perplexity if dual-format delivery remains required.</w:t>
      </w:r>
    </w:p>
    <w:p>
      <w:pPr>
        <w:spacing w:line="360" w:after="210" w:lineRule="auto"/>
      </w:pPr>
      <w:r>
        <w:rPr>
          <w:rFonts w:eastAsia="source serif 4" w:cs="source serif 4" w:ascii="source serif 4" w:hAnsi="source serif 4"/>
          <w:color w:val="000000"/>
        </w:rPr>
        <w:t xml:space="preserve">Best role in the program: program architecture, requirements traceability, safety escalation, and decision-gate control.</w:t>
      </w:r>
    </w:p>
    <w:p>
      <w:pPr>
        <w:spacing w:line="360" w:before="315" w:after="105" w:lineRule="auto"/>
        <w:ind w:left="-30"/>
        <w:jc w:val="left"/>
      </w:pPr>
      <w:bookmarkStart w:id="11" w:name="grok"/>
      <w:r>
        <w:rPr>
          <w:rFonts w:eastAsia="source serif 4" w:cs="source serif 4" w:ascii="source serif 4" w:hAnsi="source serif 4"/>
          <w:b/>
          <w:color w:val="000000"/>
          <w:sz w:val="24"/>
        </w:rPr>
        <w:t xml:space="preserve">Grok</w:t>
      </w:r>
      <w:bookmarkEnd w:id="11"/>
    </w:p>
    <w:p>
      <w:pPr>
        <w:spacing w:line="360" w:after="210" w:lineRule="auto"/>
      </w:pPr>
      <w:r>
        <w:rPr>
          <w:rFonts w:eastAsia="source serif 4" w:cs="source serif 4" w:ascii="source serif 4" w:hAnsi="source serif 4"/>
          <w:color w:val="000000"/>
        </w:rPr>
        <w:t xml:space="preserve">Grok’s document is strongest as a governance-aware conceptual charter. Its three-register model—Presentation, Environment, and Entity-State—gives the project a clear vocabulary for the original tripartite discrepancy, while the Entity Integrity Criterion forces “harm” and “threat” to be defined relative to a declared trial-level standard.[^1]</w:t>
      </w:r>
    </w:p>
    <w:p>
      <w:pPr>
        <w:spacing w:line="360" w:after="210" w:lineRule="auto"/>
      </w:pPr>
      <w:r>
        <w:rPr>
          <w:rFonts w:eastAsia="source serif 4" w:cs="source serif 4" w:ascii="source serif 4" w:hAnsi="source serif 4"/>
          <w:color w:val="000000"/>
        </w:rPr>
        <w:t xml:space="preserve">Its recommendation to preserve independent drafts and create a human-edited dissent log is methodologically sound. The negative-space register, cost-structure swap, laboratory-as-observer audit, and counterfactual-architecture tests are also valuable alternative-analysis mechanisms.[^1]</w:t>
      </w:r>
    </w:p>
    <w:p>
      <w:pPr>
        <w:spacing w:line="360" w:after="210" w:lineRule="auto"/>
      </w:pPr>
      <w:r>
        <w:rPr>
          <w:rFonts w:eastAsia="source serif 4" w:cs="source serif 4" w:ascii="source serif 4" w:hAnsi="source serif 4"/>
          <w:color w:val="000000"/>
        </w:rPr>
        <w:t xml:space="preserve">What should be retained:</w:t>
      </w:r>
    </w:p>
    <w:p>
      <w:pPr>
        <w:numPr>
          <w:ilvl w:val="0"/>
          <w:numId w:val="5"/>
        </w:numPr>
        <w:spacing w:line="360" w:before="105" w:after="105" w:lineRule="auto"/>
      </w:pPr>
      <w:r>
        <w:rPr>
          <w:rFonts w:eastAsia="source serif 4" w:cs="source serif 4" w:ascii="source serif 4" w:hAnsi="source serif 4"/>
          <w:color w:val="000000"/>
          <w:sz w:val="21"/>
        </w:rPr>
        <w:t xml:space="preserve">The three-register vocabulary as a descriptive bookkeeping system.</w:t>
      </w:r>
    </w:p>
    <w:p>
      <w:pPr>
        <w:numPr>
          <w:ilvl w:val="0"/>
          <w:numId w:val="5"/>
        </w:numPr>
        <w:spacing w:line="360" w:before="105" w:after="105" w:lineRule="auto"/>
      </w:pPr>
      <w:r>
        <w:rPr>
          <w:rFonts w:eastAsia="source serif 4" w:cs="source serif 4" w:ascii="source serif 4" w:hAnsi="source serif 4"/>
          <w:color w:val="000000"/>
          <w:sz w:val="21"/>
        </w:rPr>
        <w:t xml:space="preserve">The Entity Integrity Criterion or an equivalent protected-variable declaration.</w:t>
      </w:r>
    </w:p>
    <w:p>
      <w:pPr>
        <w:numPr>
          <w:ilvl w:val="0"/>
          <w:numId w:val="5"/>
        </w:numPr>
        <w:spacing w:line="360" w:before="105" w:after="105" w:lineRule="auto"/>
      </w:pPr>
      <w:r>
        <w:rPr>
          <w:rFonts w:eastAsia="source serif 4" w:cs="source serif 4" w:ascii="source serif 4" w:hAnsi="source serif 4"/>
          <w:color w:val="000000"/>
          <w:sz w:val="21"/>
        </w:rPr>
        <w:t xml:space="preserve">The distinction between a metaphysically open threat domain and a bounded experimental domain.</w:t>
      </w:r>
    </w:p>
    <w:p>
      <w:pPr>
        <w:numPr>
          <w:ilvl w:val="0"/>
          <w:numId w:val="5"/>
        </w:numPr>
        <w:spacing w:line="360" w:before="105" w:after="105" w:lineRule="auto"/>
      </w:pPr>
      <w:r>
        <w:rPr>
          <w:rFonts w:eastAsia="source serif 4" w:cs="source serif 4" w:ascii="source serif 4" w:hAnsi="source serif 4"/>
          <w:color w:val="000000"/>
          <w:sz w:val="21"/>
        </w:rPr>
        <w:t xml:space="preserve">The negative-space register.</w:t>
      </w:r>
    </w:p>
    <w:p>
      <w:pPr>
        <w:numPr>
          <w:ilvl w:val="0"/>
          <w:numId w:val="5"/>
        </w:numPr>
        <w:spacing w:line="360" w:before="105" w:after="105" w:lineRule="auto"/>
      </w:pPr>
      <w:r>
        <w:rPr>
          <w:rFonts w:eastAsia="source serif 4" w:cs="source serif 4" w:ascii="source serif 4" w:hAnsi="source serif 4"/>
          <w:color w:val="000000"/>
          <w:sz w:val="21"/>
        </w:rPr>
        <w:t xml:space="preserve">The rule that no document becomes canon because it is longer, earlier, or preferred during one review.</w:t>
      </w:r>
    </w:p>
    <w:p>
      <w:pPr>
        <w:numPr>
          <w:ilvl w:val="0"/>
          <w:numId w:val="5"/>
        </w:numPr>
        <w:spacing w:line="360" w:before="105" w:after="105" w:lineRule="auto"/>
      </w:pPr>
      <w:r>
        <w:rPr>
          <w:rFonts w:eastAsia="source serif 4" w:cs="source serif 4" w:ascii="source serif 4" w:hAnsi="source serif 4"/>
          <w:color w:val="000000"/>
          <w:sz w:val="21"/>
        </w:rPr>
        <w:t xml:space="preserve">The recommendation that a human, not a default model, own consolidation and dissent decisions.</w:t>
      </w:r>
    </w:p>
    <w:p>
      <w:pPr>
        <w:spacing w:line="360" w:after="210" w:lineRule="auto"/>
      </w:pPr>
      <w:r>
        <w:rPr>
          <w:rFonts w:eastAsia="source serif 4" w:cs="source serif 4" w:ascii="source serif 4" w:hAnsi="source serif 4"/>
          <w:color w:val="000000"/>
        </w:rPr>
        <w:t xml:space="preserve">What needs revision or expansion:</w:t>
      </w:r>
    </w:p>
    <w:p>
      <w:pPr>
        <w:numPr>
          <w:ilvl w:val="0"/>
          <w:numId w:val="6"/>
        </w:numPr>
        <w:spacing w:line="360" w:before="105" w:after="105" w:lineRule="auto"/>
      </w:pPr>
      <w:r>
        <w:rPr>
          <w:rFonts w:eastAsia="source serif 4" w:cs="source serif 4" w:ascii="source serif 4" w:hAnsi="source serif 4"/>
          <w:color w:val="000000"/>
          <w:sz w:val="21"/>
        </w:rPr>
        <w:t xml:space="preserve">The three registers describe where information is represented but do not by themselves explain how transitions occur. Copilot’s interface properties and Claude’s update hypotheses expose this limitation.</w:t>
      </w:r>
    </w:p>
    <w:p>
      <w:pPr>
        <w:numPr>
          <w:ilvl w:val="0"/>
          <w:numId w:val="6"/>
        </w:numPr>
        <w:spacing w:line="360" w:before="105" w:after="105" w:lineRule="auto"/>
      </w:pPr>
      <w:r>
        <w:rPr>
          <w:rFonts w:eastAsia="source serif 4" w:cs="source serif 4" w:ascii="source serif 4" w:hAnsi="source serif 4"/>
          <w:color w:val="000000"/>
          <w:sz w:val="21"/>
        </w:rPr>
        <w:t xml:space="preserve">The definitions of poison, toxin, and corrosive are useful as proposed interaction classes but do not consistently match conventional toxicological or regulatory usage. They should be labeled explicitly as OAL experimental abstractions, while a separate standards-aligned glossary governs any chemical work.</w:t>
      </w:r>
    </w:p>
    <w:p>
      <w:pPr>
        <w:numPr>
          <w:ilvl w:val="0"/>
          <w:numId w:val="6"/>
        </w:numPr>
        <w:spacing w:line="360" w:before="105" w:after="105" w:lineRule="auto"/>
      </w:pPr>
      <w:r>
        <w:rPr>
          <w:rFonts w:eastAsia="source serif 4" w:cs="source serif 4" w:ascii="source serif 4" w:hAnsi="source serif 4"/>
          <w:color w:val="000000"/>
          <w:sz w:val="21"/>
        </w:rPr>
        <w:t xml:space="preserve">The document offers little external evidence for its scientific assertions. It functions well as a charter but not yet as an evidence-supported design basis.</w:t>
      </w:r>
    </w:p>
    <w:p>
      <w:pPr>
        <w:numPr>
          <w:ilvl w:val="0"/>
          <w:numId w:val="6"/>
        </w:numPr>
        <w:spacing w:line="360" w:before="105" w:after="105" w:lineRule="auto"/>
      </w:pPr>
      <w:r>
        <w:rPr>
          <w:rFonts w:eastAsia="source serif 4" w:cs="source serif 4" w:ascii="source serif 4" w:hAnsi="source serif 4"/>
          <w:color w:val="000000"/>
          <w:sz w:val="21"/>
        </w:rPr>
        <w:t xml:space="preserve">Pass/fail rules, reference instrumentation, statistical design, calibration methods, and advancement thresholds remain underdeveloped.</w:t>
      </w:r>
    </w:p>
    <w:p>
      <w:pPr>
        <w:numPr>
          <w:ilvl w:val="0"/>
          <w:numId w:val="6"/>
        </w:numPr>
        <w:spacing w:line="360" w:before="105" w:after="105" w:lineRule="auto"/>
      </w:pPr>
      <w:r>
        <w:rPr>
          <w:rFonts w:eastAsia="source serif 4" w:cs="source serif 4" w:ascii="source serif 4" w:hAnsi="source serif 4"/>
          <w:color w:val="000000"/>
          <w:sz w:val="21"/>
        </w:rPr>
        <w:t xml:space="preserve">The metadata states that a companion PDF was issued, but no Grok PDF was included in the supplied set. The record should distinguish “claimed generated,” “delivered,” and “verified present.”</w:t>
      </w:r>
    </w:p>
    <w:p>
      <w:pPr>
        <w:spacing w:line="360" w:after="210" w:lineRule="auto"/>
      </w:pPr>
      <w:r>
        <w:rPr>
          <w:rFonts w:eastAsia="source serif 4" w:cs="source serif 4" w:ascii="source serif 4" w:hAnsi="source serif 4"/>
          <w:color w:val="000000"/>
        </w:rPr>
        <w:t xml:space="preserve">Best role in the program: governance, register discipline, protected-variable declaration, and dissent preservation.</w:t>
      </w:r>
    </w:p>
    <w:p>
      <w:pPr>
        <w:spacing w:line="360" w:before="315" w:after="105" w:lineRule="auto"/>
        <w:ind w:left="-30"/>
        <w:jc w:val="left"/>
      </w:pPr>
      <w:bookmarkStart w:id="12" w:name="chatgpt"/>
      <w:r>
        <w:rPr>
          <w:rFonts w:eastAsia="source serif 4" w:cs="source serif 4" w:ascii="source serif 4" w:hAnsi="source serif 4"/>
          <w:b/>
          <w:color w:val="000000"/>
          <w:sz w:val="24"/>
        </w:rPr>
        <w:t xml:space="preserve">ChatGPT</w:t>
      </w:r>
      <w:bookmarkEnd w:id="12"/>
    </w:p>
    <w:p>
      <w:pPr>
        <w:spacing w:line="360" w:after="210" w:lineRule="auto"/>
      </w:pPr>
      <w:r>
        <w:rPr>
          <w:rFonts w:eastAsia="source serif 4" w:cs="source serif 4" w:ascii="source serif 4" w:hAnsi="source serif 4"/>
          <w:color w:val="000000"/>
        </w:rPr>
        <w:t xml:space="preserve">ChatGPT provides the strongest integrated connection between the original questions and an executable simulation campaign. Its functional architecture avoids treating the pipeline as strictly serial, and its threat-discernibility states distinguish threat presence from evidence availability, entity access, temporal availability, misleading presentation, actionability, and unknown reference-model omissions.[^4]</w:t>
      </w:r>
    </w:p>
    <w:p>
      <w:pPr>
        <w:spacing w:line="360" w:after="210" w:lineRule="auto"/>
      </w:pPr>
      <w:r>
        <w:rPr>
          <w:rFonts w:eastAsia="source serif 4" w:cs="source serif 4" w:ascii="source serif 4" w:hAnsi="source serif 4"/>
          <w:color w:val="000000"/>
        </w:rPr>
        <w:t xml:space="preserve">The minimum event record is particularly useful. It specifies entity and environment versions, viability criterion, threat state and pathway, discernibility class, sensorium configuration, multiple timestamps, presentation provenance, internal state, confidence, action, outcome, reference channels, integrity flags, alternative explanations, and reviewer disposition.[^4]</w:t>
      </w:r>
    </w:p>
    <w:p>
      <w:pPr>
        <w:spacing w:line="360" w:after="210" w:lineRule="auto"/>
      </w:pPr>
      <w:r>
        <w:rPr>
          <w:rFonts w:eastAsia="source serif 4" w:cs="source serif 4" w:ascii="source serif 4" w:hAnsi="source serif 4"/>
          <w:color w:val="000000"/>
        </w:rPr>
        <w:t xml:space="preserve">Its distinct “threat non-minimization” doctrine is a valuable corrective: relational or uncertain language must not euphemize a supported high-consequence threat. However, the doctrine must be paired with equally strong controls against threat inflation, which the document itself lists as a failure mode.[^4]</w:t>
      </w:r>
    </w:p>
    <w:p>
      <w:pPr>
        <w:spacing w:line="360" w:after="210" w:lineRule="auto"/>
      </w:pPr>
      <w:r>
        <w:rPr>
          <w:rFonts w:eastAsia="source serif 4" w:cs="source serif 4" w:ascii="source serif 4" w:hAnsi="source serif 4"/>
          <w:color w:val="000000"/>
        </w:rPr>
        <w:t xml:space="preserve">What should be retained:</w:t>
      </w:r>
    </w:p>
    <w:p>
      <w:pPr>
        <w:numPr>
          <w:ilvl w:val="0"/>
          <w:numId w:val="7"/>
        </w:numPr>
        <w:spacing w:line="360" w:before="105" w:after="105" w:lineRule="auto"/>
      </w:pPr>
      <w:r>
        <w:rPr>
          <w:rFonts w:eastAsia="source serif 4" w:cs="source serif 4" w:ascii="source serif 4" w:hAnsi="source serif 4"/>
          <w:color w:val="000000"/>
          <w:sz w:val="21"/>
        </w:rPr>
        <w:t xml:space="preserve">Threat-discernibility classes T0–T8 as a candidate reporting taxonomy.</w:t>
      </w:r>
    </w:p>
    <w:p>
      <w:pPr>
        <w:numPr>
          <w:ilvl w:val="0"/>
          <w:numId w:val="7"/>
        </w:numPr>
        <w:spacing w:line="360" w:before="105" w:after="105" w:lineRule="auto"/>
      </w:pPr>
      <w:r>
        <w:rPr>
          <w:rFonts w:eastAsia="source serif 4" w:cs="source serif 4" w:ascii="source serif 4" w:hAnsi="source serif 4"/>
          <w:color w:val="000000"/>
          <w:sz w:val="21"/>
        </w:rPr>
        <w:t xml:space="preserve">Functional rather than strictly serial architecture.</w:t>
      </w:r>
    </w:p>
    <w:p>
      <w:pPr>
        <w:numPr>
          <w:ilvl w:val="0"/>
          <w:numId w:val="7"/>
        </w:numPr>
        <w:spacing w:line="360" w:before="105" w:after="105" w:lineRule="auto"/>
      </w:pPr>
      <w:r>
        <w:rPr>
          <w:rFonts w:eastAsia="source serif 4" w:cs="source serif 4" w:ascii="source serif 4" w:hAnsi="source serif 4"/>
          <w:color w:val="000000"/>
          <w:sz w:val="21"/>
        </w:rPr>
        <w:t xml:space="preserve">The minimum event record.</w:t>
      </w:r>
    </w:p>
    <w:p>
      <w:pPr>
        <w:numPr>
          <w:ilvl w:val="0"/>
          <w:numId w:val="7"/>
        </w:numPr>
        <w:spacing w:line="360" w:before="105" w:after="105" w:lineRule="auto"/>
      </w:pPr>
      <w:r>
        <w:rPr>
          <w:rFonts w:eastAsia="source serif 4" w:cs="source serif 4" w:ascii="source serif 4" w:hAnsi="source serif 4"/>
          <w:color w:val="000000"/>
          <w:sz w:val="21"/>
        </w:rPr>
        <w:t xml:space="preserve">Reference-state corruption trials.</w:t>
      </w:r>
    </w:p>
    <w:p>
      <w:pPr>
        <w:numPr>
          <w:ilvl w:val="0"/>
          <w:numId w:val="7"/>
        </w:numPr>
        <w:spacing w:line="360" w:before="105" w:after="105" w:lineRule="auto"/>
      </w:pPr>
      <w:r>
        <w:rPr>
          <w:rFonts w:eastAsia="source serif 4" w:cs="source serif 4" w:ascii="source serif 4" w:hAnsi="source serif 4"/>
          <w:color w:val="000000"/>
          <w:sz w:val="21"/>
        </w:rPr>
        <w:t xml:space="preserve">Separation of strict temporal aliasing from broader temporal-integrity failures.</w:t>
      </w:r>
    </w:p>
    <w:p>
      <w:pPr>
        <w:numPr>
          <w:ilvl w:val="0"/>
          <w:numId w:val="7"/>
        </w:numPr>
        <w:spacing w:line="360" w:before="105" w:after="105" w:lineRule="auto"/>
      </w:pPr>
      <w:r>
        <w:rPr>
          <w:rFonts w:eastAsia="source serif 4" w:cs="source serif 4" w:ascii="source serif 4" w:hAnsi="source serif 4"/>
          <w:color w:val="000000"/>
          <w:sz w:val="21"/>
        </w:rPr>
        <w:t xml:space="preserve">The paired rules against threat dilution and threat inflation.</w:t>
      </w:r>
    </w:p>
    <w:p>
      <w:pPr>
        <w:spacing w:line="360" w:after="210" w:lineRule="auto"/>
      </w:pPr>
      <w:r>
        <w:rPr>
          <w:rFonts w:eastAsia="source serif 4" w:cs="source serif 4" w:ascii="source serif 4" w:hAnsi="source serif 4"/>
          <w:color w:val="000000"/>
        </w:rPr>
        <w:t xml:space="preserve">What needs revision or clarification:</w:t>
      </w:r>
    </w:p>
    <w:p>
      <w:pPr>
        <w:numPr>
          <w:ilvl w:val="0"/>
          <w:numId w:val="8"/>
        </w:numPr>
        <w:spacing w:line="360" w:before="105" w:after="105" w:lineRule="auto"/>
      </w:pPr>
      <w:r>
        <w:rPr>
          <w:rFonts w:eastAsia="source serif 4" w:cs="source serif 4" w:ascii="source serif 4" w:hAnsi="source serif 4"/>
          <w:color w:val="000000"/>
          <w:sz w:val="21"/>
        </w:rPr>
        <w:t xml:space="preserve">The document imports prior ChatGPT Presentation-State Integrity and Temporal Integrity frameworks, but those dependencies were not part of this review set. Either attach and version-lock them or restate only the minimum required definitions so the foundation remains independently auditable.</w:t>
      </w:r>
    </w:p>
    <w:p>
      <w:pPr>
        <w:numPr>
          <w:ilvl w:val="0"/>
          <w:numId w:val="8"/>
        </w:numPr>
        <w:spacing w:line="360" w:before="105" w:after="105" w:lineRule="auto"/>
      </w:pPr>
      <w:r>
        <w:rPr>
          <w:rFonts w:eastAsia="source serif 4" w:cs="source serif 4" w:ascii="source serif 4" w:hAnsi="source serif 4"/>
          <w:color w:val="000000"/>
          <w:sz w:val="21"/>
        </w:rPr>
        <w:t xml:space="preserve">The semantic threat-minimization hypothesis is easiest to test in reporting, interface, organizational, or artificial-agent layers. Its applicability to organisms without symbolic labels must be scoped carefully.</w:t>
      </w:r>
    </w:p>
    <w:p>
      <w:pPr>
        <w:numPr>
          <w:ilvl w:val="0"/>
          <w:numId w:val="8"/>
        </w:numPr>
        <w:spacing w:line="360" w:before="105" w:after="105" w:lineRule="auto"/>
      </w:pPr>
      <w:r>
        <w:rPr>
          <w:rFonts w:eastAsia="source serif 4" w:cs="source serif 4" w:ascii="source serif 4" w:hAnsi="source serif 4"/>
          <w:color w:val="000000"/>
          <w:sz w:val="21"/>
        </w:rPr>
        <w:t xml:space="preserve">“Full programmed state” is defensible inside a simulation but should be called the programmed latent state, not generalized as real-world ground truth.</w:t>
      </w:r>
    </w:p>
    <w:p>
      <w:pPr>
        <w:numPr>
          <w:ilvl w:val="0"/>
          <w:numId w:val="8"/>
        </w:numPr>
        <w:spacing w:line="360" w:before="105" w:after="105" w:lineRule="auto"/>
      </w:pPr>
      <w:r>
        <w:rPr>
          <w:rFonts w:eastAsia="source serif 4" w:cs="source serif 4" w:ascii="source serif 4" w:hAnsi="source serif 4"/>
          <w:color w:val="000000"/>
          <w:sz w:val="21"/>
        </w:rPr>
        <w:t xml:space="preserve">The source register states that a supplied Copilot attachment concerned a separate Tridactyl project, whereas the current corpus includes a later environmental-sensing Copilot foundation. This is a chronology/dependency issue, not necessarily an error, but the next version should distinguish which Copilot artifact was available at drafting time.</w:t>
      </w:r>
    </w:p>
    <w:p>
      <w:pPr>
        <w:numPr>
          <w:ilvl w:val="0"/>
          <w:numId w:val="8"/>
        </w:numPr>
        <w:spacing w:line="360" w:before="105" w:after="105" w:lineRule="auto"/>
      </w:pPr>
      <w:r>
        <w:rPr>
          <w:rFonts w:eastAsia="source serif 4" w:cs="source serif 4" w:ascii="source serif 4" w:hAnsi="source serif 4"/>
          <w:color w:val="000000"/>
          <w:sz w:val="21"/>
        </w:rPr>
        <w:t xml:space="preserve">A DOCX counterpart should be produced by ChatGPT if dual-format delivery remains required.</w:t>
      </w:r>
    </w:p>
    <w:p>
      <w:pPr>
        <w:spacing w:line="360" w:after="210" w:lineRule="auto"/>
      </w:pPr>
      <w:r>
        <w:rPr>
          <w:rFonts w:eastAsia="source serif 4" w:cs="source serif 4" w:ascii="source serif 4" w:hAnsi="source serif 4"/>
          <w:color w:val="000000"/>
        </w:rPr>
        <w:t xml:space="preserve">Best role in the program: integrated simulation design, event schema, threat-discernibility reporting, and red-team conditions.</w:t>
      </w:r>
    </w:p>
    <w:p>
      <w:pPr>
        <w:spacing w:line="360" w:before="315" w:after="105" w:lineRule="auto"/>
        <w:ind w:left="-30"/>
        <w:jc w:val="left"/>
      </w:pPr>
      <w:bookmarkStart w:id="13" w:name="microsoft_copilot"/>
      <w:r>
        <w:rPr>
          <w:rFonts w:eastAsia="source serif 4" w:cs="source serif 4" w:ascii="source serif 4" w:hAnsi="source serif 4"/>
          <w:b/>
          <w:color w:val="000000"/>
          <w:sz w:val="24"/>
        </w:rPr>
        <w:t xml:space="preserve">Microsoft Copilot</w:t>
      </w:r>
      <w:bookmarkEnd w:id="13"/>
    </w:p>
    <w:p>
      <w:pPr>
        <w:spacing w:line="360" w:after="210" w:lineRule="auto"/>
      </w:pPr>
      <w:r>
        <w:rPr>
          <w:rFonts w:eastAsia="source serif 4" w:cs="source serif 4" w:ascii="source serif 4" w:hAnsi="source serif 4"/>
          <w:color w:val="000000"/>
        </w:rPr>
        <w:t xml:space="preserve">Copilot makes the most distinctive architectural contribution. Its Interface Contract Architecture decomposes every information handoff into coverage, fidelity, latency, provenance, and integrity, and it applies the same audit to the laboratory’s sensors, presentation apparatus, clocks, and reference systems.[^5]</w:t>
      </w:r>
    </w:p>
    <w:p>
      <w:pPr>
        <w:spacing w:line="360" w:after="210" w:lineRule="auto"/>
      </w:pPr>
      <w:r>
        <w:rPr>
          <w:rFonts w:eastAsia="source serif 4" w:cs="source serif 4" w:ascii="source serif 4" w:hAnsi="source serif 4"/>
          <w:color w:val="000000"/>
        </w:rPr>
        <w:t xml:space="preserve">The central insight—that an experiment cannot distinguish entity failure from laboratory-interface failure if both chains remain uncharacterized—is foundational. Its separation of detection accuracy, calibration quality, and decision quality is also strong, as is the requirement that abstention be scored rather than discarded as missing data.[^5]</w:t>
      </w:r>
    </w:p>
    <w:p>
      <w:pPr>
        <w:spacing w:line="360" w:after="210" w:lineRule="auto"/>
      </w:pPr>
      <w:r>
        <w:rPr>
          <w:rFonts w:eastAsia="source serif 4" w:cs="source serif 4" w:ascii="source serif 4" w:hAnsi="source serif 4"/>
          <w:color w:val="000000"/>
        </w:rPr>
        <w:t xml:space="preserve">What should be retained:</w:t>
      </w:r>
    </w:p>
    <w:p>
      <w:pPr>
        <w:numPr>
          <w:ilvl w:val="0"/>
          <w:numId w:val="9"/>
        </w:numPr>
        <w:spacing w:line="360" w:before="105" w:after="105" w:lineRule="auto"/>
      </w:pPr>
      <w:r>
        <w:rPr>
          <w:rFonts w:eastAsia="source serif 4" w:cs="source serif 4" w:ascii="source serif 4" w:hAnsi="source serif 4"/>
          <w:color w:val="000000"/>
          <w:sz w:val="21"/>
        </w:rPr>
        <w:t xml:space="preserve">The five interface properties.</w:t>
      </w:r>
    </w:p>
    <w:p>
      <w:pPr>
        <w:numPr>
          <w:ilvl w:val="0"/>
          <w:numId w:val="9"/>
        </w:numPr>
        <w:spacing w:line="360" w:before="105" w:after="105" w:lineRule="auto"/>
      </w:pPr>
      <w:r>
        <w:rPr>
          <w:rFonts w:eastAsia="source serif 4" w:cs="source serif 4" w:ascii="source serif 4" w:hAnsi="source serif 4"/>
          <w:color w:val="000000"/>
          <w:sz w:val="21"/>
        </w:rPr>
        <w:t xml:space="preserve">The laboratory as a party to every interface.</w:t>
      </w:r>
    </w:p>
    <w:p>
      <w:pPr>
        <w:numPr>
          <w:ilvl w:val="0"/>
          <w:numId w:val="9"/>
        </w:numPr>
        <w:spacing w:line="360" w:before="105" w:after="105" w:lineRule="auto"/>
      </w:pPr>
      <w:r>
        <w:rPr>
          <w:rFonts w:eastAsia="source serif 4" w:cs="source serif 4" w:ascii="source serif 4" w:hAnsi="source serif 4"/>
          <w:color w:val="000000"/>
          <w:sz w:val="21"/>
        </w:rPr>
        <w:t xml:space="preserve">The interface scorecard before mechanism claims are accepted.</w:t>
      </w:r>
    </w:p>
    <w:p>
      <w:pPr>
        <w:numPr>
          <w:ilvl w:val="0"/>
          <w:numId w:val="9"/>
        </w:numPr>
        <w:spacing w:line="360" w:before="105" w:after="105" w:lineRule="auto"/>
      </w:pPr>
      <w:r>
        <w:rPr>
          <w:rFonts w:eastAsia="source serif 4" w:cs="source serif 4" w:ascii="source serif 4" w:hAnsi="source serif 4"/>
          <w:color w:val="000000"/>
          <w:sz w:val="21"/>
        </w:rPr>
        <w:t xml:space="preserve">Separate accuracy, calibration, and decision-quality dimensions.</w:t>
      </w:r>
    </w:p>
    <w:p>
      <w:pPr>
        <w:numPr>
          <w:ilvl w:val="0"/>
          <w:numId w:val="9"/>
        </w:numPr>
        <w:spacing w:line="360" w:before="105" w:after="105" w:lineRule="auto"/>
      </w:pPr>
      <w:r>
        <w:rPr>
          <w:rFonts w:eastAsia="source serif 4" w:cs="source serif 4" w:ascii="source serif 4" w:hAnsi="source serif 4"/>
          <w:color w:val="000000"/>
          <w:sz w:val="21"/>
        </w:rPr>
        <w:t xml:space="preserve">Explicit reconciliation operations: integration, segregation, deferral, and abstention.</w:t>
      </w:r>
    </w:p>
    <w:p>
      <w:pPr>
        <w:numPr>
          <w:ilvl w:val="0"/>
          <w:numId w:val="9"/>
        </w:numPr>
        <w:spacing w:line="360" w:before="105" w:after="105" w:lineRule="auto"/>
      </w:pPr>
      <w:r>
        <w:rPr>
          <w:rFonts w:eastAsia="source serif 4" w:cs="source serif 4" w:ascii="source serif 4" w:hAnsi="source serif 4"/>
          <w:color w:val="000000"/>
          <w:sz w:val="21"/>
        </w:rPr>
        <w:t xml:space="preserve">Interface-level fault isolation and blind laboratory audits.</w:t>
      </w:r>
    </w:p>
    <w:p>
      <w:pPr>
        <w:spacing w:line="360" w:after="210" w:lineRule="auto"/>
      </w:pPr>
      <w:r>
        <w:rPr>
          <w:rFonts w:eastAsia="source serif 4" w:cs="source serif 4" w:ascii="source serif 4" w:hAnsi="source serif 4"/>
          <w:color w:val="000000"/>
        </w:rPr>
        <w:t xml:space="preserve">What needs revision or restraint:</w:t>
      </w:r>
    </w:p>
    <w:p>
      <w:pPr>
        <w:numPr>
          <w:ilvl w:val="0"/>
          <w:numId w:val="10"/>
        </w:numPr>
        <w:spacing w:line="360" w:before="105" w:after="105" w:lineRule="auto"/>
      </w:pPr>
      <w:r>
        <w:rPr>
          <w:rFonts w:eastAsia="source serif 4" w:cs="source serif 4" w:ascii="source serif 4" w:hAnsi="source serif 4"/>
          <w:color w:val="000000"/>
          <w:sz w:val="21"/>
        </w:rPr>
        <w:t xml:space="preserve">“Contract” is a productive engineering metaphor, but evolved biological interfaces do not literally negotiate specifications. The document should make clear that a contract is an analyst-defined expectation model, not an intentional agreement.</w:t>
      </w:r>
    </w:p>
    <w:p>
      <w:pPr>
        <w:numPr>
          <w:ilvl w:val="0"/>
          <w:numId w:val="10"/>
        </w:numPr>
        <w:spacing w:line="360" w:before="105" w:after="105" w:lineRule="auto"/>
      </w:pPr>
      <w:r>
        <w:rPr>
          <w:rFonts w:eastAsia="source serif 4" w:cs="source serif 4" w:ascii="source serif 4" w:hAnsi="source serif 4"/>
          <w:color w:val="000000"/>
          <w:sz w:val="21"/>
        </w:rPr>
        <w:t xml:space="preserve">“Coverage completeness” cannot generally be expressed as a meaningful percentage in an open world unless the task-relevant variable set is explicitly bounded. Otherwise the denominator is unknown. Report coverage against a declared variable inventory and retain an unmodeled-variable register.</w:t>
      </w:r>
    </w:p>
    <w:p>
      <w:pPr>
        <w:numPr>
          <w:ilvl w:val="0"/>
          <w:numId w:val="10"/>
        </w:numPr>
        <w:spacing w:line="360" w:before="105" w:after="105" w:lineRule="auto"/>
      </w:pPr>
      <w:r>
        <w:rPr>
          <w:rFonts w:eastAsia="source serif 4" w:cs="source serif 4" w:ascii="source serif 4" w:hAnsi="source serif 4"/>
          <w:color w:val="000000"/>
          <w:sz w:val="21"/>
        </w:rPr>
        <w:t xml:space="preserve">Provenance may be only partially observable in biological systems; unknown provenance should be represented rather than treated as a remediable documentation defect in every case.</w:t>
      </w:r>
    </w:p>
    <w:p>
      <w:pPr>
        <w:numPr>
          <w:ilvl w:val="0"/>
          <w:numId w:val="10"/>
        </w:numPr>
        <w:spacing w:line="360" w:before="105" w:after="105" w:lineRule="auto"/>
      </w:pPr>
      <w:r>
        <w:rPr>
          <w:rFonts w:eastAsia="source serif 4" w:cs="source serif 4" w:ascii="source serif 4" w:hAnsi="source serif 4"/>
          <w:color w:val="000000"/>
          <w:sz w:val="21"/>
        </w:rPr>
        <w:t xml:space="preserve">Claims that the interface handoff is the primary mechanism, or that this hypothesis is uniquely decisive, should remain hypotheses. Missing coverage can limit inference, but downstream active sensing, redundancy, environmental modification, social information, and learned proxies can sometimes compensate indirectly.</w:t>
      </w:r>
    </w:p>
    <w:p>
      <w:pPr>
        <w:numPr>
          <w:ilvl w:val="0"/>
          <w:numId w:val="10"/>
        </w:numPr>
        <w:spacing w:line="360" w:before="105" w:after="105" w:lineRule="auto"/>
      </w:pPr>
      <w:r>
        <w:rPr>
          <w:rFonts w:eastAsia="source serif 4" w:cs="source serif 4" w:ascii="source serif 4" w:hAnsi="source serif 4"/>
          <w:color w:val="000000"/>
          <w:sz w:val="21"/>
        </w:rPr>
        <w:t xml:space="preserve">Like Grok, the document contains broad scientific claims with little visible external sourcing. Evidence support should be added in a later literature-grounded version.</w:t>
      </w:r>
    </w:p>
    <w:p>
      <w:pPr>
        <w:numPr>
          <w:ilvl w:val="0"/>
          <w:numId w:val="10"/>
        </w:numPr>
        <w:spacing w:line="360" w:before="105" w:after="105" w:lineRule="auto"/>
      </w:pPr>
      <w:r>
        <w:rPr>
          <w:rFonts w:eastAsia="source serif 4" w:cs="source serif 4" w:ascii="source serif 4" w:hAnsi="source serif 4"/>
          <w:color w:val="000000"/>
          <w:sz w:val="21"/>
        </w:rPr>
        <w:t xml:space="preserve">A DOCX counterpart should be produced by Copilot if dual-format delivery remains required.</w:t>
      </w:r>
    </w:p>
    <w:p>
      <w:pPr>
        <w:spacing w:line="360" w:after="210" w:lineRule="auto"/>
      </w:pPr>
      <w:r>
        <w:rPr>
          <w:rFonts w:eastAsia="source serif 4" w:cs="source serif 4" w:ascii="source serif 4" w:hAnsi="source serif 4"/>
          <w:color w:val="000000"/>
        </w:rPr>
        <w:t xml:space="preserve">Best role in the program: apparatus validity, handoff diagnostics, laboratory self-audit, and performance decomposition.</w:t>
      </w:r>
    </w:p>
    <w:p>
      <w:pPr>
        <w:spacing w:line="360" w:before="315" w:after="105" w:lineRule="auto"/>
        <w:ind w:left="-30"/>
        <w:jc w:val="left"/>
      </w:pPr>
      <w:bookmarkStart w:id="14" w:name="productive_disagreements"/>
      <w:r>
        <w:rPr>
          <w:rFonts w:eastAsia="source serif 4" w:cs="source serif 4" w:ascii="source serif 4" w:hAnsi="source serif 4"/>
          <w:b/>
          <w:color w:val="000000"/>
          <w:sz w:val="24"/>
        </w:rPr>
        <w:t xml:space="preserve">Productive disagreements</w:t>
      </w:r>
      <w:bookmarkEnd w:id="14"/>
    </w:p>
    <w:p>
      <w:pPr>
        <w:spacing w:line="360" w:after="210" w:lineRule="auto"/>
      </w:pPr>
      <w:r>
        <w:rPr>
          <w:rFonts w:eastAsia="source serif 4" w:cs="source serif 4" w:ascii="source serif 4" w:hAnsi="source serif 4"/>
          <w:color w:val="000000"/>
        </w:rPr>
        <w:t xml:space="preserve">The documents disagree in ways that should be preserved as experimental alternatives rather than edited away.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Question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Copilot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explanatory 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Reconciliation/update architecture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Joint discernment system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Three reconciled registers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Functional layers and threat discernibility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Interface handoff/contract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 success criterion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Calibrated updating and viable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Adaptive action under joint integrity conditions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Calibration and revisability relative to EIC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Discernment without threat minimization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Adequate interface quality plus calibrated decisions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 failure concern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Non-identifiability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Ontology, measurement, and escalation gaps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Unbounded concepts and premature canon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Non-discernibility mislabeled as safety or threat diluted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Laboratory/interface failure blamed on 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Strongest alternative-analysis tool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Irreducible ambiguity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Competing theoretical lenses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Dissent and negative-space registers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Red-team campaign and disconfirmation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Interface fault isolation and laboratory audit</w:t>
            </w:r>
          </w:p>
        </w:tc>
      </w:tr>
    </w:tbl>
    <w:p>
      <w:pPr>
        <w:spacing w:lineRule="auto"/>
      </w:pPr>
    </w:p>
    <w:p>
      <w:pPr>
        <w:spacing w:line="360" w:after="210" w:lineRule="auto"/>
      </w:pPr>
      <w:r>
        <w:rPr>
          <w:rFonts w:eastAsia="source serif 4" w:cs="source serif 4" w:ascii="source serif 4" w:hAnsi="source serif 4"/>
          <w:color w:val="000000"/>
        </w:rPr>
        <w:t xml:space="preserve">A layered shared architecture can use these contributions without declaring them theoretically equivalent:</w:t>
      </w:r>
    </w:p>
    <w:p>
      <w:pPr>
        <w:numPr>
          <w:ilvl w:val="0"/>
          <w:numId w:val="11"/>
        </w:numPr>
        <w:spacing w:line="360" w:before="105" w:after="105" w:lineRule="auto"/>
      </w:pPr>
      <w:r>
        <w:rPr>
          <w:rFonts w:eastAsia="source serif 4" w:cs="source serif 4" w:ascii="source serif 4" w:hAnsi="source serif 4"/>
          <w:b/>
          <w:color w:val="000000"/>
          <w:sz w:val="21"/>
        </w:rPr>
        <w:t xml:space="preserve">Governance layer:</w:t>
      </w:r>
      <w:r>
        <w:rPr>
          <w:rFonts w:eastAsia="source serif 4" w:cs="source serif 4" w:ascii="source serif 4" w:hAnsi="source serif 4"/>
          <w:color w:val="000000"/>
          <w:sz w:val="21"/>
        </w:rPr>
        <w:t xml:space="preserve"> originating constraints, version control, decision rights, dissent log, and safety boundary.</w:t>
      </w:r>
    </w:p>
    <w:p>
      <w:pPr>
        <w:numPr>
          <w:ilvl w:val="0"/>
          <w:numId w:val="11"/>
        </w:numPr>
        <w:spacing w:line="360" w:before="105" w:after="105" w:lineRule="auto"/>
      </w:pPr>
      <w:r>
        <w:rPr>
          <w:rFonts w:eastAsia="source serif 4" w:cs="source serif 4" w:ascii="source serif 4" w:hAnsi="source serif 4"/>
          <w:b/>
          <w:color w:val="000000"/>
          <w:sz w:val="21"/>
        </w:rPr>
        <w:t xml:space="preserve">Register layer:</w:t>
      </w:r>
      <w:r>
        <w:rPr>
          <w:rFonts w:eastAsia="source serif 4" w:cs="source serif 4" w:ascii="source serif 4" w:hAnsi="source serif 4"/>
          <w:color w:val="000000"/>
          <w:sz w:val="21"/>
        </w:rPr>
        <w:t xml:space="preserve"> presentation, reference environment, entity state, and protected/viability variables.</w:t>
      </w:r>
    </w:p>
    <w:p>
      <w:pPr>
        <w:numPr>
          <w:ilvl w:val="0"/>
          <w:numId w:val="11"/>
        </w:numPr>
        <w:spacing w:line="360" w:before="105" w:after="105" w:lineRule="auto"/>
      </w:pPr>
      <w:r>
        <w:rPr>
          <w:rFonts w:eastAsia="source serif 4" w:cs="source serif 4" w:ascii="source serif 4" w:hAnsi="source serif 4"/>
          <w:b/>
          <w:color w:val="000000"/>
          <w:sz w:val="21"/>
        </w:rPr>
        <w:t xml:space="preserve">Interface layer:</w:t>
      </w:r>
      <w:r>
        <w:rPr>
          <w:rFonts w:eastAsia="source serif 4" w:cs="source serif 4" w:ascii="source serif 4" w:hAnsi="source serif 4"/>
          <w:color w:val="000000"/>
          <w:sz w:val="21"/>
        </w:rPr>
        <w:t xml:space="preserve"> coverage, fidelity, latency, provenance, and integrity at every handoff.</w:t>
      </w:r>
    </w:p>
    <w:p>
      <w:pPr>
        <w:numPr>
          <w:ilvl w:val="0"/>
          <w:numId w:val="11"/>
        </w:numPr>
        <w:spacing w:line="360" w:before="105" w:after="105" w:lineRule="auto"/>
      </w:pPr>
      <w:r>
        <w:rPr>
          <w:rFonts w:eastAsia="source serif 4" w:cs="source serif 4" w:ascii="source serif 4" w:hAnsi="source serif 4"/>
          <w:b/>
          <w:color w:val="000000"/>
          <w:sz w:val="21"/>
        </w:rPr>
        <w:t xml:space="preserve">Functional layer:</w:t>
      </w:r>
      <w:r>
        <w:rPr>
          <w:rFonts w:eastAsia="source serif 4" w:cs="source serif 4" w:ascii="source serif 4" w:hAnsi="source serif 4"/>
          <w:color w:val="000000"/>
          <w:sz w:val="21"/>
        </w:rPr>
        <w:t xml:space="preserve"> access, time binding, state estimation, discrepancy detection, reconciliation, appraisal, action, and learning.</w:t>
      </w:r>
    </w:p>
    <w:p>
      <w:pPr>
        <w:numPr>
          <w:ilvl w:val="0"/>
          <w:numId w:val="11"/>
        </w:numPr>
        <w:spacing w:line="360" w:before="105" w:after="105" w:lineRule="auto"/>
      </w:pPr>
      <w:r>
        <w:rPr>
          <w:rFonts w:eastAsia="source serif 4" w:cs="source serif 4" w:ascii="source serif 4" w:hAnsi="source serif 4"/>
          <w:b/>
          <w:color w:val="000000"/>
          <w:sz w:val="21"/>
        </w:rPr>
        <w:t xml:space="preserve">Model layer:</w:t>
      </w:r>
      <w:r>
        <w:rPr>
          <w:rFonts w:eastAsia="source serif 4" w:cs="source serif 4" w:ascii="source serif 4" w:hAnsi="source serif 4"/>
          <w:color w:val="000000"/>
          <w:sz w:val="21"/>
        </w:rPr>
        <w:t xml:space="preserve"> threshold rules, signal detection, Bayesian filters, causal inference, reinforcement learning, active inference, dynamical control, and affordance accounts as competitors.</w:t>
      </w:r>
    </w:p>
    <w:p>
      <w:pPr>
        <w:numPr>
          <w:ilvl w:val="0"/>
          <w:numId w:val="11"/>
        </w:numPr>
        <w:spacing w:line="360" w:before="105" w:after="105" w:lineRule="auto"/>
      </w:pPr>
      <w:r>
        <w:rPr>
          <w:rFonts w:eastAsia="source serif 4" w:cs="source serif 4" w:ascii="source serif 4" w:hAnsi="source serif 4"/>
          <w:b/>
          <w:color w:val="000000"/>
          <w:sz w:val="21"/>
        </w:rPr>
        <w:t xml:space="preserve">Program layer:</w:t>
      </w:r>
      <w:r>
        <w:rPr>
          <w:rFonts w:eastAsia="source serif 4" w:cs="source serif 4" w:ascii="source serif 4" w:hAnsi="source serif 4"/>
          <w:color w:val="000000"/>
          <w:sz w:val="21"/>
        </w:rPr>
        <w:t xml:space="preserve"> simulation, benign testbeds, nonliving systems, alternatives, and only conditionally approved organism work.</w:t>
      </w:r>
    </w:p>
    <w:p>
      <w:pPr>
        <w:spacing w:line="360" w:after="210" w:lineRule="auto"/>
      </w:pPr>
      <w:r>
        <w:rPr>
          <w:rFonts w:eastAsia="source serif 4" w:cs="source serif 4" w:ascii="source serif 4" w:hAnsi="source serif 4"/>
          <w:color w:val="000000"/>
        </w:rPr>
        <w:t xml:space="preserve">This is a division of labor, not a merged theory. Each layer should have an owner, explicit inputs and outputs, and unresolved alternatives.</w:t>
      </w:r>
    </w:p>
    <w:p>
      <w:pPr>
        <w:spacing w:line="360" w:before="315" w:after="105" w:lineRule="auto"/>
        <w:ind w:left="-30"/>
        <w:jc w:val="left"/>
      </w:pPr>
      <w:bookmarkStart w:id="15" w:name="issues_before_design"/>
      <w:r>
        <w:rPr>
          <w:rFonts w:eastAsia="source serif 4" w:cs="source serif 4" w:ascii="source serif 4" w:hAnsi="source serif 4"/>
          <w:b/>
          <w:color w:val="000000"/>
          <w:sz w:val="24"/>
        </w:rPr>
        <w:t xml:space="preserve">Issues before design</w:t>
      </w:r>
      <w:bookmarkEnd w:id="15"/>
    </w:p>
    <w:p>
      <w:pPr>
        <w:spacing w:line="360" w:before="315" w:after="105" w:lineRule="auto"/>
        <w:ind w:left="-30"/>
        <w:jc w:val="left"/>
      </w:pPr>
      <w:bookmarkStart w:id="16" w:name="canon_and_authority"/>
      <w:r>
        <w:rPr>
          <w:rFonts w:eastAsia="source serif 4" w:cs="source serif 4" w:ascii="source serif 4" w:hAnsi="source serif 4"/>
          <w:b/>
          <w:color w:val="000000"/>
          <w:sz w:val="24"/>
        </w:rPr>
        <w:t xml:space="preserve">Canon and authority</w:t>
      </w:r>
      <w:bookmarkEnd w:id="16"/>
    </w:p>
    <w:p>
      <w:pPr>
        <w:spacing w:line="360" w:after="210" w:lineRule="auto"/>
      </w:pPr>
      <w:r>
        <w:rPr>
          <w:rFonts w:eastAsia="source serif 4" w:cs="source serif 4" w:ascii="source serif 4" w:hAnsi="source serif 4"/>
          <w:color w:val="000000"/>
        </w:rPr>
        <w:t xml:space="preserve">The project needs a rule that distinguishes originating constraints, adopted requirements, candidate hypotheses, experimental findings, and rejected or deferred proposals. At present, each contributor correctly says its document is independent, but the corpus does not yet have a shared authority record.[</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1][</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w:t>
      </w:r>
    </w:p>
    <w:p>
      <w:pPr>
        <w:spacing w:line="360" w:after="210" w:lineRule="auto"/>
      </w:pPr>
      <w:r>
        <w:rPr>
          <w:rFonts w:eastAsia="source serif 4" w:cs="source serif 4" w:ascii="source serif 4" w:hAnsi="source serif 4"/>
          <w:color w:val="000000"/>
        </w:rPr>
        <w:t xml:space="preserve">Recommended states are: </w:t>
      </w:r>
      <w:r>
        <w:rPr>
          <w:rFonts w:eastAsia="source serif 4" w:cs="source serif 4" w:ascii="source serif 4" w:hAnsi="source serif 4"/>
          <w:b/>
          <w:color w:val="000000"/>
        </w:rPr>
        <w:t xml:space="preserve">Originator requirement</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Adopted design requirement</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Candidate hypothesis</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Alternative hypothesis</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Deferred</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Rejected with rationale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Empirically supported</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Empirically contradicted</w:t>
      </w:r>
      <w:r>
        <w:rPr>
          <w:rFonts w:eastAsia="source serif 4" w:cs="source serif 4" w:ascii="source serif 4" w:hAnsi="source serif 4"/>
          <w:color w:val="000000"/>
        </w:rPr>
        <w:t xml:space="preserve">.</w:t>
      </w:r>
    </w:p>
    <w:p>
      <w:pPr>
        <w:spacing w:line="360" w:before="315" w:after="105" w:lineRule="auto"/>
        <w:ind w:left="-30"/>
        <w:jc w:val="left"/>
      </w:pPr>
      <w:bookmarkStart w:id="17" w:name="entity_and_boundary"/>
      <w:r>
        <w:rPr>
          <w:rFonts w:eastAsia="source serif 4" w:cs="source serif 4" w:ascii="source serif 4" w:hAnsi="source serif 4"/>
          <w:b/>
          <w:color w:val="000000"/>
          <w:sz w:val="24"/>
        </w:rPr>
        <w:t xml:space="preserve">Entity and boundary</w:t>
      </w:r>
      <w:bookmarkEnd w:id="17"/>
    </w:p>
    <w:p>
      <w:pPr>
        <w:spacing w:line="360" w:after="210" w:lineRule="auto"/>
      </w:pPr>
      <w:r>
        <w:rPr>
          <w:rFonts w:eastAsia="source serif 4" w:cs="source serif 4" w:ascii="source serif 4" w:hAnsi="source serif 4"/>
          <w:color w:val="000000"/>
        </w:rPr>
        <w:t xml:space="preserve">No apparatus should be designed before the first entity class and boundary are selected. The boundary must identify the entity’s inputs, internal state, outputs, action repertoire, timescale, and criterion for attributing an outcome to the entity rather than its environment, operator, or apparatus.[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2]</w:t>
      </w:r>
    </w:p>
    <w:p>
      <w:pPr>
        <w:spacing w:line="360" w:before="315" w:after="105" w:lineRule="auto"/>
        <w:ind w:left="-30"/>
        <w:jc w:val="left"/>
      </w:pPr>
      <w:bookmarkStart w:id="18" w:name="harm_and_threat"/>
      <w:r>
        <w:rPr>
          <w:rFonts w:eastAsia="source serif 4" w:cs="source serif 4" w:ascii="source serif 4" w:hAnsi="source serif 4"/>
          <w:b/>
          <w:color w:val="000000"/>
          <w:sz w:val="24"/>
        </w:rPr>
        <w:t xml:space="preserve">Harm and threat</w:t>
      </w:r>
      <w:bookmarkEnd w:id="18"/>
    </w:p>
    <w:p>
      <w:pPr>
        <w:spacing w:line="360" w:after="210" w:lineRule="auto"/>
      </w:pPr>
      <w:r>
        <w:rPr>
          <w:rFonts w:eastAsia="source serif 4" w:cs="source serif 4" w:ascii="source serif 4" w:hAnsi="source serif 4"/>
          <w:color w:val="000000"/>
        </w:rPr>
        <w:t xml:space="preserve">“A threat can be anything” should remain an open-world principle, not an experimental definition. Each study needs a protected variable or Entity Integrity Criterion, an adverse transition, a pathway, a time horizon, and an uncertainty statement.[</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4][^2]</w:t>
      </w:r>
    </w:p>
    <w:p>
      <w:pPr>
        <w:spacing w:line="360" w:before="315" w:after="105" w:lineRule="auto"/>
        <w:ind w:left="-30"/>
        <w:jc w:val="left"/>
      </w:pPr>
      <w:bookmarkStart w:id="19" w:name="awareness"/>
      <w:r>
        <w:rPr>
          <w:rFonts w:eastAsia="source serif 4" w:cs="source serif 4" w:ascii="source serif 4" w:hAnsi="source serif 4"/>
          <w:b/>
          <w:color w:val="000000"/>
          <w:sz w:val="24"/>
        </w:rPr>
        <w:t xml:space="preserve">Awareness</w:t>
      </w:r>
      <w:bookmarkEnd w:id="19"/>
    </w:p>
    <w:p>
      <w:pPr>
        <w:spacing w:line="360" w:after="210" w:lineRule="auto"/>
      </w:pPr>
      <w:r>
        <w:rPr>
          <w:rFonts w:eastAsia="source serif 4" w:cs="source serif 4" w:ascii="source serif 4" w:hAnsi="source serif 4"/>
          <w:color w:val="000000"/>
        </w:rPr>
        <w:t xml:space="preserve">“Awareness” remains underspecified across the corpus. It should be replaced in protocols by operational tiers such as reactive responsiveness, discrimination, persistent representation, self-monitoring, or reportability; consciousness claims should be out of scope unless separately justified.[</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5]</w:t>
      </w:r>
    </w:p>
    <w:p>
      <w:pPr>
        <w:spacing w:line="360" w:before="315" w:after="105" w:lineRule="auto"/>
        <w:ind w:left="-30"/>
        <w:jc w:val="left"/>
      </w:pPr>
      <w:bookmarkStart w:id="20" w:name="reference_and_clocks"/>
      <w:r>
        <w:rPr>
          <w:rFonts w:eastAsia="source serif 4" w:cs="source serif 4" w:ascii="source serif 4" w:hAnsi="source serif 4"/>
          <w:b/>
          <w:color w:val="000000"/>
          <w:sz w:val="24"/>
        </w:rPr>
        <w:t xml:space="preserve">Reference and clocks</w:t>
      </w:r>
      <w:bookmarkEnd w:id="20"/>
    </w:p>
    <w:p>
      <w:pPr>
        <w:spacing w:line="360" w:after="210" w:lineRule="auto"/>
      </w:pPr>
      <w:r>
        <w:rPr>
          <w:rFonts w:eastAsia="source serif 4" w:cs="source serif 4" w:ascii="source serif 4" w:hAnsi="source serif 4"/>
          <w:color w:val="000000"/>
        </w:rPr>
        <w:t xml:space="preserve">The first testbed needs independent reference channels, calibration records, uncertainty propagation, synchronized but separately logged clocks, and preserved acquisition, transmission, processing, presentation, action, and outcome times.[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w:t>
      </w:r>
    </w:p>
    <w:p>
      <w:pPr>
        <w:spacing w:line="360" w:before="315" w:after="105" w:lineRule="auto"/>
        <w:ind w:left="-30"/>
        <w:jc w:val="left"/>
      </w:pPr>
      <w:bookmarkStart w:id="21" w:name="scoring"/>
      <w:r>
        <w:rPr>
          <w:rFonts w:eastAsia="source serif 4" w:cs="source serif 4" w:ascii="source serif 4" w:hAnsi="source serif 4"/>
          <w:b/>
          <w:color w:val="000000"/>
          <w:sz w:val="24"/>
        </w:rPr>
        <w:t xml:space="preserve">Scoring</w:t>
      </w:r>
      <w:bookmarkEnd w:id="21"/>
    </w:p>
    <w:p>
      <w:pPr>
        <w:spacing w:line="360" w:after="210" w:lineRule="auto"/>
      </w:pPr>
      <w:r>
        <w:rPr>
          <w:rFonts w:eastAsia="source serif 4" w:cs="source serif 4" w:ascii="source serif 4" w:hAnsi="source serif 4"/>
          <w:color w:val="000000"/>
        </w:rPr>
        <w:t xml:space="preserve">The project needs preregistered rules for misses, false alarms, correct rejection, unknown, abstention, delayed recognition, recognition without action, action without explicit recognition, and invalid trials. Detection accuracy, confidence calibration, decision quality, and viability outcome should not be collapsed into one score.[</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5][^2]</w:t>
      </w:r>
    </w:p>
    <w:p>
      <w:pPr>
        <w:spacing w:line="360" w:before="315" w:after="105" w:lineRule="auto"/>
        <w:ind w:left="-30"/>
        <w:jc w:val="left"/>
      </w:pPr>
      <w:bookmarkStart w:id="22" w:name="chemical_terminology"/>
      <w:r>
        <w:rPr>
          <w:rFonts w:eastAsia="source serif 4" w:cs="source serif 4" w:ascii="source serif 4" w:hAnsi="source serif 4"/>
          <w:b/>
          <w:color w:val="000000"/>
          <w:sz w:val="24"/>
        </w:rPr>
        <w:t xml:space="preserve">Chemical terminology</w:t>
      </w:r>
      <w:bookmarkEnd w:id="22"/>
    </w:p>
    <w:p>
      <w:pPr>
        <w:spacing w:line="360" w:after="210" w:lineRule="auto"/>
      </w:pPr>
      <w:r>
        <w:rPr>
          <w:rFonts w:eastAsia="source serif 4" w:cs="source serif 4" w:ascii="source serif 4" w:hAnsi="source serif 4"/>
          <w:color w:val="000000"/>
        </w:rPr>
        <w:t xml:space="preserve">The project should maintain two glossaries: a </w:t>
      </w:r>
      <w:r>
        <w:rPr>
          <w:rFonts w:eastAsia="source serif 4" w:cs="source serif 4" w:ascii="source serif 4" w:hAnsi="source serif 4"/>
          <w:b/>
          <w:color w:val="000000"/>
        </w:rPr>
        <w:t xml:space="preserve">conceptual interaction glossary</w:t>
      </w:r>
      <w:r>
        <w:rPr>
          <w:rFonts w:eastAsia="source serif 4" w:cs="source serif 4" w:ascii="source serif 4" w:hAnsi="source serif 4"/>
          <w:color w:val="000000"/>
        </w:rPr>
        <w:t xml:space="preserve"> for simulated resource-pathway, exposure, and material-degradation tasks, and a </w:t>
      </w:r>
      <w:r>
        <w:rPr>
          <w:rFonts w:eastAsia="source serif 4" w:cs="source serif 4" w:ascii="source serif 4" w:hAnsi="source serif 4"/>
          <w:b/>
          <w:color w:val="000000"/>
        </w:rPr>
        <w:t xml:space="preserve">standards-aligned chemical glossary</w:t>
      </w:r>
      <w:r>
        <w:rPr>
          <w:rFonts w:eastAsia="source serif 4" w:cs="source serif 4" w:ascii="source serif 4" w:hAnsi="source serif 4"/>
          <w:color w:val="000000"/>
        </w:rPr>
        <w:t xml:space="preserve"> for any future toxicological or regulatory work. Mixing those functions will create ambiguity about toxin, poison, corrosive, exposure, hazard, and risk.[</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w:t>
      </w:r>
    </w:p>
    <w:p>
      <w:pPr>
        <w:spacing w:line="360" w:before="315" w:after="105" w:lineRule="auto"/>
        <w:ind w:left="-30"/>
        <w:jc w:val="left"/>
      </w:pPr>
      <w:bookmarkStart w:id="23" w:name="delivery_and_version_record"/>
      <w:r>
        <w:rPr>
          <w:rFonts w:eastAsia="source serif 4" w:cs="source serif 4" w:ascii="source serif 4" w:hAnsi="source serif 4"/>
          <w:b/>
          <w:color w:val="000000"/>
          <w:sz w:val="24"/>
        </w:rPr>
        <w:t xml:space="preserve">Delivery and version record</w:t>
      </w:r>
      <w:bookmarkEnd w:id="23"/>
    </w:p>
    <w:p>
      <w:pPr>
        <w:spacing w:line="360" w:after="210" w:lineRule="auto"/>
      </w:pPr>
      <w:r>
        <w:rPr>
          <w:rFonts w:eastAsia="source serif 4" w:cs="source serif 4" w:ascii="source serif 4" w:hAnsi="source serif 4"/>
          <w:color w:val="000000"/>
        </w:rPr>
        <w:t xml:space="preserve">The supplied package does not yet satisfy a uniform two-format delivery set: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Contributor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DOCX present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PDF present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Record issue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DOCX states a companion PDF was issued, but it is not in the supplied set.[^1]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 AI</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PDF counterpart not supplied.[^2]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PDF counterpart not supplied.[^3]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DOCX counterpart not supplied.[^4]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Copilot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DOCX counterpart not supplied.[^5]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Gemini</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independent foundational artifact supplied for review.</w:t>
            </w:r>
          </w:p>
        </w:tc>
      </w:tr>
    </w:tbl>
    <w:p>
      <w:pPr>
        <w:spacing w:lineRule="auto"/>
      </w:pPr>
    </w:p>
    <w:p>
      <w:pPr>
        <w:spacing w:line="360" w:after="210" w:lineRule="auto"/>
      </w:pPr>
      <w:r>
        <w:rPr>
          <w:rFonts w:eastAsia="source serif 4" w:cs="source serif 4" w:ascii="source serif 4" w:hAnsi="source serif 4"/>
          <w:color w:val="000000"/>
        </w:rPr>
        <w:t xml:space="preserve">This is not merely an administrative detail. “Requested,” “generated,” “delivered,” “received,” and “verified” should be separate fields. The user’s decision not to ask another AI to convert a missing format is correct for provenance: conversion by a different system could introduce layout, metadata, or content changes and would obscure responsibility for the original deliverable.</w:t>
      </w:r>
    </w:p>
    <w:p>
      <w:pPr>
        <w:spacing w:line="360" w:before="315" w:after="105" w:lineRule="auto"/>
        <w:ind w:left="-30"/>
        <w:jc w:val="left"/>
      </w:pPr>
      <w:bookmarkStart w:id="24" w:name="recommended_next_actions"/>
      <w:r>
        <w:rPr>
          <w:rFonts w:eastAsia="source serif 4" w:cs="source serif 4" w:ascii="source serif 4" w:hAnsi="source serif 4"/>
          <w:b/>
          <w:color w:val="000000"/>
          <w:sz w:val="24"/>
        </w:rPr>
        <w:t xml:space="preserve">Recommended next actions</w:t>
      </w:r>
      <w:bookmarkEnd w:id="24"/>
    </w:p>
    <w:p>
      <w:pPr>
        <w:numPr>
          <w:ilvl w:val="0"/>
          <w:numId w:val="12"/>
        </w:numPr>
        <w:spacing w:line="360" w:before="105" w:after="105" w:lineRule="auto"/>
      </w:pPr>
      <w:r>
        <w:rPr>
          <w:rFonts w:eastAsia="source serif 4" w:cs="source serif 4" w:ascii="source serif 4" w:hAnsi="source serif 4"/>
          <w:color w:val="000000"/>
          <w:sz w:val="21"/>
        </w:rPr>
        <w:t xml:space="preserve">Freeze the five supplied artifacts as immutable source records; do not silently correct them.</w:t>
      </w:r>
    </w:p>
    <w:p>
      <w:pPr>
        <w:numPr>
          <w:ilvl w:val="0"/>
          <w:numId w:val="12"/>
        </w:numPr>
        <w:spacing w:line="360" w:before="105" w:after="105" w:lineRule="auto"/>
      </w:pPr>
      <w:r>
        <w:rPr>
          <w:rFonts w:eastAsia="source serif 4" w:cs="source serif 4" w:ascii="source serif 4" w:hAnsi="source serif 4"/>
          <w:color w:val="000000"/>
          <w:sz w:val="21"/>
        </w:rPr>
        <w:t xml:space="preserve">Assign checksums and record requested, generated, delivered, received, and verified status for each format.</w:t>
      </w:r>
    </w:p>
    <w:p>
      <w:pPr>
        <w:numPr>
          <w:ilvl w:val="0"/>
          <w:numId w:val="12"/>
        </w:numPr>
        <w:spacing w:line="360" w:before="105" w:after="105" w:lineRule="auto"/>
      </w:pPr>
      <w:r>
        <w:rPr>
          <w:rFonts w:eastAsia="source serif 4" w:cs="source serif 4" w:ascii="source serif 4" w:hAnsi="source serif 4"/>
          <w:color w:val="000000"/>
          <w:sz w:val="21"/>
        </w:rPr>
        <w:t xml:space="preserve">Request missing counterparts from the original contributor only, including Gemini’s independent version if Gemini remains a collaboration member.</w:t>
      </w:r>
    </w:p>
    <w:p>
      <w:pPr>
        <w:numPr>
          <w:ilvl w:val="0"/>
          <w:numId w:val="12"/>
        </w:numPr>
        <w:spacing w:line="360" w:before="105" w:after="105" w:lineRule="auto"/>
      </w:pPr>
      <w:r>
        <w:rPr>
          <w:rFonts w:eastAsia="source serif 4" w:cs="source serif 4" w:ascii="source serif 4" w:hAnsi="source serif 4"/>
          <w:color w:val="000000"/>
          <w:sz w:val="21"/>
        </w:rPr>
        <w:t xml:space="preserve">Create a human-owned corpus index with document IDs, versions, dependencies, available formats, and drafting chronology.</w:t>
      </w:r>
    </w:p>
    <w:p>
      <w:pPr>
        <w:numPr>
          <w:ilvl w:val="0"/>
          <w:numId w:val="12"/>
        </w:numPr>
        <w:spacing w:line="360" w:before="105" w:after="105" w:lineRule="auto"/>
      </w:pPr>
      <w:r>
        <w:rPr>
          <w:rFonts w:eastAsia="source serif 4" w:cs="source serif 4" w:ascii="source serif 4" w:hAnsi="source serif 4"/>
          <w:color w:val="000000"/>
          <w:sz w:val="21"/>
        </w:rPr>
        <w:t xml:space="preserve">Create a decision-and-dissent register rather than a blended foundation.</w:t>
      </w:r>
    </w:p>
    <w:p>
      <w:pPr>
        <w:numPr>
          <w:ilvl w:val="0"/>
          <w:numId w:val="12"/>
        </w:numPr>
        <w:spacing w:line="360" w:before="105" w:after="105" w:lineRule="auto"/>
      </w:pPr>
      <w:r>
        <w:rPr>
          <w:rFonts w:eastAsia="source serif 4" w:cs="source serif 4" w:ascii="source serif 4" w:hAnsi="source serif 4"/>
          <w:color w:val="000000"/>
          <w:sz w:val="21"/>
        </w:rPr>
        <w:t xml:space="preserve">Adopt only the minimum shared invariants: sensory non-universality, relational threat, non-detection is not safety, reference-state fallibility, unknown as valid, detection/action separation, simulation-first safety, and bounded claims.</w:t>
      </w:r>
    </w:p>
    <w:p>
      <w:pPr>
        <w:numPr>
          <w:ilvl w:val="0"/>
          <w:numId w:val="12"/>
        </w:numPr>
        <w:spacing w:line="360" w:before="105" w:after="105" w:lineRule="auto"/>
      </w:pPr>
      <w:r>
        <w:rPr>
          <w:rFonts w:eastAsia="source serif 4" w:cs="source serif 4" w:ascii="source serif 4" w:hAnsi="source serif 4"/>
          <w:color w:val="000000"/>
          <w:sz w:val="21"/>
        </w:rPr>
        <w:t xml:space="preserve">Select the Series 1 entity class and protected variable before choosing apparatus or model.</w:t>
      </w:r>
    </w:p>
    <w:p>
      <w:pPr>
        <w:numPr>
          <w:ilvl w:val="0"/>
          <w:numId w:val="12"/>
        </w:numPr>
        <w:spacing w:line="360" w:before="105" w:after="105" w:lineRule="auto"/>
      </w:pPr>
      <w:r>
        <w:rPr>
          <w:rFonts w:eastAsia="source serif 4" w:cs="source serif 4" w:ascii="source serif 4" w:hAnsi="source serif 4"/>
          <w:color w:val="000000"/>
          <w:sz w:val="21"/>
        </w:rPr>
        <w:t xml:space="preserve">Use a simulation-first pilot with a no-threat baseline, direct cue, inaccessible threat, misleading presentation, stale cue, state-dependent threat, no-action threat, and corrupted laboratory-reference condition.</w:t>
      </w:r>
    </w:p>
    <w:p>
      <w:pPr>
        <w:numPr>
          <w:ilvl w:val="0"/>
          <w:numId w:val="12"/>
        </w:numPr>
        <w:spacing w:line="360" w:before="105" w:after="105" w:lineRule="auto"/>
      </w:pPr>
      <w:r>
        <w:rPr>
          <w:rFonts w:eastAsia="source serif 4" w:cs="source serif 4" w:ascii="source serif 4" w:hAnsi="source serif 4"/>
          <w:color w:val="000000"/>
          <w:sz w:val="21"/>
        </w:rPr>
        <w:t xml:space="preserve">Require both an interface audit and a minimum event record for every trial.</w:t>
      </w:r>
    </w:p>
    <w:p>
      <w:pPr>
        <w:numPr>
          <w:ilvl w:val="0"/>
          <w:numId w:val="12"/>
        </w:numPr>
        <w:spacing w:line="360" w:before="105" w:after="105" w:lineRule="auto"/>
      </w:pPr>
      <w:r>
        <w:rPr>
          <w:rFonts w:eastAsia="source serif 4" w:cs="source serif 4" w:ascii="source serif 4" w:hAnsi="source serif 4"/>
          <w:color w:val="000000"/>
          <w:sz w:val="21"/>
        </w:rPr>
        <w:t xml:space="preserve">Compare at least three mechanism classes rather than selecting one author’s architecture in advance.</w:t>
      </w:r>
    </w:p>
    <w:p>
      <w:pPr>
        <w:numPr>
          <w:ilvl w:val="0"/>
          <w:numId w:val="12"/>
        </w:numPr>
        <w:spacing w:line="360" w:before="105" w:after="105" w:lineRule="auto"/>
      </w:pPr>
      <w:r>
        <w:rPr>
          <w:rFonts w:eastAsia="source serif 4" w:cs="source serif 4" w:ascii="source serif 4" w:hAnsi="source serif 4"/>
          <w:color w:val="000000"/>
          <w:sz w:val="21"/>
        </w:rPr>
        <w:t xml:space="preserve">Predeclare advancement gates, invalid-trial rules, abstention scoring, cost matrices, and negative-space reporting.</w:t>
      </w:r>
    </w:p>
    <w:p>
      <w:pPr>
        <w:numPr>
          <w:ilvl w:val="0"/>
          <w:numId w:val="12"/>
        </w:numPr>
        <w:spacing w:line="360" w:before="105" w:after="105" w:lineRule="auto"/>
      </w:pPr>
      <w:r>
        <w:rPr>
          <w:rFonts w:eastAsia="source serif 4" w:cs="source serif 4" w:ascii="source serif 4" w:hAnsi="source serif 4"/>
          <w:color w:val="000000"/>
          <w:sz w:val="21"/>
        </w:rPr>
        <w:t xml:space="preserve">After the pilot, revise each theory separately before considering a controlled integrated design basis.</w:t>
      </w:r>
    </w:p>
    <w:p>
      <w:pPr>
        <w:spacing w:line="360" w:before="315" w:after="105" w:lineRule="auto"/>
        <w:ind w:left="-30"/>
        <w:jc w:val="left"/>
      </w:pPr>
      <w:bookmarkStart w:id="25" w:name="proposed_collaboration_note"/>
      <w:r>
        <w:rPr>
          <w:rFonts w:eastAsia="source serif 4" w:cs="source serif 4" w:ascii="source serif 4" w:hAnsi="source serif 4"/>
          <w:b/>
          <w:color w:val="000000"/>
          <w:sz w:val="24"/>
        </w:rPr>
        <w:t xml:space="preserve">Proposed collaboration note</w:t>
      </w:r>
      <w:bookmarkEnd w:id="25"/>
    </w:p>
    <w:p>
      <w:pPr>
        <w:spacing w:line="360" w:after="210" w:lineRule="auto"/>
      </w:pPr>
      <w:r>
        <w:rPr>
          <w:rFonts w:eastAsia="source serif 4" w:cs="source serif 4" w:ascii="source serif 4" w:hAnsi="source serif 4"/>
          <w:color w:val="000000"/>
        </w:rPr>
        <w:t xml:space="preserve">A suitable acknowledgment to all contributors is:</w:t>
      </w:r>
    </w:p>
    <w:p>
      <w:pPr>
        <w:spacing w:line="360" w:after="210" w:lineRule="auto"/>
        <w:ind w:left="630"/>
      </w:pPr>
      <w:r>
        <w:rPr>
          <w:rFonts w:eastAsia="source serif 4" w:cs="source serif 4" w:ascii="source serif 4" w:hAnsi="source serif 4"/>
          <w:color w:val="000000"/>
        </w:rPr>
        <w:t xml:space="preserve">Thank you to each collaboration member for preparing an independent version of the environmental sensing, state integrity, and threat-discernment foundation. The differences among these documents are being preserved as part of the research record rather than averaged away. Each contribution has identified a distinct part of the design problem, and no draft is treated as canon merely because of length, format, or degree of detail. Missing formats will remain assigned to the originating contributor so authorship, conversion responsibility, and version provenance remain clear.</w:t>
      </w:r>
    </w:p>
    <w:p>
      <w:pPr>
        <w:spacing w:line="360" w:before="315" w:after="105" w:lineRule="auto"/>
        <w:ind w:left="-30"/>
        <w:jc w:val="left"/>
      </w:pPr>
      <w:bookmarkStart w:id="26" w:name="final_assessment"/>
      <w:r>
        <w:rPr>
          <w:rFonts w:eastAsia="source serif 4" w:cs="source serif 4" w:ascii="source serif 4" w:hAnsi="source serif 4"/>
          <w:b/>
          <w:color w:val="000000"/>
          <w:sz w:val="24"/>
        </w:rPr>
        <w:t xml:space="preserve">Final assessment</w:t>
      </w:r>
      <w:bookmarkEnd w:id="26"/>
    </w:p>
    <w:p>
      <w:pPr>
        <w:spacing w:line="360" w:after="210" w:lineRule="auto"/>
      </w:pPr>
      <w:r>
        <w:rPr>
          <w:rFonts w:eastAsia="source serif 4" w:cs="source serif 4" w:ascii="source serif 4" w:hAnsi="source serif 4"/>
          <w:color w:val="000000"/>
        </w:rPr>
        <w:t xml:space="preserve">The corpus is ready for </w:t>
      </w:r>
      <w:r>
        <w:rPr>
          <w:rFonts w:eastAsia="source serif 4" w:cs="source serif 4" w:ascii="source serif 4" w:hAnsi="source serif 4"/>
          <w:b/>
          <w:color w:val="000000"/>
        </w:rPr>
        <w:t xml:space="preserve">design adjudication</w:t>
      </w:r>
      <w:r>
        <w:rPr>
          <w:rFonts w:eastAsia="source serif 4" w:cs="source serif 4" w:ascii="source serif 4" w:hAnsi="source serif 4"/>
          <w:color w:val="000000"/>
        </w:rPr>
        <w:t xml:space="preserve">, not yet for laboratory implementation. The immediate value lies in preserving five different explanatory units—updates, systems, registers, functions, and interfaces—then using a bounded simulation to determine which distinctions are operationally necessary and which hypotheses make discriminating predictions.[</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5][</w:t>
      </w:r>
      <w:r>
        <w:rPr>
          <w:rFonts w:eastAsia="source serif 4" w:cs="source serif 4" w:ascii="source serif 4" w:hAnsi="source serif 4"/>
          <w:color w:val="000000"/>
          <w:vertAlign w:val="superscript"/>
        </w:rPr>
        <w:t xml:space="preserve">1][</w:t>
      </w:r>
      <w:r>
        <w:rPr>
          <w:rFonts w:eastAsia="source serif 4" w:cs="source serif 4" w:ascii="source serif 4" w:hAnsi="source serif 4"/>
          <w:color w:val="000000"/>
        </w:rPr>
        <w:t xml:space="preserve">2][^4]</w:t>
      </w:r>
    </w:p>
    <w:p>
      <w:pPr>
        <w:spacing w:line="360" w:after="210" w:lineRule="auto"/>
      </w:pPr>
      <w:r>
        <w:rPr>
          <w:rFonts w:eastAsia="source serif 4" w:cs="source serif 4" w:ascii="source serif 4" w:hAnsi="source serif 4"/>
          <w:color w:val="000000"/>
        </w:rPr>
        <w:t xml:space="preserve">The strongest combined direction is not to choose a winning AI document. It is to construct a controlled decision record in which Grok’s governance, Perplexity’s program controls, Claude’s formal alternatives, ChatGPT’s event and discernibility architecture, and Copilot’s interface audits are evaluated without erasing their disagreements.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references"/>
      <w:r>
        <w:rPr>
          <w:rFonts w:eastAsia="source serif 4" w:cs="source serif 4" w:ascii="source serif 4" w:hAnsi="source serif 4"/>
          <w:b/>
          <w:color w:val="000000"/>
          <w:sz w:val="24"/>
        </w:rPr>
        <w:t xml:space="preserve">References</w:t>
      </w:r>
      <w:bookmarkEnd w:id="27"/>
    </w:p>
    <w:p>
      <w:pPr>
        <w:numPr>
          <w:ilvl w:val="0"/>
          <w:numId w:val="13"/>
        </w:numPr>
        <w:spacing w:line="360" w:before="105" w:after="105" w:lineRule="auto"/>
      </w:pPr>
      <w:hyperlink r:id="rId5">
        <w:r>
          <w:rPr>
            <w:rFonts w:eastAsia="source sans 3" w:cs="source sans 3" w:ascii="source sans 3" w:hAnsi="source sans 3"/>
            <w:color w:val="#000"/>
            <w:sz w:val="21"/>
            <w:u w:val="single"/>
          </w:rPr>
          <w:t xml:space="preserve">OAL-CF-EST-FOUND-Grok-v0.1.0.docx</w:t>
        </w:r>
      </w:hyperlink>
      <w:r>
        <w:rPr>
          <w:rFonts w:eastAsia="source serif 4" w:cs="source serif 4" w:ascii="source serif 4" w:hAnsi="source serif 4"/>
          <w:color w:val="000000"/>
          <w:sz w:val="21"/>
        </w:rPr>
        <w:t xml:space="preserve"> - </w:t>
      </w:r>
      <w:r>
        <w:rPr>
          <w:rFonts w:eastAsia="source serif 4" w:cs="source serif 4" w:ascii="source serif 4" w:hAnsi="source serif 4"/>
          <w:b/>
          <w:color w:val="000000"/>
          <w:sz w:val="21"/>
        </w:rPr>
        <w:t xml:space="preserve">OMNIVERSAL ARCHITECT LABS · LIVING DOCUMENTATION</w:t>
      </w:r>
    </w:p>
    <w:p>
      <w:pPr>
        <w:spacing w:line="360" w:after="210" w:lineRule="auto"/>
      </w:pPr>
      <w:r>
        <w:rPr>
          <w:rFonts w:eastAsia="source serif 4" w:cs="source serif 4" w:ascii="source serif 4" w:hAnsi="source serif 4"/>
          <w:color w:val="000000"/>
        </w:rPr>
        <w:t xml:space="preserve">**From Control Flow to Biological Evolution ...</w:t>
      </w:r>
    </w:p>
    <w:p>
      <w:pPr>
        <w:numPr>
          <w:ilvl w:val="0"/>
          <w:numId w:val="14"/>
        </w:numPr>
        <w:spacing w:line="360" w:before="105" w:after="105" w:lineRule="auto"/>
      </w:pPr>
      <w:hyperlink r:id="rId6">
        <w:r>
          <w:rPr>
            <w:rFonts w:eastAsia="source sans 3" w:cs="source sans 3" w:ascii="source sans 3" w:hAnsi="source sans 3"/>
            <w:color w:val="#000"/>
            <w:sz w:val="21"/>
            <w:u w:val="single"/>
          </w:rPr>
          <w:t xml:space="preserve">Threat_Discernment_Foundation_v0.1.docx</w:t>
        </w:r>
      </w:hyperlink>
      <w:r>
        <w:rPr>
          <w:rFonts w:eastAsia="source serif 4" w:cs="source serif 4" w:ascii="source serif 4" w:hAnsi="source serif 4"/>
          <w:color w:val="000000"/>
          <w:sz w:val="21"/>
        </w:rPr>
        <w:t xml:space="preserve"> - FOUNDATIONAL DESIGN BASIS</w:t>
      </w:r>
    </w:p>
    <w:p>
      <w:pPr>
        <w:spacing w:line="270" w:before="157.5" w:after="157.5" w:lineRule="auto"/>
        <w:jc w:val="left"/>
      </w:pPr>
      <w:bookmarkStart w:id="28" w:name="threat_discernment_under_uncertainty"/>
      <w:r>
        <w:rPr>
          <w:rFonts w:eastAsia="source serif 4" w:cs="source serif 4" w:ascii="source serif 4" w:hAnsi="source serif 4"/>
          <w:b/>
          <w:color w:val="000000"/>
          <w:sz w:val="39"/>
        </w:rPr>
        <w:t xml:space="preserve">Threat Discernment Under Uncertainty</w:t>
      </w:r>
      <w:bookmarkEnd w:id="28"/>
    </w:p>
    <w:p>
      <w:pPr>
        <w:spacing w:line="360" w:after="210" w:lineRule="auto"/>
      </w:pPr>
      <w:r>
        <w:rPr>
          <w:rFonts w:eastAsia="source serif 4" w:cs="source serif 4" w:ascii="source serif 4" w:hAnsi="source serif 4"/>
          <w:color w:val="000000"/>
        </w:rPr>
        <w:t xml:space="preserve">*From control flow to biologi...</w:t>
      </w:r>
    </w:p>
    <w:p>
      <w:pPr>
        <w:numPr>
          <w:ilvl w:val="0"/>
          <w:numId w:val="15"/>
        </w:numPr>
        <w:spacing w:line="360" w:after="210" w:lineRule="auto"/>
      </w:pPr>
      <w:hyperlink r:id="rId7">
        <w:r>
          <w:rPr>
            <w:rFonts w:eastAsia="source sans 3" w:cs="source sans 3" w:ascii="source sans 3" w:hAnsi="source sans 3"/>
            <w:color w:val="#000"/>
            <w:sz w:val="21"/>
            <w:u w:val="single"/>
          </w:rPr>
          <w:t xml:space="preserve">foundational-document-environmental-sensing.docx</w:t>
        </w:r>
      </w:hyperlink>
      <w:r>
        <w:rPr>
          <w:rFonts w:eastAsia="source serif 4" w:cs="source serif 4" w:ascii="source serif 4" w:hAnsi="source serif 4"/>
          <w:color w:val="000000"/>
          <w:sz w:val="21"/>
        </w:rPr>
        <w:t xml:space="preserve"> - Document ID OAL-CFML-ESI-001-CLAUDE --- --- Title Discernment Under Unreliable Foundations A Control...</w:t>
      </w:r>
    </w:p>
    <w:p>
      <w:pPr>
        <w:numPr>
          <w:ilvl w:val="0"/>
          <w:numId w:val="15"/>
        </w:numPr>
        <w:spacing w:line="360" w:after="210" w:lineRule="auto"/>
      </w:pPr>
      <w:hyperlink r:id="rId8">
        <w:r>
          <w:rPr>
            <w:rFonts w:eastAsia="source sans 3" w:cs="source sans 3" w:ascii="source sans 3" w:hAnsi="source sans 3"/>
            <w:color w:val="#000"/>
            <w:sz w:val="21"/>
            <w:u w:val="single"/>
          </w:rPr>
          <w:t xml:space="preserve">OAL_Environmental_Threat_Discernment_Foundation_ChatGPT_v0.1.0.pdf</w:t>
        </w:r>
      </w:hyperlink>
      <w:r>
        <w:rPr>
          <w:rFonts w:eastAsia="source serif 4" w:cs="source serif 4" w:ascii="source serif 4" w:hAnsi="source serif 4"/>
          <w:color w:val="000000"/>
          <w:sz w:val="21"/>
        </w:rPr>
        <w:t xml:space="preserve"> - OMNIVERSAL ARCHITECT LABS | CONTROL FLOW / ENVIRONMENTAL DISCERNMENT RESEARCH | INDEPENDENT CHATGPT ...</w:t>
      </w:r>
    </w:p>
    <w:p>
      <w:pPr>
        <w:numPr>
          <w:ilvl w:val="0"/>
          <w:numId w:val="15"/>
        </w:numPr>
        <w:spacing w:line="360" w:after="210" w:lineRule="auto"/>
      </w:pPr>
      <w:hyperlink r:id="rId9">
        <w:r>
          <w:rPr>
            <w:rFonts w:eastAsia="source sans 3" w:cs="source sans 3" w:ascii="source sans 3" w:hAnsi="source sans 3"/>
            <w:color w:val="#000"/>
            <w:sz w:val="21"/>
            <w:u w:val="single"/>
          </w:rPr>
          <w:t xml:space="preserve">OAL-CFML-ESI-001-COP-Environmental-Sensing-State-Integrity-and-Threat-Discernment-Copilot-Indepe.pdf</w:t>
        </w:r>
      </w:hyperlink>
      <w:r>
        <w:rPr>
          <w:rFonts w:eastAsia="source serif 4" w:cs="source serif 4" w:ascii="source serif 4" w:hAnsi="source serif 4"/>
          <w:color w:val="000000"/>
          <w:sz w:val="21"/>
        </w:rPr>
        <w:t xml:space="preserve"> - OAL-CFML-ESI-001-COP | v1.0 | September 21, 2026 | Omniversal Architect Labs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Environmental Sen...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2"/>
      <w:numFmt w:val="decimal"/>
      <w:lvlText w:val="%1."/>
      <w:lvlJc w:val="left"/>
      <w:pPr>
        <w:tabs>
          <w:tab w:val="num" w:pos="900"/>
        </w:tabs>
        <w:ind w:left="540" w:hanging="360"/>
      </w:pPr>
    </w:lvl>
  </w:abstractNum>
  <w:abstractNum w:abstractNumId="15">
    <w:multiLevelType w:val="hybridMultilevel"/>
    <w:lvl w:ilvl="0">
      <w:start w:val="3"/>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pl-ai-file-upload.s3.amazonaws.com/web/direct-files/attachments/456314/adb00cb4-d8a6-4b1d-85ba-82c1f7b94966/OAL-CF-EST-FOUND-Grok-v0.1.0.docx?AWSAccessKeyId=ASIA2F3EMEYEU6P4AEJU&amp;Signature=JKE4U4wLah3F6uHyDRDCnbw2%2FMw%3D&amp;x-amz-security-token=IQoJb3JpZ2luX2VjEND%2F%2F%2F%2F%2F%2F%2F%2F%2F%2FwEaCXVzLWVhc3QtMSJHMEUCIAX04DnKo4FUv50ugnBD6p3NYFz9toFbcPwxR75zfF2cAiEAos%2FRVKN%2FjQL3InSIVJPQETFcpElgnZKQDv3OQyt8EqYq%2FAQImP%2F%2F%2F%2F%2F%2F%2F%2F%2F%2FARABGgw2OTk3NTMzMDk3MDUiDGtgPn2jHgtagjJVByrQBBgjDzSb3r244Zz7cgC15qlTxn8Wqvp4TF%2FfPRw3iMLp9AN4bkr1XFD5LlNKRR18IPs2E1SqXZWZk6itssNGCHQkyWGMxjiafDkSluh4H78TBNFoxiNH2Oc%2B0yvt8BejLW3sH%2FwHaKzoWfMlYK5goPxS9Sct0KV%2BvEftWk69wTH0%2FOl%2F7dkLeOs%2BZu2zQXIeyjKy7O%2BkQRBCpuGGGBdid9YMaFSATNn7xdyFG9gT%2BocBTBtfXwmbM18vLn%2BqnJXzDO1t9OY7vcepRa%2FSnpJAavdMOAyyku8n5wNd8KZDCSgt933MdJdYjcgbp6vnqcKG%2BUv%2B%2FXaTAw5JkMHKeoaPMWUJK562PpgWzRmCAYXLqs72MxaeElbDI8%2Ff2S9A0GswzQMUE9u8G%2Fu4cmlM2HOmgjCC2hQJiV8EbUp0bKUdqgxtILDYXQBoO2fNDxbu44N6zrcGmCtCkE%2Bzq8TqN%2FkBIdfOlD5tlB9MM72n%2BhGpv7CXa2qKTir4sOVq6Vf8oGPsWdhj1bD9AkcQfoWmYkuMUHOYnnC43Art2Z46jZFk3xLnRSb2wTubw7RZMYIfBE9CSeV0ELvnD27VudB3T98IdvOIa%2BVFqF0f%2B2YlEpsacIT8OxWYE%2BKnZIzT9oJ3LmAQ3qE%2FytZiwAJcweJwhDWaZbRaz7rdHARkBdDHLyd5IUmSOKoKGIUiE%2FWNrFtVuDd5kHWMI8rmxxRnmrUp%2BI2%2BJtYuh58KyEIYJBo3audO2bu7m1%2FW6qXmDrDpdRyTNPQHjtjtnS6Uq%2B7fzRJPn4PfXF4wz4nH1QY6mAE5MBST2OibrMznPy4REd25xydwjY73fKdgkkpTPWMwz8Nvp3JSo6xHGi3JYYK5TTeLJkTBkrrmznNDZLFiJPv8I%2Fvnn3zeN04JLvsjrhDAXW4yebcebXqrTWi1tm5b5a7sJepTr5wVGirhO%2F1H5cXFWLfXyEeH6BxyebAHhY83otPrqdFpqsQ3VgoFD3KE2nLpipmLsANNgA%3D%3D&amp;Expires=1790038690" TargetMode="External"/><Relationship Id="rId6" Type="http://schemas.openxmlformats.org/officeDocument/2006/relationships/hyperlink" Target="https://ppl-ai-file-upload.s3.amazonaws.com/web/direct-files/attachments/456314/6491130d-311f-4112-991a-f7a7131383ff/Threat_Discernment_Foundation_v0.1.docx?AWSAccessKeyId=ASIA2F3EMEYEU6P4AEJU&amp;Signature=3xi%2BBmm4xzviam3lm%2FYmmVbxX4o%3D&amp;x-amz-security-token=IQoJb3JpZ2luX2VjEND%2F%2F%2F%2F%2F%2F%2F%2F%2F%2FwEaCXVzLWVhc3QtMSJHMEUCIAX04DnKo4FUv50ugnBD6p3NYFz9toFbcPwxR75zfF2cAiEAos%2FRVKN%2FjQL3InSIVJPQETFcpElgnZKQDv3OQyt8EqYq%2FAQImP%2F%2F%2F%2F%2F%2F%2F%2F%2F%2FARABGgw2OTk3NTMzMDk3MDUiDGtgPn2jHgtagjJVByrQBBgjDzSb3r244Zz7cgC15qlTxn8Wqvp4TF%2FfPRw3iMLp9AN4bkr1XFD5LlNKRR18IPs2E1SqXZWZk6itssNGCHQkyWGMxjiafDkSluh4H78TBNFoxiNH2Oc%2B0yvt8BejLW3sH%2FwHaKzoWfMlYK5goPxS9Sct0KV%2BvEftWk69wTH0%2FOl%2F7dkLeOs%2BZu2zQXIeyjKy7O%2BkQRBCpuGGGBdid9YMaFSATNn7xdyFG9gT%2BocBTBtfXwmbM18vLn%2BqnJXzDO1t9OY7vcepRa%2FSnpJAavdMOAyyku8n5wNd8KZDCSgt933MdJdYjcgbp6vnqcKG%2BUv%2B%2FXaTAw5JkMHKeoaPMWUJK562PpgWzRmCAYXLqs72MxaeElbDI8%2Ff2S9A0GswzQMUE9u8G%2Fu4cmlM2HOmgjCC2hQJiV8EbUp0bKUdqgxtILDYXQBoO2fNDxbu44N6zrcGmCtCkE%2Bzq8TqN%2FkBIdfOlD5tlB9MM72n%2BhGpv7CXa2qKTir4sOVq6Vf8oGPsWdhj1bD9AkcQfoWmYkuMUHOYnnC43Art2Z46jZFk3xLnRSb2wTubw7RZMYIfBE9CSeV0ELvnD27VudB3T98IdvOIa%2BVFqF0f%2B2YlEpsacIT8OxWYE%2BKnZIzT9oJ3LmAQ3qE%2FytZiwAJcweJwhDWaZbRaz7rdHARkBdDHLyd5IUmSOKoKGIUiE%2FWNrFtVuDd5kHWMI8rmxxRnmrUp%2BI2%2BJtYuh58KyEIYJBo3audO2bu7m1%2FW6qXmDrDpdRyTNPQHjtjtnS6Uq%2B7fzRJPn4PfXF4wz4nH1QY6mAE5MBST2OibrMznPy4REd25xydwjY73fKdgkkpTPWMwz8Nvp3JSo6xHGi3JYYK5TTeLJkTBkrrmznNDZLFiJPv8I%2Fvnn3zeN04JLvsjrhDAXW4yebcebXqrTWi1tm5b5a7sJepTr5wVGirhO%2F1H5cXFWLfXyEeH6BxyebAHhY83otPrqdFpqsQ3VgoFD3KE2nLpipmLsANNgA%3D%3D&amp;Expires=1790038690" TargetMode="External"/><Relationship Id="rId7" Type="http://schemas.openxmlformats.org/officeDocument/2006/relationships/hyperlink" Target="https://ppl-ai-file-upload.s3.amazonaws.com/web/direct-files/attachments/456314/ad6cd0a9-efcd-4c46-bfe7-1a7321e44814/foundational-document-environmental-sensing.docx?AWSAccessKeyId=ASIA2F3EMEYEU6P4AEJU&amp;Signature=XP99dM9lAlt%2Fl7sThZbYTrEsUHM%3D&amp;x-amz-security-token=IQoJb3JpZ2luX2VjEND%2F%2F%2F%2F%2F%2F%2F%2F%2F%2FwEaCXVzLWVhc3QtMSJHMEUCIAX04DnKo4FUv50ugnBD6p3NYFz9toFbcPwxR75zfF2cAiEAos%2FRVKN%2FjQL3InSIVJPQETFcpElgnZKQDv3OQyt8EqYq%2FAQImP%2F%2F%2F%2F%2F%2F%2F%2F%2F%2FARABGgw2OTk3NTMzMDk3MDUiDGtgPn2jHgtagjJVByrQBBgjDzSb3r244Zz7cgC15qlTxn8Wqvp4TF%2FfPRw3iMLp9AN4bkr1XFD5LlNKRR18IPs2E1SqXZWZk6itssNGCHQkyWGMxjiafDkSluh4H78TBNFoxiNH2Oc%2B0yvt8BejLW3sH%2FwHaKzoWfMlYK5goPxS9Sct0KV%2BvEftWk69wTH0%2FOl%2F7dkLeOs%2BZu2zQXIeyjKy7O%2BkQRBCpuGGGBdid9YMaFSATNn7xdyFG9gT%2BocBTBtfXwmbM18vLn%2BqnJXzDO1t9OY7vcepRa%2FSnpJAavdMOAyyku8n5wNd8KZDCSgt933MdJdYjcgbp6vnqcKG%2BUv%2B%2FXaTAw5JkMHKeoaPMWUJK562PpgWzRmCAYXLqs72MxaeElbDI8%2Ff2S9A0GswzQMUE9u8G%2Fu4cmlM2HOmgjCC2hQJiV8EbUp0bKUdqgxtILDYXQBoO2fNDxbu44N6zrcGmCtCkE%2Bzq8TqN%2FkBIdfOlD5tlB9MM72n%2BhGpv7CXa2qKTir4sOVq6Vf8oGPsWdhj1bD9AkcQfoWmYkuMUHOYnnC43Art2Z46jZFk3xLnRSb2wTubw7RZMYIfBE9CSeV0ELvnD27VudB3T98IdvOIa%2BVFqF0f%2B2YlEpsacIT8OxWYE%2BKnZIzT9oJ3LmAQ3qE%2FytZiwAJcweJwhDWaZbRaz7rdHARkBdDHLyd5IUmSOKoKGIUiE%2FWNrFtVuDd5kHWMI8rmxxRnmrUp%2BI2%2BJtYuh58KyEIYJBo3audO2bu7m1%2FW6qXmDrDpdRyTNPQHjtjtnS6Uq%2B7fzRJPn4PfXF4wz4nH1QY6mAE5MBST2OibrMznPy4REd25xydwjY73fKdgkkpTPWMwz8Nvp3JSo6xHGi3JYYK5TTeLJkTBkrrmznNDZLFiJPv8I%2Fvnn3zeN04JLvsjrhDAXW4yebcebXqrTWi1tm5b5a7sJepTr5wVGirhO%2F1H5cXFWLfXyEeH6BxyebAHhY83otPrqdFpqsQ3VgoFD3KE2nLpipmLsANNgA%3D%3D&amp;Expires=1790038690" TargetMode="External"/><Relationship Id="rId8" Type="http://schemas.openxmlformats.org/officeDocument/2006/relationships/hyperlink" Target="https://ppl-ai-file-upload.s3.amazonaws.com/web/direct-files/attachments/456314/77062980-21da-4624-963f-2d7bacbd1e9f/OAL_Environmental_Threat_Discernment_Foundation_ChatGPT_v0.1.0.pdf?AWSAccessKeyId=ASIA2F3EMEYEU6P4AEJU&amp;Signature=f%2BTTNSrVJ5IY9QdEyhf7S%2FflKlo%3D&amp;x-amz-security-token=IQoJb3JpZ2luX2VjEND%2F%2F%2F%2F%2F%2F%2F%2F%2F%2FwEaCXVzLWVhc3QtMSJHMEUCIAX04DnKo4FUv50ugnBD6p3NYFz9toFbcPwxR75zfF2cAiEAos%2FRVKN%2FjQL3InSIVJPQETFcpElgnZKQDv3OQyt8EqYq%2FAQImP%2F%2F%2F%2F%2F%2F%2F%2F%2F%2FARABGgw2OTk3NTMzMDk3MDUiDGtgPn2jHgtagjJVByrQBBgjDzSb3r244Zz7cgC15qlTxn8Wqvp4TF%2FfPRw3iMLp9AN4bkr1XFD5LlNKRR18IPs2E1SqXZWZk6itssNGCHQkyWGMxjiafDkSluh4H78TBNFoxiNH2Oc%2B0yvt8BejLW3sH%2FwHaKzoWfMlYK5goPxS9Sct0KV%2BvEftWk69wTH0%2FOl%2F7dkLeOs%2BZu2zQXIeyjKy7O%2BkQRBCpuGGGBdid9YMaFSATNn7xdyFG9gT%2BocBTBtfXwmbM18vLn%2BqnJXzDO1t9OY7vcepRa%2FSnpJAavdMOAyyku8n5wNd8KZDCSgt933MdJdYjcgbp6vnqcKG%2BUv%2B%2FXaTAw5JkMHKeoaPMWUJK562PpgWzRmCAYXLqs72MxaeElbDI8%2Ff2S9A0GswzQMUE9u8G%2Fu4cmlM2HOmgjCC2hQJiV8EbUp0bKUdqgxtILDYXQBoO2fNDxbu44N6zrcGmCtCkE%2Bzq8TqN%2FkBIdfOlD5tlB9MM72n%2BhGpv7CXa2qKTir4sOVq6Vf8oGPsWdhj1bD9AkcQfoWmYkuMUHOYnnC43Art2Z46jZFk3xLnRSb2wTubw7RZMYIfBE9CSeV0ELvnD27VudB3T98IdvOIa%2BVFqF0f%2B2YlEpsacIT8OxWYE%2BKnZIzT9oJ3LmAQ3qE%2FytZiwAJcweJwhDWaZbRaz7rdHARkBdDHLyd5IUmSOKoKGIUiE%2FWNrFtVuDd5kHWMI8rmxxRnmrUp%2BI2%2BJtYuh58KyEIYJBo3audO2bu7m1%2FW6qXmDrDpdRyTNPQHjtjtnS6Uq%2B7fzRJPn4PfXF4wz4nH1QY6mAE5MBST2OibrMznPy4REd25xydwjY73fKdgkkpTPWMwz8Nvp3JSo6xHGi3JYYK5TTeLJkTBkrrmznNDZLFiJPv8I%2Fvnn3zeN04JLvsjrhDAXW4yebcebXqrTWi1tm5b5a7sJepTr5wVGirhO%2F1H5cXFWLfXyEeH6BxyebAHhY83otPrqdFpqsQ3VgoFD3KE2nLpipmLsANNgA%3D%3D&amp;Expires=1790038690" TargetMode="External"/><Relationship Id="rId9" Type="http://schemas.openxmlformats.org/officeDocument/2006/relationships/hyperlink" Target="https://ppl-ai-file-upload.s3.amazonaws.com/web/direct-files/attachments/456314/e4732572-8d4e-4d88-8983-5f318664fb8e/OAL-CFML-ESI-001-COP-Environmental-Sensing-State-Integrity-and-Threat-Discernment-Copilot-Independent-Foundational-Document-v1.0.pdf?AWSAccessKeyId=ASIA2F3EMEYEU6P4AEJU&amp;Signature=VOQ%2By9Eb8ukHXtU2RgZdAuENZbQ%3D&amp;x-amz-security-token=IQoJb3JpZ2luX2VjEND%2F%2F%2F%2F%2F%2F%2F%2F%2F%2FwEaCXVzLWVhc3QtMSJHMEUCIAX04DnKo4FUv50ugnBD6p3NYFz9toFbcPwxR75zfF2cAiEAos%2FRVKN%2FjQL3InSIVJPQETFcpElgnZKQDv3OQyt8EqYq%2FAQImP%2F%2F%2F%2F%2F%2F%2F%2F%2F%2FARABGgw2OTk3NTMzMDk3MDUiDGtgPn2jHgtagjJVByrQBBgjDzSb3r244Zz7cgC15qlTxn8Wqvp4TF%2FfPRw3iMLp9AN4bkr1XFD5LlNKRR18IPs2E1SqXZWZk6itssNGCHQkyWGMxjiafDkSluh4H78TBNFoxiNH2Oc%2B0yvt8BejLW3sH%2FwHaKzoWfMlYK5goPxS9Sct0KV%2BvEftWk69wTH0%2FOl%2F7dkLeOs%2BZu2zQXIeyjKy7O%2BkQRBCpuGGGBdid9YMaFSATNn7xdyFG9gT%2BocBTBtfXwmbM18vLn%2BqnJXzDO1t9OY7vcepRa%2FSnpJAavdMOAyyku8n5wNd8KZDCSgt933MdJdYjcgbp6vnqcKG%2BUv%2B%2FXaTAw5JkMHKeoaPMWUJK562PpgWzRmCAYXLqs72MxaeElbDI8%2Ff2S9A0GswzQMUE9u8G%2Fu4cmlM2HOmgjCC2hQJiV8EbUp0bKUdqgxtILDYXQBoO2fNDxbu44N6zrcGmCtCkE%2Bzq8TqN%2FkBIdfOlD5tlB9MM72n%2BhGpv7CXa2qKTir4sOVq6Vf8oGPsWdhj1bD9AkcQfoWmYkuMUHOYnnC43Art2Z46jZFk3xLnRSb2wTubw7RZMYIfBE9CSeV0ELvnD27VudB3T98IdvOIa%2BVFqF0f%2B2YlEpsacIT8OxWYE%2BKnZIzT9oJ3LmAQ3qE%2FytZiwAJcweJwhDWaZbRaz7rdHARkBdDHLyd5IUmSOKoKGIUiE%2FWNrFtVuDd5kHWMI8rmxxRnmrUp%2BI2%2BJtYuh58KyEIYJBo3audO2bu7m1%2FW6qXmDrDpdRyTNPQHjtjtnS6Uq%2B7fzRJPn4PfXF4wz4nH1QY6mAE5MBST2OibrMznPy4REd25xydwjY73fKdgkkpTPWMwz8Nvp3JSo6xHGi3JYYK5TTeLJkTBkrrmznNDZLFiJPv8I%2Fvnn3zeN04JLvsjrhDAXW4yebcebXqrTWi1tm5b5a7sJepTr5wVGirhO%2F1H5cXFWLfXyEeH6BxyebAHhY83otPrqdFpqsQ3VgoFD3KE2nLpipmLsANNgA%3D%3D&amp;Expires=179003869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2026-09-22T00:17:25.237Z</dcterms:created>
  <dcterms:modified xsi:type="dcterms:W3CDTF">2026-09-22T00:17:25.237Z</dcterms:modified>
</cp:coreProperties>
</file>