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OMNIVERSAL ARCHITECT LABS</w:t>
      </w:r>
    </w:p>
    <w:p>
      <w:pPr>
        <w:spacing w:after="60"/>
        <w:jc w:val="center"/>
      </w:pPr>
      <w:r>
        <w:rPr>
          <w:color w:val="555555"/>
          <w:sz w:val="18"/>
          <w:szCs w:val="18"/>
        </w:rPr>
        <w:t xml:space="preserve">TEMPORAL ALIASING INCORPORATION FRAMEWORK — CLAUDE PASS</w:t>
      </w:r>
    </w:p>
    <w:p>
      <w:pPr>
        <w:spacing w:after="60" w:before="200"/>
        <w:jc w:val="center"/>
      </w:pPr>
      <w:r>
        <w:rPr>
          <w:b/>
          <w:bCs/>
          <w:sz w:val="32"/>
          <w:szCs w:val="32"/>
        </w:rPr>
        <w:t xml:space="preserve">ADDENDUM C</w:t>
      </w:r>
    </w:p>
    <w:p>
      <w:pPr>
        <w:spacing w:after="300"/>
        <w:jc w:val="center"/>
      </w:pPr>
      <w:r>
        <w:rPr>
          <w:i/>
          <w:iCs/>
          <w:sz w:val="22"/>
          <w:szCs w:val="22"/>
        </w:rPr>
        <w:t xml:space="preserve">Terminology Correction and Author Clarification: Provenance, Providence, and Authority-Provenance</w:t>
      </w:r>
    </w:p>
    <w:p>
      <w:pPr>
        <w:spacing w:after="300"/>
        <w:jc w:val="center"/>
      </w:pPr>
      <w:r>
        <w:rPr>
          <w:sz w:val="20"/>
          <w:szCs w:val="20"/>
        </w:rPr>
        <w:t xml:space="preserve">An independent terminology-governance pass locking the distinction between provenance and Providence across the Claude-authored branch of this framework, cross-checked against the parallel ChatGPT correction (OAL-TI-001-CHATGPT v1.3).</w:t>
      </w:r>
    </w:p>
    <w:p>
      <w:pPr>
        <w:spacing w:after="300"/>
        <w:jc w:val="center"/>
      </w:pPr>
      <w:r>
        <w:rPr>
          <w:b/>
          <w:bCs/>
          <w:sz w:val="18"/>
          <w:szCs w:val="18"/>
        </w:rPr>
        <w:t xml:space="preserve">Working draft for Architect review. Not canon. This is a terminology-governance document; it changes no mechanism defined in ADD-A or ADD-B.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FEFEF" w:color="auto" w:val="clear"/>
            <w:tcMar>
              <w:top w:type="dxa" w:w="80"/>
              <w:left w:type="dxa" w:w="100"/>
              <w:bottom w:type="dxa" w:w="80"/>
              <w:right w:type="dxa" w:w="100"/>
            </w:tcMar>
          </w:tcPr>
          <w:p>
            <w:r>
              <w:rPr>
                <w:b/>
                <w:bCs/>
              </w:rPr>
              <w:t xml:space="preserve">Document ID</w:t>
            </w:r>
          </w:p>
        </w:tc>
        <w:tc>
          <w:tcPr>
            <w:tcW w:type="dxa" w:w="7000"/>
            <w:tcMar>
              <w:top w:type="dxa" w:w="80"/>
              <w:left w:type="dxa" w:w="100"/>
              <w:bottom w:type="dxa" w:w="80"/>
              <w:right w:type="dxa" w:w="100"/>
            </w:tcMar>
          </w:tcPr>
          <w:p>
            <w:r>
              <w:rPr>
                <w:b w:val="false"/>
                <w:bCs w:val="false"/>
              </w:rPr>
              <w:t xml:space="preserve">OAL-TA-001-CLAUDE-ADD-C</w:t>
            </w:r>
          </w:p>
        </w:tc>
      </w:tr>
      <w:tr>
        <w:tc>
          <w:tcPr>
            <w:tcW w:type="dxa" w:w="2600"/>
            <w:shd w:fill="EFEFEF" w:color="auto" w:val="clear"/>
            <w:tcMar>
              <w:top w:type="dxa" w:w="80"/>
              <w:left w:type="dxa" w:w="100"/>
              <w:bottom w:type="dxa" w:w="80"/>
              <w:right w:type="dxa" w:w="100"/>
            </w:tcMar>
          </w:tcPr>
          <w:p>
            <w:r>
              <w:rPr>
                <w:b/>
                <w:bCs/>
              </w:rPr>
              <w:t xml:space="preserve">Title</w:t>
            </w:r>
          </w:p>
        </w:tc>
        <w:tc>
          <w:tcPr>
            <w:tcW w:type="dxa" w:w="7000"/>
            <w:tcMar>
              <w:top w:type="dxa" w:w="80"/>
              <w:left w:type="dxa" w:w="100"/>
              <w:bottom w:type="dxa" w:w="80"/>
              <w:right w:type="dxa" w:w="100"/>
            </w:tcMar>
          </w:tcPr>
          <w:p>
            <w:r>
              <w:rPr>
                <w:b w:val="false"/>
                <w:bCs w:val="false"/>
              </w:rPr>
              <w:t xml:space="preserve">Temporal Aliasing Incorporation Framework — Addendum C: Terminology Correction and Author Clarification</w:t>
            </w:r>
          </w:p>
        </w:tc>
      </w:tr>
      <w:tr>
        <w:tc>
          <w:tcPr>
            <w:tcW w:type="dxa" w:w="2600"/>
            <w:shd w:fill="EFEFEF" w:color="auto" w:val="clear"/>
            <w:tcMar>
              <w:top w:type="dxa" w:w="80"/>
              <w:left w:type="dxa" w:w="100"/>
              <w:bottom w:type="dxa" w:w="80"/>
              <w:right w:type="dxa" w:w="100"/>
            </w:tcMar>
          </w:tcPr>
          <w:p>
            <w:r>
              <w:rPr>
                <w:b/>
                <w:bCs/>
              </w:rPr>
              <w:t xml:space="preserve">Version</w:t>
            </w:r>
          </w:p>
        </w:tc>
        <w:tc>
          <w:tcPr>
            <w:tcW w:type="dxa" w:w="7000"/>
            <w:tcMar>
              <w:top w:type="dxa" w:w="80"/>
              <w:left w:type="dxa" w:w="100"/>
              <w:bottom w:type="dxa" w:w="80"/>
              <w:right w:type="dxa" w:w="100"/>
            </w:tcMar>
          </w:tcPr>
          <w:p>
            <w:r>
              <w:rPr>
                <w:b w:val="false"/>
                <w:bCs w:val="false"/>
              </w:rPr>
              <w:t xml:space="preserve">1.3-CLAUDE (Draft — Under Review)</w:t>
            </w:r>
          </w:p>
        </w:tc>
      </w:tr>
      <w:tr>
        <w:tc>
          <w:tcPr>
            <w:tcW w:type="dxa" w:w="2600"/>
            <w:shd w:fill="EFEFEF" w:color="auto" w:val="clear"/>
            <w:tcMar>
              <w:top w:type="dxa" w:w="80"/>
              <w:left w:type="dxa" w:w="100"/>
              <w:bottom w:type="dxa" w:w="80"/>
              <w:right w:type="dxa" w:w="100"/>
            </w:tcMar>
          </w:tcPr>
          <w:p>
            <w:r>
              <w:rPr>
                <w:b/>
                <w:bCs/>
              </w:rPr>
              <w:t xml:space="preserve">Date of Issue</w:t>
            </w:r>
          </w:p>
        </w:tc>
        <w:tc>
          <w:tcPr>
            <w:tcW w:type="dxa" w:w="7000"/>
            <w:tcMar>
              <w:top w:type="dxa" w:w="80"/>
              <w:left w:type="dxa" w:w="100"/>
              <w:bottom w:type="dxa" w:w="80"/>
              <w:right w:type="dxa" w:w="100"/>
            </w:tcMar>
          </w:tcPr>
          <w:p>
            <w:r>
              <w:rPr>
                <w:b w:val="false"/>
                <w:bCs w:val="false"/>
              </w:rPr>
              <w:t xml:space="preserve">7 September 2026</w:t>
            </w:r>
          </w:p>
        </w:tc>
      </w:tr>
      <w:tr>
        <w:tc>
          <w:tcPr>
            <w:tcW w:type="dxa" w:w="2600"/>
            <w:shd w:fill="EFEFEF" w:color="auto" w:val="clear"/>
            <w:tcMar>
              <w:top w:type="dxa" w:w="80"/>
              <w:left w:type="dxa" w:w="100"/>
              <w:bottom w:type="dxa" w:w="80"/>
              <w:right w:type="dxa" w:w="100"/>
            </w:tcMar>
          </w:tcPr>
          <w:p>
            <w:r>
              <w:rPr>
                <w:b/>
                <w:bCs/>
              </w:rPr>
              <w:t xml:space="preserve">Prepared by</w:t>
            </w:r>
          </w:p>
        </w:tc>
        <w:tc>
          <w:tcPr>
            <w:tcW w:type="dxa" w:w="7000"/>
            <w:tcMar>
              <w:top w:type="dxa" w:w="80"/>
              <w:left w:type="dxa" w:w="100"/>
              <w:bottom w:type="dxa" w:w="80"/>
              <w:right w:type="dxa" w:w="100"/>
            </w:tcMar>
          </w:tcPr>
          <w:p>
            <w:r>
              <w:rPr>
                <w:b w:val="false"/>
                <w:bCs w:val="false"/>
              </w:rPr>
              <w:t xml:space="preserve">Claude (Research / Synthesis / Independent Audit Layer)</w:t>
            </w:r>
          </w:p>
        </w:tc>
      </w:tr>
      <w:tr>
        <w:tc>
          <w:tcPr>
            <w:tcW w:type="dxa" w:w="2600"/>
            <w:shd w:fill="EFEFEF" w:color="auto" w:val="clear"/>
            <w:tcMar>
              <w:top w:type="dxa" w:w="80"/>
              <w:left w:type="dxa" w:w="100"/>
              <w:bottom w:type="dxa" w:w="80"/>
              <w:right w:type="dxa" w:w="100"/>
            </w:tcMar>
          </w:tcPr>
          <w:p>
            <w:r>
              <w:rPr>
                <w:b/>
                <w:bCs/>
              </w:rPr>
              <w:t xml:space="preserve">Architect of Record</w:t>
            </w:r>
          </w:p>
        </w:tc>
        <w:tc>
          <w:tcPr>
            <w:tcW w:type="dxa" w:w="7000"/>
            <w:tcMar>
              <w:top w:type="dxa" w:w="80"/>
              <w:left w:type="dxa" w:w="100"/>
              <w:bottom w:type="dxa" w:w="80"/>
              <w:right w:type="dxa" w:w="100"/>
            </w:tcMar>
          </w:tcPr>
          <w:p>
            <w:r>
              <w:rPr>
                <w:b w:val="false"/>
                <w:bCs w:val="false"/>
              </w:rPr>
              <w:t xml:space="preserve">Nathan Lewis II</w:t>
            </w:r>
          </w:p>
        </w:tc>
      </w:tr>
      <w:tr>
        <w:tc>
          <w:tcPr>
            <w:tcW w:type="dxa" w:w="2600"/>
            <w:shd w:fill="EFEFEF" w:color="auto" w:val="clear"/>
            <w:tcMar>
              <w:top w:type="dxa" w:w="80"/>
              <w:left w:type="dxa" w:w="100"/>
              <w:bottom w:type="dxa" w:w="80"/>
              <w:right w:type="dxa" w:w="100"/>
            </w:tcMar>
          </w:tcPr>
          <w:p>
            <w:r>
              <w:rPr>
                <w:b/>
                <w:bCs/>
              </w:rPr>
              <w:t xml:space="preserve">Governing documents</w:t>
            </w:r>
          </w:p>
        </w:tc>
        <w:tc>
          <w:tcPr>
            <w:tcW w:type="dxa" w:w="7000"/>
            <w:tcMar>
              <w:top w:type="dxa" w:w="80"/>
              <w:left w:type="dxa" w:w="100"/>
              <w:bottom w:type="dxa" w:w="80"/>
              <w:right w:type="dxa" w:w="100"/>
            </w:tcMar>
          </w:tcPr>
          <w:p>
            <w:r>
              <w:rPr>
                <w:b w:val="false"/>
                <w:bCs w:val="false"/>
              </w:rPr>
              <w:t xml:space="preserve">OAL-TA-001-CLAUDE v1.0; ADD-A v1.1; ADD-B v1.2</w:t>
            </w:r>
          </w:p>
        </w:tc>
      </w:tr>
      <w:tr>
        <w:tc>
          <w:tcPr>
            <w:tcW w:type="dxa" w:w="2600"/>
            <w:shd w:fill="EFEFEF" w:color="auto" w:val="clear"/>
            <w:tcMar>
              <w:top w:type="dxa" w:w="80"/>
              <w:left w:type="dxa" w:w="100"/>
              <w:bottom w:type="dxa" w:w="80"/>
              <w:right w:type="dxa" w:w="100"/>
            </w:tcMar>
          </w:tcPr>
          <w:p>
            <w:r>
              <w:rPr>
                <w:b/>
                <w:bCs/>
              </w:rPr>
              <w:t xml:space="preserve">Cross-referenced independent pass</w:t>
            </w:r>
          </w:p>
        </w:tc>
        <w:tc>
          <w:tcPr>
            <w:tcW w:type="dxa" w:w="7000"/>
            <w:tcMar>
              <w:top w:type="dxa" w:w="80"/>
              <w:left w:type="dxa" w:w="100"/>
              <w:bottom w:type="dxa" w:w="80"/>
              <w:right w:type="dxa" w:w="100"/>
            </w:tcMar>
          </w:tcPr>
          <w:p>
            <w:r>
              <w:rPr>
                <w:b w:val="false"/>
                <w:bCs w:val="false"/>
              </w:rPr>
              <w:t xml:space="preserve">OAL-TI-001-CHATGPT v1.3 ("Providence / Provenance Terminology Correction and Author Clarification") — produced independently by ChatGPT on the same author clarification; consulted here for cross-collaborator consistency, not copied</w:t>
            </w:r>
          </w:p>
        </w:tc>
      </w:tr>
      <w:tr>
        <w:tc>
          <w:tcPr>
            <w:tcW w:type="dxa" w:w="2600"/>
            <w:shd w:fill="EFEFEF" w:color="auto" w:val="clear"/>
            <w:tcMar>
              <w:top w:type="dxa" w:w="80"/>
              <w:left w:type="dxa" w:w="100"/>
              <w:bottom w:type="dxa" w:w="80"/>
              <w:right w:type="dxa" w:w="100"/>
            </w:tcMar>
          </w:tcPr>
          <w:p>
            <w:r>
              <w:rPr>
                <w:b/>
                <w:bCs/>
              </w:rPr>
              <w:t xml:space="preserve">Status</w:t>
            </w:r>
          </w:p>
        </w:tc>
        <w:tc>
          <w:tcPr>
            <w:tcW w:type="dxa" w:w="7000"/>
            <w:tcMar>
              <w:top w:type="dxa" w:w="80"/>
              <w:left w:type="dxa" w:w="100"/>
              <w:bottom w:type="dxa" w:w="80"/>
              <w:right w:type="dxa" w:w="100"/>
            </w:tcMar>
          </w:tcPr>
          <w:p>
            <w:r>
              <w:rPr>
                <w:b w:val="false"/>
                <w:bCs w:val="false"/>
              </w:rPr>
              <w:t xml:space="preserve">DRAFT — UNDER REVIEW — NOT CANON UNTIL ONESTAMP APPLIED</w:t>
            </w:r>
          </w:p>
        </w:tc>
      </w:tr>
      <w:tr>
        <w:tc>
          <w:tcPr>
            <w:tcW w:type="dxa" w:w="2600"/>
            <w:shd w:fill="EFEFEF" w:color="auto" w:val="clear"/>
            <w:tcMar>
              <w:top w:type="dxa" w:w="80"/>
              <w:left w:type="dxa" w:w="100"/>
              <w:bottom w:type="dxa" w:w="80"/>
              <w:right w:type="dxa" w:w="100"/>
            </w:tcMar>
          </w:tcPr>
          <w:p>
            <w:r>
              <w:rPr>
                <w:b/>
                <w:bCs/>
              </w:rPr>
              <w:t xml:space="preserve">ONESTAMP Status</w:t>
            </w:r>
          </w:p>
        </w:tc>
        <w:tc>
          <w:tcPr>
            <w:tcW w:type="dxa" w:w="7000"/>
            <w:tcMar>
              <w:top w:type="dxa" w:w="80"/>
              <w:left w:type="dxa" w:w="100"/>
              <w:bottom w:type="dxa" w:w="80"/>
              <w:right w:type="dxa" w:w="100"/>
            </w:tcMar>
          </w:tcPr>
          <w:p>
            <w:r>
              <w:rPr>
                <w:b w:val="false"/>
                <w:bCs w:val="false"/>
              </w:rPr>
              <w:t xml:space="preserve">PENDING — Architect ratification required</w:t>
            </w:r>
          </w:p>
        </w:tc>
      </w:tr>
      <w:tr>
        <w:tc>
          <w:tcPr>
            <w:tcW w:type="dxa" w:w="2600"/>
            <w:shd w:fill="EFEFEF" w:color="auto" w:val="clear"/>
            <w:tcMar>
              <w:top w:type="dxa" w:w="80"/>
              <w:left w:type="dxa" w:w="100"/>
              <w:bottom w:type="dxa" w:w="80"/>
              <w:right w:type="dxa" w:w="100"/>
            </w:tcMar>
          </w:tcPr>
          <w:p>
            <w:r>
              <w:rPr>
                <w:b/>
                <w:bCs/>
              </w:rPr>
              <w:t xml:space="preserve">Scope note</w:t>
            </w:r>
          </w:p>
        </w:tc>
        <w:tc>
          <w:tcPr>
            <w:tcW w:type="dxa" w:w="7000"/>
            <w:tcMar>
              <w:top w:type="dxa" w:w="80"/>
              <w:left w:type="dxa" w:w="100"/>
              <w:bottom w:type="dxa" w:w="80"/>
              <w:right w:type="dxa" w:w="100"/>
            </w:tcMar>
          </w:tcPr>
          <w:p>
            <w:r>
              <w:rPr>
                <w:b w:val="false"/>
                <w:bCs w:val="false"/>
              </w:rPr>
              <w:t xml:space="preserve">This addendum corrects and locks terminology only. It does not alter the Providence Collision Problem mechanism defined in ADD-B, the alien-empire authority-resolution reading in ADD-A, or any research content in v1.0.</w:t>
            </w:r>
          </w:p>
        </w:tc>
      </w:tr>
    </w:tbl>
    <w:p>
      <w:r>
        <w:br w:type="page"/>
      </w:r>
    </w:p>
    <w:p>
      <w:pPr>
        <w:pStyle w:val="Heading1"/>
        <w:spacing w:after="160" w:before="320"/>
      </w:pPr>
      <w:r>
        <w:t xml:space="preserve">1. Purpose of This Addendum</w:t>
      </w:r>
    </w:p>
    <w:p>
      <w:pPr>
        <w:spacing w:after="160"/>
      </w:pPr>
      <w:r>
        <w:t xml:space="preserve">The Architect clarified, after ADD-B was delivered, that "Providence" and "provenance" had not always been kept distinct in earlier spoken and written prompts, and supplied dictionary references for both terms. The Architect separately asked ChatGPT to produce a terminology-correction pass on its own parallel Temporal Integrity document, and has now asked for an independent Claude version of the same correction rather than a copy of ChatGPT's. This addendum is that independent version: it locks the same underlying distinction, audits it against the two documents Claude actually authored (ADD-A and ADD-B), and cross-checks the result against ChatGPT's pass so the two collaborator branches stay interoperable rather than drifting into incompatible vocabularies.</w:t>
      </w:r>
    </w:p>
    <w:p>
      <w:pPr>
        <w:pStyle w:val="Heading1"/>
        <w:spacing w:after="160" w:before="320"/>
      </w:pPr>
      <w:r>
        <w:t xml:space="preserve">2. Author Clarification, As Understood From This Exchange</w:t>
      </w:r>
    </w:p>
    <w:p>
      <w:pPr>
        <w:spacing w:after="160"/>
      </w:pPr>
      <w:r>
        <w:t xml:space="preserve">The Architect's own dictionary lookups, supplied as reference screenshots, distinguish the two words cleanly: provenance is the place of origin or the documented history of ownership of an item — used in art, antiques, and archival science for chain-of-custody; Providence is the protective care, guidance, or governance of God or a higher spiritual power over the universe and human affairs — a theological and prudential term, unrelated in ordinary usage to lineage or custody records. The Architect's clarification is that technical passages about origin, lineage, chain of custody, credential history, authority legitimacy, transfer, supersession, revocation, and evidentiary state history were always meant to use provenance, and that any prior use of "Providence" in that technical sense was a slip between two similarly spelled words, not a deliberate theological claim.</w:t>
      </w:r>
    </w:p>
    <w:p>
      <w:pPr>
        <w:pStyle w:val="Heading1"/>
        <w:spacing w:after="160" w:before="320"/>
      </w:pPr>
      <w:r>
        <w:t xml:space="preserve">3. Formal Terminology, Locked for This Branch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200"/>
      </w:tblGrid>
      <w:tr>
        <w:trPr>
          <w:tblHeader/>
        </w:trPr>
        <w:tc>
          <w:tcPr>
            <w:tcW w:type="dxa" w:w="1800"/>
            <w:shd w:fill="D9D9D9" w:color="auto" w:val="clear"/>
            <w:tcMar>
              <w:top w:type="dxa" w:w="80"/>
              <w:left w:type="dxa" w:w="100"/>
              <w:bottom w:type="dxa" w:w="80"/>
              <w:right w:type="dxa" w:w="100"/>
            </w:tcMar>
          </w:tcPr>
          <w:p>
            <w:r>
              <w:rPr>
                <w:b/>
                <w:bCs/>
              </w:rPr>
              <w:t xml:space="preserve">Term</w:t>
            </w:r>
          </w:p>
        </w:tc>
        <w:tc>
          <w:tcPr>
            <w:tcW w:type="dxa" w:w="4600"/>
            <w:shd w:fill="D9D9D9" w:color="auto" w:val="clear"/>
            <w:tcMar>
              <w:top w:type="dxa" w:w="80"/>
              <w:left w:type="dxa" w:w="100"/>
              <w:bottom w:type="dxa" w:w="80"/>
              <w:right w:type="dxa" w:w="100"/>
            </w:tcMar>
          </w:tcPr>
          <w:p>
            <w:r>
              <w:rPr>
                <w:b/>
                <w:bCs/>
              </w:rPr>
              <w:t xml:space="preserve">Meaning in this branch (v1.0 / ADD-A / ADD-B / this addendum)</w:t>
            </w:r>
          </w:p>
        </w:tc>
        <w:tc>
          <w:tcPr>
            <w:tcW w:type="dxa" w:w="3200"/>
            <w:shd w:fill="D9D9D9" w:color="auto" w:val="clear"/>
            <w:tcMar>
              <w:top w:type="dxa" w:w="80"/>
              <w:left w:type="dxa" w:w="100"/>
              <w:bottom w:type="dxa" w:w="80"/>
              <w:right w:type="dxa" w:w="100"/>
            </w:tcMar>
          </w:tcPr>
          <w:p>
            <w:r>
              <w:rPr>
                <w:b/>
                <w:bCs/>
              </w:rPr>
              <w:t xml:space="preserve">Default use</w:t>
            </w:r>
          </w:p>
        </w:tc>
      </w:tr>
      <w:tr>
        <w:tc>
          <w:tcPr>
            <w:tcW w:type="dxa" w:w="1800"/>
            <w:tcMar>
              <w:top w:type="dxa" w:w="80"/>
              <w:left w:type="dxa" w:w="100"/>
              <w:bottom w:type="dxa" w:w="80"/>
              <w:right w:type="dxa" w:w="100"/>
            </w:tcMar>
          </w:tcPr>
          <w:p>
            <w:r>
              <w:rPr>
                <w:b w:val="false"/>
                <w:bCs w:val="false"/>
              </w:rPr>
              <w:t xml:space="preserve">Provenance</w:t>
            </w:r>
          </w:p>
        </w:tc>
        <w:tc>
          <w:tcPr>
            <w:tcW w:type="dxa" w:w="4600"/>
            <w:tcMar>
              <w:top w:type="dxa" w:w="80"/>
              <w:left w:type="dxa" w:w="100"/>
              <w:bottom w:type="dxa" w:w="80"/>
              <w:right w:type="dxa" w:w="100"/>
            </w:tcMar>
          </w:tcPr>
          <w:p>
            <w:r>
              <w:rPr>
                <w:b w:val="false"/>
                <w:bCs w:val="false"/>
              </w:rPr>
              <w:t xml:space="preserve">Origin, lineage, documented history, chain of custody, and the sequence of state transitions by which a current condition or authority claim came to be valid.</w:t>
            </w:r>
          </w:p>
        </w:tc>
        <w:tc>
          <w:tcPr>
            <w:tcW w:type="dxa" w:w="3200"/>
            <w:tcMar>
              <w:top w:type="dxa" w:w="80"/>
              <w:left w:type="dxa" w:w="100"/>
              <w:bottom w:type="dxa" w:w="80"/>
              <w:right w:type="dxa" w:w="100"/>
            </w:tcMar>
          </w:tcPr>
          <w:p>
            <w:r>
              <w:rPr>
                <w:b w:val="false"/>
                <w:bCs w:val="false"/>
              </w:rPr>
              <w:t xml:space="preserve">The default technical term for authority history, credential lineage, capture depth/fidelity, and evidentiary reconstruction — this is the word underlying Provenance-Priority Arbitration, deep capture, and shallow capture in ADD-B.</w:t>
            </w:r>
          </w:p>
        </w:tc>
      </w:tr>
      <w:tr>
        <w:tc>
          <w:tcPr>
            <w:tcW w:type="dxa" w:w="1800"/>
            <w:tcMar>
              <w:top w:type="dxa" w:w="80"/>
              <w:left w:type="dxa" w:w="100"/>
              <w:bottom w:type="dxa" w:w="80"/>
              <w:right w:type="dxa" w:w="100"/>
            </w:tcMar>
          </w:tcPr>
          <w:p>
            <w:r>
              <w:rPr>
                <w:b w:val="false"/>
                <w:bCs w:val="false"/>
              </w:rPr>
              <w:t xml:space="preserve">Providence</w:t>
            </w:r>
          </w:p>
        </w:tc>
        <w:tc>
          <w:tcPr>
            <w:tcW w:type="dxa" w:w="4600"/>
            <w:tcMar>
              <w:top w:type="dxa" w:w="80"/>
              <w:left w:type="dxa" w:w="100"/>
              <w:bottom w:type="dxa" w:w="80"/>
              <w:right w:type="dxa" w:w="100"/>
            </w:tcMar>
          </w:tcPr>
          <w:p>
            <w:r>
              <w:rPr>
                <w:b w:val="false"/>
                <w:bCs w:val="false"/>
              </w:rPr>
              <w:t xml:space="preserve">Protective governance or guidance attributed to a higher power, or — only when deliberately defined as such in fiction — a named transcendent authority source.</w:t>
            </w:r>
          </w:p>
        </w:tc>
        <w:tc>
          <w:tcPr>
            <w:tcW w:type="dxa" w:w="3200"/>
            <w:tcMar>
              <w:top w:type="dxa" w:w="80"/>
              <w:left w:type="dxa" w:w="100"/>
              <w:bottom w:type="dxa" w:w="80"/>
              <w:right w:type="dxa" w:w="100"/>
            </w:tcMar>
          </w:tcPr>
          <w:p>
            <w:r>
              <w:rPr>
                <w:b w:val="false"/>
                <w:bCs w:val="false"/>
              </w:rPr>
              <w:t xml:space="preserve">Reserved for the in-universe status/rank word the Architect chose for the Alien Empire exercise ("a level of Providence"). Not used as a synonym for provenance, and not implied to carry a literal theological claim unless the Architect defines one.</w:t>
            </w:r>
          </w:p>
        </w:tc>
      </w:tr>
      <w:tr>
        <w:tc>
          <w:tcPr>
            <w:tcW w:type="dxa" w:w="1800"/>
            <w:tcMar>
              <w:top w:type="dxa" w:w="80"/>
              <w:left w:type="dxa" w:w="100"/>
              <w:bottom w:type="dxa" w:w="80"/>
              <w:right w:type="dxa" w:w="100"/>
            </w:tcMar>
          </w:tcPr>
          <w:p>
            <w:r>
              <w:rPr>
                <w:b w:val="false"/>
                <w:bCs w:val="false"/>
              </w:rPr>
              <w:t xml:space="preserve">Authority provenance</w:t>
            </w:r>
          </w:p>
        </w:tc>
        <w:tc>
          <w:tcPr>
            <w:tcW w:type="dxa" w:w="4600"/>
            <w:tcMar>
              <w:top w:type="dxa" w:w="80"/>
              <w:left w:type="dxa" w:w="100"/>
              <w:bottom w:type="dxa" w:w="80"/>
              <w:right w:type="dxa" w:w="100"/>
            </w:tcMar>
          </w:tcPr>
          <w:p>
            <w:r>
              <w:rPr>
                <w:b w:val="false"/>
                <w:bCs w:val="false"/>
              </w:rPr>
              <w:t xml:space="preserve">The specific, auditable lineage supporting a current authority state: prior holder, acquisition/transfer event, authority epoch, current holder, and supersession/revocation state.</w:t>
            </w:r>
          </w:p>
        </w:tc>
        <w:tc>
          <w:tcPr>
            <w:tcW w:type="dxa" w:w="3200"/>
            <w:tcMar>
              <w:top w:type="dxa" w:w="80"/>
              <w:left w:type="dxa" w:w="100"/>
              <w:bottom w:type="dxa" w:w="80"/>
              <w:right w:type="dxa" w:w="100"/>
            </w:tcMar>
          </w:tcPr>
          <w:p>
            <w:r>
              <w:rPr>
                <w:b w:val="false"/>
                <w:bCs w:val="false"/>
              </w:rPr>
              <w:t xml:space="preserve">The precise technical name for what ADD-B's Provenance-Priority Arbitration mechanism actually tracks. This addendum adopts it as the standing term for that object going forward, aligning with ChatGPT's independent pass.</w:t>
            </w:r>
          </w:p>
        </w:tc>
      </w:tr>
      <w:tr>
        <w:tc>
          <w:tcPr>
            <w:tcW w:type="dxa" w:w="1800"/>
            <w:tcMar>
              <w:top w:type="dxa" w:w="80"/>
              <w:left w:type="dxa" w:w="100"/>
              <w:bottom w:type="dxa" w:w="80"/>
              <w:right w:type="dxa" w:w="100"/>
            </w:tcMar>
          </w:tcPr>
          <w:p>
            <w:r>
              <w:rPr>
                <w:b w:val="false"/>
                <w:bCs w:val="false"/>
              </w:rPr>
              <w:t xml:space="preserve">Providential authority</w:t>
            </w:r>
          </w:p>
        </w:tc>
        <w:tc>
          <w:tcPr>
            <w:tcW w:type="dxa" w:w="4600"/>
            <w:tcMar>
              <w:top w:type="dxa" w:w="80"/>
              <w:left w:type="dxa" w:w="100"/>
              <w:bottom w:type="dxa" w:w="80"/>
              <w:right w:type="dxa" w:w="100"/>
            </w:tcMar>
          </w:tcPr>
          <w:p>
            <w:r>
              <w:rPr>
                <w:b w:val="false"/>
                <w:bCs w:val="false"/>
              </w:rPr>
              <w:t xml:space="preserve">An optional, separate worldbuilding construct: authority claimed to derive from a deity, creator, Architect-level source, destiny, or other transcendent origin.</w:t>
            </w:r>
          </w:p>
        </w:tc>
        <w:tc>
          <w:tcPr>
            <w:tcW w:type="dxa" w:w="3200"/>
            <w:tcMar>
              <w:top w:type="dxa" w:w="80"/>
              <w:left w:type="dxa" w:w="100"/>
              <w:bottom w:type="dxa" w:w="80"/>
              <w:right w:type="dxa" w:w="100"/>
            </w:tcMar>
          </w:tcPr>
          <w:p>
            <w:r>
              <w:rPr>
                <w:b w:val="false"/>
                <w:bCs w:val="false"/>
              </w:rPr>
              <w:t xml:space="preserve">Not established, required, or implied by anything in v1.0, ADD-A, or ADD-B. Available only if the Architect later chooses to introduce a genuinely theological or destiny-based authority source as a distinct in-canon category.</w:t>
            </w:r>
          </w:p>
        </w:tc>
      </w:tr>
    </w:tbl>
    <w:p>
      <w:pPr>
        <w:pStyle w:val="Heading1"/>
        <w:spacing w:after="160" w:before="320"/>
      </w:pPr>
      <w:r>
        <w:t xml:space="preserve">4. Audit of ADD-A (v1.1) Against This Correction</w:t>
      </w:r>
    </w:p>
    <w:p>
      <w:pPr>
        <w:spacing w:after="160"/>
      </w:pPr>
      <w:r>
        <w:t xml:space="preserve">ADD-A used "Providence" three times, all inside the alien-empire authority-resolution discussion, and used "provenance" separately inside the PSIF incorporation-map material. Checked against Section 3 above, both uses were already correct under the corrected terminology: "Providence" named the in-universe authority status the Architect was asking about, and "provenance" named the technical evidentiary concept borrowed from PSIF. No correction to ADD-A's text is required. This addendum simply makes the distinction explicit and intentional rather than accidental.</w:t>
      </w:r>
    </w:p>
    <w:p>
      <w:pPr>
        <w:pStyle w:val="Heading1"/>
        <w:spacing w:after="160" w:before="320"/>
      </w:pPr>
      <w:r>
        <w:t xml:space="preserve">5. Audit of ADD-B (v1.2) Against This Correction</w:t>
      </w:r>
    </w:p>
    <w:p>
      <w:pPr>
        <w:spacing w:after="160"/>
      </w:pPr>
      <w:r>
        <w:t xml:space="preserve">ADD-B's title — "The Providence Collision Problem" — uses Providence deliberately, for the same reason: the thing colliding is the in-universe authority status itself, not a technical audit trail. Every load-bearing technical term in ADD-B's mechanism (Provenance-Priority Arbitration, deep capture, shallow capture, Section 4 generally) already used provenance correctly. The one refinement this addendum makes is terminological rather than substantive: where ADD-B referred informally to "the signature" or "the authority state," this addendum recommends the term authority provenance (Section 3, row 3) as the standing name for that specific object — the auditable lineage of prior holder, transfer event, epoch, and current holder — bringing ADD-B's vocabulary into alignment with ChatGPT's independently developed Authority Provenance Record (APR) concept without requiring ADD-B's mechanism itself to change.</w:t>
      </w:r>
    </w:p>
    <w:p>
      <w:pPr>
        <w:pStyle w:val="Heading1"/>
        <w:spacing w:after="160" w:before="320"/>
      </w:pPr>
      <w:r>
        <w:t xml:space="preserve">6. Cross-Collaborator Convergence</w:t>
      </w:r>
    </w:p>
    <w:p>
      <w:pPr>
        <w:spacing w:after="160"/>
      </w:pPr>
      <w:r>
        <w:t xml:space="preserve">It is worth recording plainly that two independent passes — this one and OAL-TI-001-CHATGPT v1.3 — arrived at the same underlying correction without coordinating on wording: provenance is the operative technical term for lineage, custody, and authority history; Providence is a distinct, optional theological or worldbuilding term; and the duplicate-authority problem in the Alien Empire exercise is, in both treatments, fundamentally a provenance-reconciliation problem rather than a theological one. That convergence is a useful, low-cost piece of validation for the multi-AI workflow: it suggests the distinction was genuinely underspecified in the source material rather than being an artifact of one collaborator's phrasing.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D9D9D9" w:color="auto" w:val="clear"/>
            <w:tcMar>
              <w:top w:type="dxa" w:w="80"/>
              <w:left w:type="dxa" w:w="100"/>
              <w:bottom w:type="dxa" w:w="80"/>
              <w:right w:type="dxa" w:w="100"/>
            </w:tcMar>
          </w:tcPr>
          <w:p>
            <w:r>
              <w:rPr>
                <w:b/>
                <w:bCs/>
              </w:rPr>
              <w:t xml:space="preserve">Point of comparison</w:t>
            </w:r>
          </w:p>
        </w:tc>
        <w:tc>
          <w:tcPr>
            <w:tcW w:type="dxa" w:w="3600"/>
            <w:shd w:fill="D9D9D9" w:color="auto" w:val="clear"/>
            <w:tcMar>
              <w:top w:type="dxa" w:w="80"/>
              <w:left w:type="dxa" w:w="100"/>
              <w:bottom w:type="dxa" w:w="80"/>
              <w:right w:type="dxa" w:w="100"/>
            </w:tcMar>
          </w:tcPr>
          <w:p>
            <w:r>
              <w:rPr>
                <w:b/>
                <w:bCs/>
              </w:rPr>
              <w:t xml:space="preserve">This addendum (Claude / ADD-C)</w:t>
            </w:r>
          </w:p>
        </w:tc>
        <w:tc>
          <w:tcPr>
            <w:tcW w:type="dxa" w:w="3600"/>
            <w:shd w:fill="D9D9D9" w:color="auto" w:val="clear"/>
            <w:tcMar>
              <w:top w:type="dxa" w:w="80"/>
              <w:left w:type="dxa" w:w="100"/>
              <w:bottom w:type="dxa" w:w="80"/>
              <w:right w:type="dxa" w:w="100"/>
            </w:tcMar>
          </w:tcPr>
          <w:p>
            <w:r>
              <w:rPr>
                <w:b/>
                <w:bCs/>
              </w:rPr>
              <w:t xml:space="preserve">OAL-TI-001-CHATGPT v1.3</w:t>
            </w:r>
          </w:p>
        </w:tc>
      </w:tr>
      <w:tr>
        <w:tc>
          <w:tcPr>
            <w:tcW w:type="dxa" w:w="2400"/>
            <w:tcMar>
              <w:top w:type="dxa" w:w="80"/>
              <w:left w:type="dxa" w:w="100"/>
              <w:bottom w:type="dxa" w:w="80"/>
              <w:right w:type="dxa" w:w="100"/>
            </w:tcMar>
          </w:tcPr>
          <w:p>
            <w:r>
              <w:rPr>
                <w:b w:val="false"/>
                <w:bCs w:val="false"/>
              </w:rPr>
              <w:t xml:space="preserve">Core distinction</w:t>
            </w:r>
          </w:p>
        </w:tc>
        <w:tc>
          <w:tcPr>
            <w:tcW w:type="dxa" w:w="3600"/>
            <w:tcMar>
              <w:top w:type="dxa" w:w="80"/>
              <w:left w:type="dxa" w:w="100"/>
              <w:bottom w:type="dxa" w:w="80"/>
              <w:right w:type="dxa" w:w="100"/>
            </w:tcMar>
          </w:tcPr>
          <w:p>
            <w:r>
              <w:rPr>
                <w:b w:val="false"/>
                <w:bCs w:val="false"/>
              </w:rPr>
              <w:t xml:space="preserve">Provenance = lineage/custody/technical; Providence = theological/optional</w:t>
            </w:r>
          </w:p>
        </w:tc>
        <w:tc>
          <w:tcPr>
            <w:tcW w:type="dxa" w:w="3600"/>
            <w:tcMar>
              <w:top w:type="dxa" w:w="80"/>
              <w:left w:type="dxa" w:w="100"/>
              <w:bottom w:type="dxa" w:w="80"/>
              <w:right w:type="dxa" w:w="100"/>
            </w:tcMar>
          </w:tcPr>
          <w:p>
            <w:r>
              <w:rPr>
                <w:b w:val="false"/>
                <w:bCs w:val="false"/>
              </w:rPr>
              <w:t xml:space="preserve">Same distinction, same two-term split</w:t>
            </w:r>
          </w:p>
        </w:tc>
      </w:tr>
      <w:tr>
        <w:tc>
          <w:tcPr>
            <w:tcW w:type="dxa" w:w="2400"/>
            <w:tcMar>
              <w:top w:type="dxa" w:w="80"/>
              <w:left w:type="dxa" w:w="100"/>
              <w:bottom w:type="dxa" w:w="80"/>
              <w:right w:type="dxa" w:w="100"/>
            </w:tcMar>
          </w:tcPr>
          <w:p>
            <w:r>
              <w:rPr>
                <w:b w:val="false"/>
                <w:bCs w:val="false"/>
              </w:rPr>
              <w:t xml:space="preserve">Named technical construct for authority lineage</w:t>
            </w:r>
          </w:p>
        </w:tc>
        <w:tc>
          <w:tcPr>
            <w:tcW w:type="dxa" w:w="3600"/>
            <w:tcMar>
              <w:top w:type="dxa" w:w="80"/>
              <w:left w:type="dxa" w:w="100"/>
              <w:bottom w:type="dxa" w:w="80"/>
              <w:right w:type="dxa" w:w="100"/>
            </w:tcMar>
          </w:tcPr>
          <w:p>
            <w:r>
              <w:rPr>
                <w:b w:val="false"/>
                <w:bCs w:val="false"/>
              </w:rPr>
              <w:t xml:space="preserve">Authority provenance (adopted here to match ChatGPT's naming)</w:t>
            </w:r>
          </w:p>
        </w:tc>
        <w:tc>
          <w:tcPr>
            <w:tcW w:type="dxa" w:w="3600"/>
            <w:tcMar>
              <w:top w:type="dxa" w:w="80"/>
              <w:left w:type="dxa" w:w="100"/>
              <w:bottom w:type="dxa" w:w="80"/>
              <w:right w:type="dxa" w:w="100"/>
            </w:tcMar>
          </w:tcPr>
          <w:p>
            <w:r>
              <w:rPr>
                <w:b w:val="false"/>
                <w:bCs w:val="false"/>
              </w:rPr>
              <w:t xml:space="preserve">Authority provenance; Authority Provenance Record (APR) as the root record</w:t>
            </w:r>
          </w:p>
        </w:tc>
      </w:tr>
      <w:tr>
        <w:tc>
          <w:tcPr>
            <w:tcW w:type="dxa" w:w="2400"/>
            <w:tcMar>
              <w:top w:type="dxa" w:w="80"/>
              <w:left w:type="dxa" w:w="100"/>
              <w:bottom w:type="dxa" w:w="80"/>
              <w:right w:type="dxa" w:w="100"/>
            </w:tcMar>
          </w:tcPr>
          <w:p>
            <w:r>
              <w:rPr>
                <w:b w:val="false"/>
                <w:bCs w:val="false"/>
              </w:rPr>
              <w:t xml:space="preserve">Treatment of theological reading</w:t>
            </w:r>
          </w:p>
        </w:tc>
        <w:tc>
          <w:tcPr>
            <w:tcW w:type="dxa" w:w="3600"/>
            <w:tcMar>
              <w:top w:type="dxa" w:w="80"/>
              <w:left w:type="dxa" w:w="100"/>
              <w:bottom w:type="dxa" w:w="80"/>
              <w:right w:type="dxa" w:w="100"/>
            </w:tcMar>
          </w:tcPr>
          <w:p>
            <w:r>
              <w:rPr>
                <w:b w:val="false"/>
                <w:bCs w:val="false"/>
              </w:rPr>
              <w:t xml:space="preserve">Providential authority reserved as a separate, not-yet-established worldbuilding category</w:t>
            </w:r>
          </w:p>
        </w:tc>
        <w:tc>
          <w:tcPr>
            <w:tcW w:type="dxa" w:w="3600"/>
            <w:tcMar>
              <w:top w:type="dxa" w:w="80"/>
              <w:left w:type="dxa" w:w="100"/>
              <w:bottom w:type="dxa" w:w="80"/>
              <w:right w:type="dxa" w:w="100"/>
            </w:tcMar>
          </w:tcPr>
          <w:p>
            <w:r>
              <w:rPr>
                <w:b w:val="false"/>
                <w:bCs w:val="false"/>
              </w:rPr>
              <w:t xml:space="preserve">Providential authority reserved as a separate, optional worldbuilding category</w:t>
            </w:r>
          </w:p>
        </w:tc>
      </w:tr>
      <w:tr>
        <w:tc>
          <w:tcPr>
            <w:tcW w:type="dxa" w:w="2400"/>
            <w:tcMar>
              <w:top w:type="dxa" w:w="80"/>
              <w:left w:type="dxa" w:w="100"/>
              <w:bottom w:type="dxa" w:w="80"/>
              <w:right w:type="dxa" w:w="100"/>
            </w:tcMar>
          </w:tcPr>
          <w:p>
            <w:r>
              <w:rPr>
                <w:b w:val="false"/>
                <w:bCs w:val="false"/>
              </w:rPr>
              <w:t xml:space="preserve">Effect on prior verbatim transcripts</w:t>
            </w:r>
          </w:p>
        </w:tc>
        <w:tc>
          <w:tcPr>
            <w:tcW w:type="dxa" w:w="3600"/>
            <w:tcMar>
              <w:top w:type="dxa" w:w="80"/>
              <w:left w:type="dxa" w:w="100"/>
              <w:bottom w:type="dxa" w:w="80"/>
              <w:right w:type="dxa" w:w="100"/>
            </w:tcMar>
          </w:tcPr>
          <w:p>
            <w:r>
              <w:rPr>
                <w:b w:val="false"/>
                <w:bCs w:val="false"/>
              </w:rPr>
              <w:t xml:space="preserve">None — verbatim prompts in ADD-A are preserved unedited; this addendum governs interpretation only</w:t>
            </w:r>
          </w:p>
        </w:tc>
        <w:tc>
          <w:tcPr>
            <w:tcW w:type="dxa" w:w="3600"/>
            <w:tcMar>
              <w:top w:type="dxa" w:w="80"/>
              <w:left w:type="dxa" w:w="100"/>
              <w:bottom w:type="dxa" w:w="80"/>
              <w:right w:type="dxa" w:w="100"/>
            </w:tcMar>
          </w:tcPr>
          <w:p>
            <w:r>
              <w:rPr>
                <w:b w:val="false"/>
                <w:bCs w:val="false"/>
              </w:rPr>
              <w:t xml:space="preserve">None — verbatim prompts preserved unedited; correction governs interpretation only</w:t>
            </w:r>
          </w:p>
        </w:tc>
      </w:tr>
      <w:tr>
        <w:tc>
          <w:tcPr>
            <w:tcW w:type="dxa" w:w="2400"/>
            <w:tcMar>
              <w:top w:type="dxa" w:w="80"/>
              <w:left w:type="dxa" w:w="100"/>
              <w:bottom w:type="dxa" w:w="80"/>
              <w:right w:type="dxa" w:w="100"/>
            </w:tcMar>
          </w:tcPr>
          <w:p>
            <w:r>
              <w:rPr>
                <w:b w:val="false"/>
                <w:bCs w:val="false"/>
              </w:rPr>
              <w:t xml:space="preserve">Effect on the underlying collision/authority mechanism</w:t>
            </w:r>
          </w:p>
        </w:tc>
        <w:tc>
          <w:tcPr>
            <w:tcW w:type="dxa" w:w="3600"/>
            <w:tcMar>
              <w:top w:type="dxa" w:w="80"/>
              <w:left w:type="dxa" w:w="100"/>
              <w:bottom w:type="dxa" w:w="80"/>
              <w:right w:type="dxa" w:w="100"/>
            </w:tcMar>
          </w:tcPr>
          <w:p>
            <w:r>
              <w:rPr>
                <w:b w:val="false"/>
                <w:bCs w:val="false"/>
              </w:rPr>
              <w:t xml:space="preserve">None — ADD-B's Provenance-Priority Arbitration mechanism is unchanged</w:t>
            </w:r>
          </w:p>
        </w:tc>
        <w:tc>
          <w:tcPr>
            <w:tcW w:type="dxa" w:w="3600"/>
            <w:tcMar>
              <w:top w:type="dxa" w:w="80"/>
              <w:left w:type="dxa" w:w="100"/>
              <w:bottom w:type="dxa" w:w="80"/>
              <w:right w:type="dxa" w:w="100"/>
            </w:tcMar>
          </w:tcPr>
          <w:p>
            <w:r>
              <w:rPr>
                <w:b w:val="false"/>
                <w:bCs w:val="false"/>
              </w:rPr>
              <w:t xml:space="preserve">None — TAPL mechanism is unchanged</w:t>
            </w:r>
          </w:p>
        </w:tc>
      </w:tr>
    </w:tbl>
    <w:p>
      <w:pPr>
        <w:pStyle w:val="Heading1"/>
        <w:spacing w:after="160" w:before="320"/>
      </w:pPr>
      <w:r>
        <w:t xml:space="preserve">7. Archival Rule</w:t>
      </w:r>
    </w:p>
    <w:p>
      <w:pPr>
        <w:spacing w:after="160"/>
      </w:pPr>
      <w:r>
        <w:t xml:space="preserve">Consistent with how ADD-A already treats the verbatim prompt record: never silently substitute one word for the other inside a verbatim quotation or prompt transcript. If a future verbatim transcript uses "Providence" where the surrounding technical context clearly means provenance, preserve the original wording exactly and attach an editorial clarification outside the quotation, the way this addendum does, rather than editing the quotation itself. This applies equally to any future addenda produced by any collaborator in this multi-AI workflow.</w:t>
      </w:r>
    </w:p>
    <w:p>
      <w:pPr>
        <w:pStyle w:val="Heading1"/>
        <w:spacing w:after="160" w:before="320"/>
      </w:pPr>
      <w:r>
        <w:t xml:space="preserve">8. Updated Glossary Entries Carried Forward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D9D9D9" w:color="auto" w:val="clear"/>
            <w:tcMar>
              <w:top w:type="dxa" w:w="80"/>
              <w:left w:type="dxa" w:w="100"/>
              <w:bottom w:type="dxa" w:w="80"/>
              <w:right w:type="dxa" w:w="100"/>
            </w:tcMar>
          </w:tcPr>
          <w:p>
            <w:r>
              <w:rPr>
                <w:b/>
                <w:bCs/>
              </w:rPr>
              <w:t xml:space="preserve">Term</w:t>
            </w:r>
          </w:p>
        </w:tc>
        <w:tc>
          <w:tcPr>
            <w:tcW w:type="dxa" w:w="6400"/>
            <w:shd w:fill="D9D9D9" w:color="auto" w:val="clear"/>
            <w:tcMar>
              <w:top w:type="dxa" w:w="80"/>
              <w:left w:type="dxa" w:w="100"/>
              <w:bottom w:type="dxa" w:w="80"/>
              <w:right w:type="dxa" w:w="100"/>
            </w:tcMar>
          </w:tcPr>
          <w:p>
            <w:r>
              <w:rPr>
                <w:b/>
                <w:bCs/>
              </w:rPr>
              <w:t xml:space="preserve">Status after this addendum</w:t>
            </w:r>
          </w:p>
        </w:tc>
      </w:tr>
      <w:tr>
        <w:tc>
          <w:tcPr>
            <w:tcW w:type="dxa" w:w="3200"/>
            <w:tcMar>
              <w:top w:type="dxa" w:w="80"/>
              <w:left w:type="dxa" w:w="100"/>
              <w:bottom w:type="dxa" w:w="80"/>
              <w:right w:type="dxa" w:w="100"/>
            </w:tcMar>
          </w:tcPr>
          <w:p>
            <w:r>
              <w:rPr>
                <w:b w:val="false"/>
                <w:bCs w:val="false"/>
              </w:rPr>
              <w:t xml:space="preserve">Provenance</w:t>
            </w:r>
          </w:p>
        </w:tc>
        <w:tc>
          <w:tcPr>
            <w:tcW w:type="dxa" w:w="6400"/>
            <w:tcMar>
              <w:top w:type="dxa" w:w="80"/>
              <w:left w:type="dxa" w:w="100"/>
              <w:bottom w:type="dxa" w:w="80"/>
              <w:right w:type="dxa" w:w="100"/>
            </w:tcMar>
          </w:tcPr>
          <w:p>
            <w:r>
              <w:rPr>
                <w:b w:val="false"/>
                <w:bCs w:val="false"/>
              </w:rPr>
              <w:t xml:space="preserve">Confirmed as the default technical term across v1.0, ADD-A, and ADD-B. No text changes required.</w:t>
            </w:r>
          </w:p>
        </w:tc>
      </w:tr>
      <w:tr>
        <w:tc>
          <w:tcPr>
            <w:tcW w:type="dxa" w:w="3200"/>
            <w:tcMar>
              <w:top w:type="dxa" w:w="80"/>
              <w:left w:type="dxa" w:w="100"/>
              <w:bottom w:type="dxa" w:w="80"/>
              <w:right w:type="dxa" w:w="100"/>
            </w:tcMar>
          </w:tcPr>
          <w:p>
            <w:r>
              <w:rPr>
                <w:b w:val="false"/>
                <w:bCs w:val="false"/>
              </w:rPr>
              <w:t xml:space="preserve">Providence</w:t>
            </w:r>
          </w:p>
        </w:tc>
        <w:tc>
          <w:tcPr>
            <w:tcW w:type="dxa" w:w="6400"/>
            <w:tcMar>
              <w:top w:type="dxa" w:w="80"/>
              <w:left w:type="dxa" w:w="100"/>
              <w:bottom w:type="dxa" w:w="80"/>
              <w:right w:type="dxa" w:w="100"/>
            </w:tcMar>
          </w:tcPr>
          <w:p>
            <w:r>
              <w:rPr>
                <w:b w:val="false"/>
                <w:bCs w:val="false"/>
              </w:rPr>
              <w:t xml:space="preserve">Confirmed as the intentional in-universe term for the Alien Empire authority status. No text changes required.</w:t>
            </w:r>
          </w:p>
        </w:tc>
      </w:tr>
      <w:tr>
        <w:tc>
          <w:tcPr>
            <w:tcW w:type="dxa" w:w="3200"/>
            <w:tcMar>
              <w:top w:type="dxa" w:w="80"/>
              <w:left w:type="dxa" w:w="100"/>
              <w:bottom w:type="dxa" w:w="80"/>
              <w:right w:type="dxa" w:w="100"/>
            </w:tcMar>
          </w:tcPr>
          <w:p>
            <w:r>
              <w:rPr>
                <w:b w:val="false"/>
                <w:bCs w:val="false"/>
              </w:rPr>
              <w:t xml:space="preserve">Authority provenance</w:t>
            </w:r>
          </w:p>
        </w:tc>
        <w:tc>
          <w:tcPr>
            <w:tcW w:type="dxa" w:w="6400"/>
            <w:tcMar>
              <w:top w:type="dxa" w:w="80"/>
              <w:left w:type="dxa" w:w="100"/>
              <w:bottom w:type="dxa" w:w="80"/>
              <w:right w:type="dxa" w:w="100"/>
            </w:tcMar>
          </w:tcPr>
          <w:p>
            <w:r>
              <w:rPr>
                <w:b w:val="false"/>
                <w:bCs w:val="false"/>
              </w:rPr>
              <w:t xml:space="preserve">Newly formalized as the standing name for the lineage object ADD-B's arbitration mechanism tracks (prior holder, transfer event, epoch, current holder, supersession/revocation state).</w:t>
            </w:r>
          </w:p>
        </w:tc>
      </w:tr>
      <w:tr>
        <w:tc>
          <w:tcPr>
            <w:tcW w:type="dxa" w:w="3200"/>
            <w:tcMar>
              <w:top w:type="dxa" w:w="80"/>
              <w:left w:type="dxa" w:w="100"/>
              <w:bottom w:type="dxa" w:w="80"/>
              <w:right w:type="dxa" w:w="100"/>
            </w:tcMar>
          </w:tcPr>
          <w:p>
            <w:r>
              <w:rPr>
                <w:b w:val="false"/>
                <w:bCs w:val="false"/>
              </w:rPr>
              <w:t xml:space="preserve">Providential authority</w:t>
            </w:r>
          </w:p>
        </w:tc>
        <w:tc>
          <w:tcPr>
            <w:tcW w:type="dxa" w:w="6400"/>
            <w:tcMar>
              <w:top w:type="dxa" w:w="80"/>
              <w:left w:type="dxa" w:w="100"/>
              <w:bottom w:type="dxa" w:w="80"/>
              <w:right w:type="dxa" w:w="100"/>
            </w:tcMar>
          </w:tcPr>
          <w:p>
            <w:r>
              <w:rPr>
                <w:b w:val="false"/>
                <w:bCs w:val="false"/>
              </w:rPr>
              <w:t xml:space="preserve">Reserved, undefined, optional. Not implied by any current mechanism.</w:t>
            </w:r>
          </w:p>
        </w:tc>
      </w:tr>
      <w:tr>
        <w:tc>
          <w:tcPr>
            <w:tcW w:type="dxa" w:w="3200"/>
            <w:tcMar>
              <w:top w:type="dxa" w:w="80"/>
              <w:left w:type="dxa" w:w="100"/>
              <w:bottom w:type="dxa" w:w="80"/>
              <w:right w:type="dxa" w:w="100"/>
            </w:tcMar>
          </w:tcPr>
          <w:p>
            <w:r>
              <w:rPr>
                <w:b w:val="false"/>
                <w:bCs w:val="false"/>
              </w:rPr>
              <w:t xml:space="preserve">Provenance-Priority Arbitration (ADD-B)</w:t>
            </w:r>
          </w:p>
        </w:tc>
        <w:tc>
          <w:tcPr>
            <w:tcW w:type="dxa" w:w="6400"/>
            <w:tcMar>
              <w:top w:type="dxa" w:w="80"/>
              <w:left w:type="dxa" w:w="100"/>
              <w:bottom w:type="dxa" w:w="80"/>
              <w:right w:type="dxa" w:w="100"/>
            </w:tcMar>
          </w:tcPr>
          <w:p>
            <w:r>
              <w:rPr>
                <w:b w:val="false"/>
                <w:bCs w:val="false"/>
              </w:rPr>
              <w:t xml:space="preserve">Unchanged; now understood as the process that resolves who currently holds a given authority-provenance object.</w:t>
            </w:r>
          </w:p>
        </w:tc>
      </w:tr>
    </w:tbl>
    <w:p>
      <w:pPr>
        <w:pStyle w:val="Heading1"/>
        <w:spacing w:after="160" w:before="320"/>
      </w:pPr>
      <w:r>
        <w:t xml:space="preserve">9. Open Question for the Architect</w:t>
      </w:r>
    </w:p>
    <w:p>
      <w:pPr>
        <w:pStyle w:val="ListParagraph"/>
        <w:numPr>
          <w:ilvl w:val="0"/>
          <w:numId w:val="1"/>
        </w:numPr>
        <w:spacing w:after="80"/>
      </w:pPr>
      <w:r>
        <w:t xml:space="preserve">Should authority provenance formally replace the informal "signature"/"authority state" phrasing in a future revision of ADD-B's Section 4–5 tables, or is the current phrasing acceptable with this addendum serving as the interpretive gloss (this pass's default assumption, since it avoids re-versioning a document whose mechanism has not changed)?</w:t>
      </w:r>
    </w:p>
    <w:p>
      <w:pPr>
        <w:pStyle w:val="Heading1"/>
        <w:spacing w:after="160" w:before="320"/>
      </w:pPr>
      <w:r>
        <w:t xml:space="preserve">Authentication Block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FEFEF" w:color="auto" w:val="clear"/>
            <w:tcMar>
              <w:top w:type="dxa" w:w="80"/>
              <w:left w:type="dxa" w:w="100"/>
              <w:bottom w:type="dxa" w:w="80"/>
              <w:right w:type="dxa" w:w="100"/>
            </w:tcMar>
          </w:tcPr>
          <w:p>
            <w:r>
              <w:rPr>
                <w:b/>
                <w:bCs/>
              </w:rPr>
              <w:t xml:space="preserve">Document ID</w:t>
            </w:r>
          </w:p>
        </w:tc>
        <w:tc>
          <w:tcPr>
            <w:tcW w:type="dxa" w:w="7000"/>
            <w:tcMar>
              <w:top w:type="dxa" w:w="80"/>
              <w:left w:type="dxa" w:w="100"/>
              <w:bottom w:type="dxa" w:w="80"/>
              <w:right w:type="dxa" w:w="100"/>
            </w:tcMar>
          </w:tcPr>
          <w:p>
            <w:r>
              <w:rPr>
                <w:b w:val="false"/>
                <w:bCs w:val="false"/>
              </w:rPr>
              <w:t xml:space="preserve">OAL-TA-001-CLAUDE-ADD-C</w:t>
            </w:r>
          </w:p>
        </w:tc>
      </w:tr>
      <w:tr>
        <w:tc>
          <w:tcPr>
            <w:tcW w:type="dxa" w:w="2600"/>
            <w:shd w:fill="EFEFEF" w:color="auto" w:val="clear"/>
            <w:tcMar>
              <w:top w:type="dxa" w:w="80"/>
              <w:left w:type="dxa" w:w="100"/>
              <w:bottom w:type="dxa" w:w="80"/>
              <w:right w:type="dxa" w:w="100"/>
            </w:tcMar>
          </w:tcPr>
          <w:p>
            <w:r>
              <w:rPr>
                <w:b/>
                <w:bCs/>
              </w:rPr>
              <w:t xml:space="preserve">Version</w:t>
            </w:r>
          </w:p>
        </w:tc>
        <w:tc>
          <w:tcPr>
            <w:tcW w:type="dxa" w:w="7000"/>
            <w:tcMar>
              <w:top w:type="dxa" w:w="80"/>
              <w:left w:type="dxa" w:w="100"/>
              <w:bottom w:type="dxa" w:w="80"/>
              <w:right w:type="dxa" w:w="100"/>
            </w:tcMar>
          </w:tcPr>
          <w:p>
            <w:r>
              <w:rPr>
                <w:b w:val="false"/>
                <w:bCs w:val="false"/>
              </w:rPr>
              <w:t xml:space="preserve">1.3-CLAUDE</w:t>
            </w:r>
          </w:p>
        </w:tc>
      </w:tr>
      <w:tr>
        <w:tc>
          <w:tcPr>
            <w:tcW w:type="dxa" w:w="2600"/>
            <w:shd w:fill="EFEFEF" w:color="auto" w:val="clear"/>
            <w:tcMar>
              <w:top w:type="dxa" w:w="80"/>
              <w:left w:type="dxa" w:w="100"/>
              <w:bottom w:type="dxa" w:w="80"/>
              <w:right w:type="dxa" w:w="100"/>
            </w:tcMar>
          </w:tcPr>
          <w:p>
            <w:r>
              <w:rPr>
                <w:b/>
                <w:bCs/>
              </w:rPr>
              <w:t xml:space="preserve">Date compiled</w:t>
            </w:r>
          </w:p>
        </w:tc>
        <w:tc>
          <w:tcPr>
            <w:tcW w:type="dxa" w:w="7000"/>
            <w:tcMar>
              <w:top w:type="dxa" w:w="80"/>
              <w:left w:type="dxa" w:w="100"/>
              <w:bottom w:type="dxa" w:w="80"/>
              <w:right w:type="dxa" w:w="100"/>
            </w:tcMar>
          </w:tcPr>
          <w:p>
            <w:r>
              <w:rPr>
                <w:b w:val="false"/>
                <w:bCs w:val="false"/>
              </w:rPr>
              <w:t xml:space="preserve">7 September 2026</w:t>
            </w:r>
          </w:p>
        </w:tc>
      </w:tr>
      <w:tr>
        <w:tc>
          <w:tcPr>
            <w:tcW w:type="dxa" w:w="2600"/>
            <w:shd w:fill="EFEFEF" w:color="auto" w:val="clear"/>
            <w:tcMar>
              <w:top w:type="dxa" w:w="80"/>
              <w:left w:type="dxa" w:w="100"/>
              <w:bottom w:type="dxa" w:w="80"/>
              <w:right w:type="dxa" w:w="100"/>
            </w:tcMar>
          </w:tcPr>
          <w:p>
            <w:r>
              <w:rPr>
                <w:b/>
                <w:bCs/>
              </w:rPr>
              <w:t xml:space="preserve">Compiled by</w:t>
            </w:r>
          </w:p>
        </w:tc>
        <w:tc>
          <w:tcPr>
            <w:tcW w:type="dxa" w:w="7000"/>
            <w:tcMar>
              <w:top w:type="dxa" w:w="80"/>
              <w:left w:type="dxa" w:w="100"/>
              <w:bottom w:type="dxa" w:w="80"/>
              <w:right w:type="dxa" w:w="100"/>
            </w:tcMar>
          </w:tcPr>
          <w:p>
            <w:r>
              <w:rPr>
                <w:b w:val="false"/>
                <w:bCs w:val="false"/>
              </w:rPr>
              <w:t xml:space="preserve">Claude (research / synthesis / independent audit layer)</w:t>
            </w:r>
          </w:p>
        </w:tc>
      </w:tr>
      <w:tr>
        <w:tc>
          <w:tcPr>
            <w:tcW w:type="dxa" w:w="2600"/>
            <w:shd w:fill="EFEFEF" w:color="auto" w:val="clear"/>
            <w:tcMar>
              <w:top w:type="dxa" w:w="80"/>
              <w:left w:type="dxa" w:w="100"/>
              <w:bottom w:type="dxa" w:w="80"/>
              <w:right w:type="dxa" w:w="100"/>
            </w:tcMar>
          </w:tcPr>
          <w:p>
            <w:r>
              <w:rPr>
                <w:b/>
                <w:bCs/>
              </w:rPr>
              <w:t xml:space="preserve">Architect of Record</w:t>
            </w:r>
          </w:p>
        </w:tc>
        <w:tc>
          <w:tcPr>
            <w:tcW w:type="dxa" w:w="7000"/>
            <w:tcMar>
              <w:top w:type="dxa" w:w="80"/>
              <w:left w:type="dxa" w:w="100"/>
              <w:bottom w:type="dxa" w:w="80"/>
              <w:right w:type="dxa" w:w="100"/>
            </w:tcMar>
          </w:tcPr>
          <w:p>
            <w:r>
              <w:rPr>
                <w:b w:val="false"/>
                <w:bCs w:val="false"/>
              </w:rPr>
              <w:t xml:space="preserve">Nathan Lewis II</w:t>
            </w:r>
          </w:p>
        </w:tc>
      </w:tr>
      <w:tr>
        <w:tc>
          <w:tcPr>
            <w:tcW w:type="dxa" w:w="2600"/>
            <w:shd w:fill="EFEFEF" w:color="auto" w:val="clear"/>
            <w:tcMar>
              <w:top w:type="dxa" w:w="80"/>
              <w:left w:type="dxa" w:w="100"/>
              <w:bottom w:type="dxa" w:w="80"/>
              <w:right w:type="dxa" w:w="100"/>
            </w:tcMar>
          </w:tcPr>
          <w:p>
            <w:r>
              <w:rPr>
                <w:b/>
                <w:bCs/>
              </w:rPr>
              <w:t xml:space="preserve">ONESTAMP</w:t>
            </w:r>
          </w:p>
        </w:tc>
        <w:tc>
          <w:tcPr>
            <w:tcW w:type="dxa" w:w="7000"/>
            <w:tcMar>
              <w:top w:type="dxa" w:w="80"/>
              <w:left w:type="dxa" w:w="100"/>
              <w:bottom w:type="dxa" w:w="80"/>
              <w:right w:type="dxa" w:w="100"/>
            </w:tcMar>
          </w:tcPr>
          <w:p>
            <w:r>
              <w:rPr>
                <w:b w:val="false"/>
                <w:bCs w:val="false"/>
              </w:rPr>
              <w:t xml:space="preserve">PENDING — not applied</w:t>
            </w:r>
          </w:p>
        </w:tc>
      </w:tr>
      <w:tr>
        <w:tc>
          <w:tcPr>
            <w:tcW w:type="dxa" w:w="2600"/>
            <w:shd w:fill="EFEFEF" w:color="auto" w:val="clear"/>
            <w:tcMar>
              <w:top w:type="dxa" w:w="80"/>
              <w:left w:type="dxa" w:w="100"/>
              <w:bottom w:type="dxa" w:w="80"/>
              <w:right w:type="dxa" w:w="100"/>
            </w:tcMar>
          </w:tcPr>
          <w:p>
            <w:r>
              <w:rPr>
                <w:b/>
                <w:bCs/>
              </w:rPr>
              <w:t xml:space="preserve">Governing documents</w:t>
            </w:r>
          </w:p>
        </w:tc>
        <w:tc>
          <w:tcPr>
            <w:tcW w:type="dxa" w:w="7000"/>
            <w:tcMar>
              <w:top w:type="dxa" w:w="80"/>
              <w:left w:type="dxa" w:w="100"/>
              <w:bottom w:type="dxa" w:w="80"/>
              <w:right w:type="dxa" w:w="100"/>
            </w:tcMar>
          </w:tcPr>
          <w:p>
            <w:r>
              <w:rPr>
                <w:b w:val="false"/>
                <w:bCs w:val="false"/>
              </w:rPr>
              <w:t xml:space="preserve">OAL-TA-001-CLAUDE v1.0; ADD-A v1.1; ADD-B v1.2</w:t>
            </w:r>
          </w:p>
        </w:tc>
      </w:tr>
      <w:tr>
        <w:tc>
          <w:tcPr>
            <w:tcW w:type="dxa" w:w="2600"/>
            <w:shd w:fill="EFEFEF" w:color="auto" w:val="clear"/>
            <w:tcMar>
              <w:top w:type="dxa" w:w="80"/>
              <w:left w:type="dxa" w:w="100"/>
              <w:bottom w:type="dxa" w:w="80"/>
              <w:right w:type="dxa" w:w="100"/>
            </w:tcMar>
          </w:tcPr>
          <w:p>
            <w:r>
              <w:rPr>
                <w:b/>
                <w:bCs/>
              </w:rPr>
              <w:t xml:space="preserve">Cross-referenced</w:t>
            </w:r>
          </w:p>
        </w:tc>
        <w:tc>
          <w:tcPr>
            <w:tcW w:type="dxa" w:w="7000"/>
            <w:tcMar>
              <w:top w:type="dxa" w:w="80"/>
              <w:left w:type="dxa" w:w="100"/>
              <w:bottom w:type="dxa" w:w="80"/>
              <w:right w:type="dxa" w:w="100"/>
            </w:tcMar>
          </w:tcPr>
          <w:p>
            <w:r>
              <w:rPr>
                <w:b w:val="false"/>
                <w:bCs w:val="false"/>
              </w:rPr>
              <w:t xml:space="preserve">OAL-TI-001-CHATGPT v1.3</w:t>
            </w:r>
          </w:p>
        </w:tc>
      </w:tr>
      <w:tr>
        <w:tc>
          <w:tcPr>
            <w:tcW w:type="dxa" w:w="2600"/>
            <w:shd w:fill="EFEFEF" w:color="auto" w:val="clear"/>
            <w:tcMar>
              <w:top w:type="dxa" w:w="80"/>
              <w:left w:type="dxa" w:w="100"/>
              <w:bottom w:type="dxa" w:w="80"/>
              <w:right w:type="dxa" w:w="100"/>
            </w:tcMar>
          </w:tcPr>
          <w:p>
            <w:r>
              <w:rPr>
                <w:b/>
                <w:bCs/>
              </w:rPr>
              <w:t xml:space="preserve">Canon status</w:t>
            </w:r>
          </w:p>
        </w:tc>
        <w:tc>
          <w:tcPr>
            <w:tcW w:type="dxa" w:w="7000"/>
            <w:tcMar>
              <w:top w:type="dxa" w:w="80"/>
              <w:left w:type="dxa" w:w="100"/>
              <w:bottom w:type="dxa" w:w="80"/>
              <w:right w:type="dxa" w:w="100"/>
            </w:tcMar>
          </w:tcPr>
          <w:p>
            <w:r>
              <w:rPr>
                <w:b w:val="false"/>
                <w:bCs w:val="false"/>
              </w:rPr>
              <w:t xml:space="preserve">DRAFT — UNDER REVIEW (terminology-governance only; no mechanism changed)</w:t>
            </w:r>
          </w:p>
        </w:tc>
      </w:tr>
      <w:tr>
        <w:tc>
          <w:tcPr>
            <w:tcW w:type="dxa" w:w="2600"/>
            <w:shd w:fill="EFEFEF" w:color="auto" w:val="clear"/>
            <w:tcMar>
              <w:top w:type="dxa" w:w="80"/>
              <w:left w:type="dxa" w:w="100"/>
              <w:bottom w:type="dxa" w:w="80"/>
              <w:right w:type="dxa" w:w="100"/>
            </w:tcMar>
          </w:tcPr>
          <w:p>
            <w:r>
              <w:rPr>
                <w:b/>
                <w:bCs/>
              </w:rPr>
              <w:t xml:space="preserve">Next step</w:t>
            </w:r>
          </w:p>
        </w:tc>
        <w:tc>
          <w:tcPr>
            <w:tcW w:type="dxa" w:w="7000"/>
            <w:tcMar>
              <w:top w:type="dxa" w:w="80"/>
              <w:left w:type="dxa" w:w="100"/>
              <w:bottom w:type="dxa" w:w="80"/>
              <w:right w:type="dxa" w:w="100"/>
            </w:tcMar>
          </w:tcPr>
          <w:p>
            <w:r>
              <w:rPr>
                <w:b w:val="false"/>
                <w:bCs w:val="false"/>
              </w:rPr>
              <w:t xml:space="preserve">Architect confirmation of Section 9 → optional light-touch relabeling pass on ADD-B Section 4–5 tables</w:t>
            </w:r>
          </w:p>
        </w:tc>
      </w:tr>
    </w:tbl>
    <w:p>
      <w:pPr>
        <w:spacing w:before="200"/>
      </w:pPr>
      <w:r>
        <w:rPr>
          <w:i/>
          <w:iCs/>
          <w:sz w:val="20"/>
          <w:szCs w:val="20"/>
        </w:rPr>
        <w:t xml:space="preserve">No AI collaborator should treat any section of this document as finalized or canonical until the Architect applies ONESTAMP. This addendum governs interpretation of prior terminology; it does not retroactively edit any verbatim prompt transcript.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2026-09-07T22:50:45.803Z</dcterms:created>
  <dcterms:modified xsi:type="dcterms:W3CDTF">2026-09-07T22:50:45.815Z</dcterms:modified>
</cp:coreProperties>
</file>

<file path=docProps/custom.xml><?xml version="1.0" encoding="utf-8"?>
<Properties xmlns="http://schemas.openxmlformats.org/officeDocument/2006/custom-properties" xmlns:vt="http://schemas.openxmlformats.org/officeDocument/2006/docPropsVTypes"/>
</file>