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Calibri" w:cs="Calibri" w:eastAsia="Calibri" w:hAnsi="Calibri"/>
          <w:b/>
          <w:bCs/>
          <w:i w:val="false"/>
          <w:iCs w:val="false"/>
          <w:color w:val="1F6F7A"/>
          <w:sz w:val="18"/>
          <w:szCs w:val="18"/>
        </w:rPr>
        <w:t xml:space="preserve">OMNIVERSAL ARCHITECT LABS</w:t>
      </w:r>
    </w:p>
    <w:p>
      <w:pPr>
        <w:spacing w:after="200" w:before="0" w:line="276"/>
      </w:pPr>
      <w:r>
        <w:rPr>
          <w:rFonts w:ascii="Calibri" w:cs="Calibri" w:eastAsia="Calibri" w:hAnsi="Calibri"/>
          <w:b w:val="false"/>
          <w:bCs w:val="false"/>
          <w:i w:val="false"/>
          <w:iCs w:val="false"/>
          <w:color w:val="5B6570"/>
          <w:sz w:val="16"/>
          <w:szCs w:val="16"/>
        </w:rPr>
        <w:t xml:space="preserve">GROK BRANCH  ·  OAL-TA-001  ·  TERMINOLOGY GOVERNANCE</w:t>
      </w:r>
    </w:p>
    <w:p>
      <w:pPr>
        <w:spacing w:after="60" w:before="0" w:line="276"/>
      </w:pPr>
      <w:r>
        <w:rPr>
          <w:rFonts w:ascii="Calibri" w:cs="Calibri" w:eastAsia="Calibri" w:hAnsi="Calibri"/>
          <w:b/>
          <w:bCs/>
          <w:i w:val="false"/>
          <w:iCs w:val="false"/>
          <w:color w:val="1B365D"/>
          <w:sz w:val="36"/>
          <w:szCs w:val="36"/>
        </w:rPr>
        <w:t xml:space="preserve">ADDENDUM T</w:t>
      </w:r>
    </w:p>
    <w:p>
      <w:pPr>
        <w:spacing w:after="160" w:before="0" w:line="276"/>
      </w:pPr>
      <w:r>
        <w:rPr>
          <w:rFonts w:ascii="Calibri" w:cs="Calibri" w:eastAsia="Calibri" w:hAnsi="Calibri"/>
          <w:b w:val="false"/>
          <w:bCs w:val="false"/>
          <w:i/>
          <w:iCs/>
          <w:color w:val="334155"/>
          <w:sz w:val="22"/>
          <w:szCs w:val="22"/>
        </w:rPr>
        <w:t xml:space="preserve">Terminology Correction and Author Clarification: Provenance, Providence, Authority Provenance, and Providential Authority</w:t>
      </w:r>
    </w:p>
    <w:p>
      <w:pPr>
        <w:spacing w:after="220" w:before="0" w:line="276"/>
      </w:pPr>
      <w:r>
        <w:rPr>
          <w:rFonts w:ascii="Calibri" w:cs="Calibri" w:eastAsia="Calibri" w:hAnsi="Calibri"/>
          <w:b w:val="false"/>
          <w:bCs w:val="false"/>
          <w:i w:val="false"/>
          <w:iCs w:val="false"/>
          <w:color w:val="8B2E2E"/>
          <w:sz w:val="18"/>
          <w:szCs w:val="18"/>
        </w:rPr>
        <w:t xml:space="preserve">Independent Grok pass. Consulted ChatGPT v1.3 and Claude ADD-C for interoperability. Not a copy of either. Working draft. Not canon.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Field</w:t>
            </w:r>
          </w:p>
        </w:tc>
        <w:tc>
          <w:tcPr>
            <w:tcW w:type="dxa" w:w="68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Value</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Document ID</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OAL-TA-001-GROK-ADD-T</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Title</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Addendum T — Terminology Correction and Author Clarification</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Version</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0.4-GROK (Draft — Under Review)</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Date of Issue</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7 September 2026</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Prepared by</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Grok (independent terminology-governance pass)</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Architect of Record</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Nathan Lewis</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Organizations</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Lewis Corp | ONE Industries | Omniversal Architect Labs</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Governing file line</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OAL-TA-001 v0.1-GROK; v0.2-GROK; v0.3-GROK</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Parallel independent passes consulted</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OAL-TI-001-CHATGPT v1.3; OAL-TA-001-CLAUDE-ADD-C v1.3-CLAUDE</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Status</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DRAFT — UNDER REVIEW — NOT CANON UNTIL ONESTAMP APPLIED</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ONESTAMP</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PENDING</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Scope</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Terminology lock only. No change to v0.3 mechanisms (rekey, echo-fold, PDL, split gates).</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Safety posture</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Worldbuilding and simulation only. Not a biometric or identity-theft playbook.</w:t>
            </w:r>
          </w:p>
        </w:tc>
      </w:tr>
    </w:tbl>
    <w:p>
      <w:pPr>
        <w:spacing w:after="200"/>
      </w:pPr>
    </w:p>
    <w:p>
      <w:pPr>
        <w:pStyle w:val="Heading1"/>
        <w:pBdr>
          <w:bottom w:val="single" w:color="1B365D" w:sz="12" w:space="4"/>
        </w:pBdr>
        <w:spacing w:after="160" w:before="280"/>
      </w:pPr>
      <w:r>
        <w:rPr>
          <w:rFonts w:ascii="Calibri" w:cs="Calibri" w:eastAsia="Calibri" w:hAnsi="Calibri"/>
          <w:b/>
          <w:bCs/>
          <w:color w:val="1B365D"/>
          <w:sz w:val="32"/>
          <w:szCs w:val="32"/>
        </w:rPr>
        <w:t xml:space="preserve">1. Purpose of This Addendum</w:t>
      </w:r>
    </w:p>
    <w:p>
      <w:pPr>
        <w:spacing w:after="160" w:before="0" w:line="276"/>
      </w:pPr>
      <w:r>
        <w:rPr>
          <w:rFonts w:ascii="Calibri" w:cs="Calibri" w:eastAsia="Calibri" w:hAnsi="Calibri"/>
          <w:b w:val="false"/>
          <w:bCs w:val="false"/>
          <w:i w:val="false"/>
          <w:iCs w:val="false"/>
          <w:color w:val="334155"/>
          <w:sz w:val="22"/>
          <w:szCs w:val="22"/>
        </w:rPr>
        <w:t xml:space="preserve">On 7 September 2026 the Architect supplied dictionary lookups for providence and provenance and stated that earlier prompts had not kept the two words distinct. The difference is the fourth letter versus the fourteenth. ChatGPT was asked to issue a terminology correction on its Temporal Integrity branch (OAL-TI-001 v1.3). Claude was asked for an independent lock on its own branch (OAL-TA-001-CLAUDE-ADD-C). This document is the independent Grok lock on OAL-TA-001 v0.1–v0.3.</w:t>
      </w:r>
    </w:p>
    <w:p>
      <w:pPr>
        <w:spacing w:after="160" w:before="0" w:line="276"/>
      </w:pPr>
      <w:r>
        <w:rPr>
          <w:rFonts w:ascii="Calibri" w:cs="Calibri" w:eastAsia="Calibri" w:hAnsi="Calibri"/>
          <w:b w:val="false"/>
          <w:bCs w:val="false"/>
          <w:i w:val="false"/>
          <w:iCs w:val="false"/>
          <w:color w:val="334155"/>
          <w:sz w:val="22"/>
          <w:szCs w:val="22"/>
        </w:rPr>
        <w:t xml:space="preserve">Purpose:</w:t>
      </w:r>
    </w:p>
    <w:p>
      <w:pPr>
        <w:pStyle w:val="ListParagraph"/>
        <w:numPr>
          <w:ilvl w:val="0"/>
          <w:numId w:val="2"/>
        </w:numPr>
        <w:spacing w:after="80" w:line="260"/>
      </w:pPr>
      <w:r>
        <w:rPr>
          <w:rFonts w:ascii="Calibri" w:cs="Calibri" w:eastAsia="Calibri" w:hAnsi="Calibri"/>
          <w:color w:val="334155"/>
          <w:sz w:val="22"/>
          <w:szCs w:val="22"/>
        </w:rPr>
        <w:t xml:space="preserve">Record the Architect’s clarification as the governing interpretive rule for the Grok file line.</w:t>
      </w:r>
    </w:p>
    <w:p>
      <w:pPr>
        <w:pStyle w:val="ListParagraph"/>
        <w:numPr>
          <w:ilvl w:val="0"/>
          <w:numId w:val="2"/>
        </w:numPr>
        <w:spacing w:after="80" w:line="260"/>
      </w:pPr>
      <w:r>
        <w:rPr>
          <w:rFonts w:ascii="Calibri" w:cs="Calibri" w:eastAsia="Calibri" w:hAnsi="Calibri"/>
          <w:color w:val="334155"/>
          <w:sz w:val="22"/>
          <w:szCs w:val="22"/>
        </w:rPr>
        <w:t xml:space="preserve">Lock four terms so later drafts do not restitch them.</w:t>
      </w:r>
    </w:p>
    <w:p>
      <w:pPr>
        <w:pStyle w:val="ListParagraph"/>
        <w:numPr>
          <w:ilvl w:val="0"/>
          <w:numId w:val="2"/>
        </w:numPr>
        <w:spacing w:after="80" w:line="260"/>
      </w:pPr>
      <w:r>
        <w:rPr>
          <w:rFonts w:ascii="Calibri" w:cs="Calibri" w:eastAsia="Calibri" w:hAnsi="Calibri"/>
          <w:color w:val="334155"/>
          <w:sz w:val="22"/>
          <w:szCs w:val="22"/>
        </w:rPr>
        <w:t xml:space="preserve">Audit Grok v0.1, v0.2, and especially v0.3, where “Providence” was promoted to a token-class name.</w:t>
      </w:r>
    </w:p>
    <w:p>
      <w:pPr>
        <w:pStyle w:val="ListParagraph"/>
        <w:numPr>
          <w:ilvl w:val="0"/>
          <w:numId w:val="2"/>
        </w:numPr>
        <w:spacing w:after="80" w:line="260"/>
      </w:pPr>
      <w:r>
        <w:rPr>
          <w:rFonts w:ascii="Calibri" w:cs="Calibri" w:eastAsia="Calibri" w:hAnsi="Calibri"/>
          <w:color w:val="334155"/>
          <w:sz w:val="22"/>
          <w:szCs w:val="22"/>
        </w:rPr>
        <w:t xml:space="preserve">State what is unchanged in mechanism.</w:t>
      </w:r>
    </w:p>
    <w:p>
      <w:pPr>
        <w:pStyle w:val="ListParagraph"/>
        <w:numPr>
          <w:ilvl w:val="0"/>
          <w:numId w:val="2"/>
        </w:numPr>
        <w:spacing w:after="80" w:line="260"/>
      </w:pPr>
      <w:r>
        <w:rPr>
          <w:rFonts w:ascii="Calibri" w:cs="Calibri" w:eastAsia="Calibri" w:hAnsi="Calibri"/>
          <w:color w:val="334155"/>
          <w:sz w:val="22"/>
          <w:szCs w:val="22"/>
        </w:rPr>
        <w:t xml:space="preserve">Cross-check the ChatGPT and Claude locks so the three branches remain readable against each other without collapsing into one voice.</w:t>
      </w:r>
    </w:p>
    <w:p>
      <w:pPr>
        <w:pStyle w:val="ListParagraph"/>
        <w:numPr>
          <w:ilvl w:val="0"/>
          <w:numId w:val="2"/>
        </w:numPr>
        <w:spacing w:after="80" w:line="260"/>
      </w:pPr>
      <w:r>
        <w:rPr>
          <w:rFonts w:ascii="Calibri" w:cs="Calibri" w:eastAsia="Calibri" w:hAnsi="Calibri"/>
          <w:color w:val="334155"/>
          <w:sz w:val="22"/>
          <w:szCs w:val="22"/>
        </w:rPr>
        <w:t xml:space="preserve">Preserve every verbatim prompt exactly as spoken or typed. Correction lives outside the quotation.</w:t>
      </w:r>
    </w:p>
    <w:p>
      <w:pPr>
        <w:spacing w:after="160" w:before="0" w:line="276"/>
      </w:pPr>
      <w:r>
        <w:rPr>
          <w:rFonts w:ascii="Calibri" w:cs="Calibri" w:eastAsia="Calibri" w:hAnsi="Calibri"/>
          <w:b w:val="false"/>
          <w:bCs w:val="false"/>
          <w:i w:val="false"/>
          <w:iCs w:val="false"/>
          <w:color w:val="334155"/>
          <w:sz w:val="22"/>
          <w:szCs w:val="22"/>
        </w:rPr>
        <w:t xml:space="preserve">This addendum does not reprint the research corpus, the scenario cards, or the prompt archive. Those remain in v0.1–v0.3 and in the parallel collaborator files.</w:t>
      </w:r>
    </w:p>
    <w:p>
      <w:pPr>
        <w:pStyle w:val="Heading1"/>
        <w:pBdr>
          <w:bottom w:val="single" w:color="1B365D" w:sz="12" w:space="4"/>
        </w:pBdr>
        <w:spacing w:after="160" w:before="280"/>
      </w:pPr>
      <w:r>
        <w:rPr>
          <w:rFonts w:ascii="Calibri" w:cs="Calibri" w:eastAsia="Calibri" w:hAnsi="Calibri"/>
          <w:b/>
          <w:bCs/>
          <w:color w:val="1B365D"/>
          <w:sz w:val="32"/>
          <w:szCs w:val="32"/>
        </w:rPr>
        <w:t xml:space="preserve">2. Author Clarification, As Read on This Branch</w:t>
      </w:r>
    </w:p>
    <w:p>
      <w:pPr>
        <w:spacing w:after="160" w:before="0" w:line="276"/>
      </w:pPr>
      <w:r>
        <w:rPr>
          <w:rFonts w:ascii="Calibri" w:cs="Calibri" w:eastAsia="Calibri" w:hAnsi="Calibri"/>
          <w:b w:val="false"/>
          <w:bCs w:val="false"/>
          <w:i w:val="false"/>
          <w:iCs w:val="false"/>
          <w:color w:val="334155"/>
          <w:sz w:val="22"/>
          <w:szCs w:val="22"/>
        </w:rPr>
        <w:t xml:space="preserve">The Architect’s lookups, supplied as screenshots, distinguish the words in ordinary English:</w:t>
      </w:r>
    </w:p>
    <w:p>
      <w:pPr>
        <w:pStyle w:val="ListParagraph"/>
        <w:numPr>
          <w:ilvl w:val="0"/>
          <w:numId w:val="3"/>
        </w:numPr>
        <w:spacing w:after="80" w:line="260"/>
      </w:pPr>
      <w:r>
        <w:rPr>
          <w:rFonts w:ascii="Calibri" w:cs="Calibri" w:eastAsia="Calibri" w:hAnsi="Calibri"/>
          <w:color w:val="334155"/>
          <w:sz w:val="22"/>
          <w:szCs w:val="22"/>
        </w:rPr>
        <w:t xml:space="preserve">Provenance: place of origin or the documented history of ownership of an item; chain of custody; used in art, antiques, and archival science to show an object is what it claims to be.</w:t>
      </w:r>
    </w:p>
    <w:p>
      <w:pPr>
        <w:pStyle w:val="ListParagraph"/>
        <w:numPr>
          <w:ilvl w:val="0"/>
          <w:numId w:val="3"/>
        </w:numPr>
        <w:spacing w:after="80" w:line="260"/>
      </w:pPr>
      <w:r>
        <w:rPr>
          <w:rFonts w:ascii="Calibri" w:cs="Calibri" w:eastAsia="Calibri" w:hAnsi="Calibri"/>
          <w:color w:val="334155"/>
          <w:sz w:val="22"/>
          <w:szCs w:val="22"/>
        </w:rPr>
        <w:t xml:space="preserve">Providence: protective care, guidance, or governance of God or a higher spiritual power over the universe and human affairs; also ordinary prudence and foresight.</w:t>
      </w:r>
    </w:p>
    <w:p>
      <w:pPr>
        <w:spacing w:after="160" w:before="0" w:line="276"/>
      </w:pPr>
      <w:r>
        <w:rPr>
          <w:rFonts w:ascii="Calibri" w:cs="Calibri" w:eastAsia="Calibri" w:hAnsi="Calibri"/>
          <w:b w:val="false"/>
          <w:bCs w:val="false"/>
          <w:i w:val="false"/>
          <w:iCs w:val="false"/>
          <w:color w:val="334155"/>
          <w:sz w:val="22"/>
          <w:szCs w:val="22"/>
        </w:rPr>
        <w:t xml:space="preserve">The clarification that governs technical writing from this addendum forward: passages about origin, lineage, chain of custody, credential history, authority legitimacy, transfer, supersession, revocation, and evidentiary state history were meant to use provenance. Prior use of “Providence” in that technical sense is treated as a near-homophone slip, not as a silent theological claim.</w:t>
      </w:r>
    </w:p>
    <w:p>
      <w:pPr>
        <w:spacing w:after="160" w:before="0" w:line="276"/>
      </w:pPr>
      <w:r>
        <w:rPr>
          <w:rFonts w:ascii="Calibri" w:cs="Calibri" w:eastAsia="Calibri" w:hAnsi="Calibri"/>
          <w:b w:val="false"/>
          <w:bCs w:val="false"/>
          <w:i w:val="false"/>
          <w:iCs w:val="false"/>
          <w:color w:val="334155"/>
          <w:sz w:val="22"/>
          <w:szCs w:val="22"/>
        </w:rPr>
        <w:t xml:space="preserve">The clarification does not erase the possibility that the Alien Empire also has an in-universe status word that sounds like Providence. It does forbid treating that status word as proof of lineage. Feeling protected is not a custody record.</w:t>
      </w:r>
    </w:p>
    <w:p>
      <w:pPr>
        <w:pStyle w:val="Heading1"/>
        <w:pBdr>
          <w:bottom w:val="single" w:color="1B365D" w:sz="12" w:space="4"/>
        </w:pBdr>
        <w:spacing w:after="160" w:before="280"/>
      </w:pPr>
      <w:r>
        <w:rPr>
          <w:rFonts w:ascii="Calibri" w:cs="Calibri" w:eastAsia="Calibri" w:hAnsi="Calibri"/>
          <w:b/>
          <w:bCs/>
          <w:color w:val="1B365D"/>
          <w:sz w:val="32"/>
          <w:szCs w:val="32"/>
        </w:rPr>
        <w:t xml:space="preserve">3. Four Terms, Locked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rPr>
          <w:tblHeader/>
        </w:trPr>
        <w:tc>
          <w:tcPr>
            <w:tcW w:type="dxa" w:w="24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Term</w:t>
            </w:r>
          </w:p>
        </w:tc>
        <w:tc>
          <w:tcPr>
            <w:tcW w:type="dxa" w:w="4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Meaning on the Grok branch</w:t>
            </w:r>
          </w:p>
        </w:tc>
        <w:tc>
          <w:tcPr>
            <w:tcW w:type="dxa" w:w="34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Default use</w:t>
            </w:r>
          </w:p>
        </w:tc>
      </w:tr>
      <w:tr>
        <w:tc>
          <w:tcPr>
            <w:tcW w:type="dxa" w:w="2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provenance</w:t>
            </w:r>
          </w:p>
        </w:tc>
        <w:tc>
          <w:tcPr>
            <w:tcW w:type="dxa" w:w="4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Origin, lineage, documented history, chain of custody, and the sequence of state transitions by which a current condition or authority claim is said to be valid.</w:t>
            </w:r>
          </w:p>
        </w:tc>
        <w:tc>
          <w:tcPr>
            <w:tcW w:type="dxa" w:w="3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Default technical word for history, custody, and evidentiary reconstruction. Lowercase unless starting a sentence or used in a title.</w:t>
            </w:r>
          </w:p>
        </w:tc>
      </w:tr>
      <w:tr>
        <w:tc>
          <w:tcPr>
            <w:tcW w:type="dxa" w:w="24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Providence</w:t>
            </w:r>
          </w:p>
        </w:tc>
        <w:tc>
          <w:tcPr>
            <w:tcW w:type="dxa" w:w="4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Protective care, guidance, or governance attributed to a higher power — or, only if the Architect later locks it as fiction, an in-universe name for an imperial office’s public presentation.</w:t>
            </w:r>
          </w:p>
        </w:tc>
        <w:tc>
          <w:tcPr>
            <w:tcW w:type="dxa" w:w="34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Not a synonym for provenance. Do not use as the technical name of a token, ledger, or collision object.</w:t>
            </w:r>
          </w:p>
        </w:tc>
      </w:tr>
      <w:tr>
        <w:tc>
          <w:tcPr>
            <w:tcW w:type="dxa" w:w="2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authority provenance</w:t>
            </w:r>
          </w:p>
        </w:tc>
        <w:tc>
          <w:tcPr>
            <w:tcW w:type="dxa" w:w="4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The auditable lineage of an authority state: prior holder, acquisition or transfer event, epoch, current holder, retirement or revocation, and root authorization if any exists.</w:t>
            </w:r>
          </w:p>
        </w:tc>
        <w:tc>
          <w:tcPr>
            <w:tcW w:type="dxa" w:w="3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Standing technical name for the object v0.3 treated as the “live token history.” Aligns with ChatGPT’s Authority Provenance Record (APR) and Claude’s “authority provenance” without requiring those exact acronyms here.</w:t>
            </w:r>
          </w:p>
        </w:tc>
      </w:tr>
      <w:tr>
        <w:tc>
          <w:tcPr>
            <w:tcW w:type="dxa" w:w="24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providential authority</w:t>
            </w:r>
          </w:p>
        </w:tc>
        <w:tc>
          <w:tcPr>
            <w:tcW w:type="dxa" w:w="4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Optional worldbuilding construct: authority claimed to derive from a deity, creator, Architect-level source, destiny, or other transcendent origin.</w:t>
            </w:r>
          </w:p>
        </w:tc>
        <w:tc>
          <w:tcPr>
            <w:tcW w:type="dxa" w:w="34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Reserved. Not established by v0.1–v0.3. Not implied by rekey, echo-fold, PDL, or SNA.</w:t>
            </w:r>
          </w:p>
        </w:tc>
      </w:tr>
    </w:tbl>
    <w:p>
      <w:pPr>
        <w:spacing w:after="160"/>
      </w:pPr>
    </w:p>
    <w:p>
      <w:pPr>
        <w:pStyle w:val="Heading2"/>
        <w:spacing w:after="120" w:before="240"/>
      </w:pPr>
      <w:r>
        <w:rPr>
          <w:rFonts w:ascii="Calibri" w:cs="Calibri" w:eastAsia="Calibri" w:hAnsi="Calibri"/>
          <w:b/>
          <w:bCs/>
          <w:color w:val="1F6F7A"/>
          <w:sz w:val="26"/>
          <w:szCs w:val="26"/>
        </w:rPr>
        <w:t xml:space="preserve">3.1 Why the split is load-bearing</w:t>
      </w:r>
    </w:p>
    <w:p>
      <w:pPr>
        <w:spacing w:after="160" w:before="0" w:line="276"/>
      </w:pPr>
      <w:r>
        <w:rPr>
          <w:rFonts w:ascii="Calibri" w:cs="Calibri" w:eastAsia="Calibri" w:hAnsi="Calibri"/>
          <w:b w:val="false"/>
          <w:bCs w:val="false"/>
          <w:i w:val="false"/>
          <w:iCs w:val="false"/>
          <w:color w:val="334155"/>
          <w:sz w:val="22"/>
          <w:szCs w:val="22"/>
        </w:rPr>
        <w:t xml:space="preserve">A retinal ingest can change what the targeting grid presents (care, rank, “you may remain”). That presentation can look like Providence in the ordinary-language sense: the system that almost destroyed you now shelters you. The same ingest may create no exclusive history. Two bodies then share traces. The civic picture still looks like care. The ledger, if honest, shows a provenance collision.</w:t>
      </w:r>
    </w:p>
    <w:p>
      <w:pPr>
        <w:spacing w:after="160" w:before="0" w:line="276"/>
      </w:pPr>
      <w:r>
        <w:rPr>
          <w:rFonts w:ascii="Calibri" w:cs="Calibri" w:eastAsia="Calibri" w:hAnsi="Calibri"/>
          <w:b w:val="false"/>
          <w:bCs w:val="false"/>
          <w:i w:val="false"/>
          <w:iCs w:val="false"/>
          <w:color w:val="334155"/>
          <w:sz w:val="22"/>
          <w:szCs w:val="22"/>
        </w:rPr>
        <w:t xml:space="preserve">v0.3 already separated presentation from ledger. This addendum names that split with the two words the Architect actually meant. Providence-shaped presentation is what the HUD emits. Authority provenance is what Dual-Live is about.</w:t>
      </w:r>
    </w:p>
    <w:p>
      <w:pPr>
        <w:pStyle w:val="Heading1"/>
        <w:pBdr>
          <w:bottom w:val="single" w:color="1B365D" w:sz="12" w:space="4"/>
        </w:pBdr>
        <w:spacing w:after="160" w:before="280"/>
      </w:pPr>
      <w:r>
        <w:rPr>
          <w:rFonts w:ascii="Calibri" w:cs="Calibri" w:eastAsia="Calibri" w:hAnsi="Calibri"/>
          <w:b/>
          <w:bCs/>
          <w:color w:val="1B365D"/>
          <w:sz w:val="32"/>
          <w:szCs w:val="32"/>
        </w:rPr>
        <w:t xml:space="preserve">4. Audit of the Grok File Line</w:t>
      </w:r>
    </w:p>
    <w:p>
      <w:pPr>
        <w:pStyle w:val="Heading2"/>
        <w:spacing w:after="120" w:before="240"/>
      </w:pPr>
      <w:r>
        <w:rPr>
          <w:rFonts w:ascii="Calibri" w:cs="Calibri" w:eastAsia="Calibri" w:hAnsi="Calibri"/>
          <w:b/>
          <w:bCs/>
          <w:color w:val="1F6F7A"/>
          <w:sz w:val="26"/>
          <w:szCs w:val="26"/>
        </w:rPr>
        <w:t xml:space="preserve">4.1 v0.1-GROK</w:t>
      </w:r>
    </w:p>
    <w:p>
      <w:pPr>
        <w:spacing w:after="160" w:before="0" w:line="276"/>
      </w:pPr>
      <w:r>
        <w:rPr>
          <w:rFonts w:ascii="Calibri" w:cs="Calibri" w:eastAsia="Calibri" w:hAnsi="Calibri"/>
          <w:b w:val="false"/>
          <w:bCs w:val="false"/>
          <w:i w:val="false"/>
          <w:iCs w:val="false"/>
          <w:color w:val="334155"/>
          <w:sz w:val="22"/>
          <w:szCs w:val="22"/>
        </w:rPr>
        <w:t xml:space="preserve">v0.1 introduced temporal aliasing, the reconciler stack, and lab cards TA-01–TA-05. It did not make Providence a token class. No terminology rewrite is required. Interpret any later informal “signature of Providence” talk against this addendum.</w:t>
      </w:r>
    </w:p>
    <w:p>
      <w:pPr>
        <w:pStyle w:val="Heading2"/>
        <w:spacing w:after="120" w:before="240"/>
      </w:pPr>
      <w:r>
        <w:rPr>
          <w:rFonts w:ascii="Calibri" w:cs="Calibri" w:eastAsia="Calibri" w:hAnsi="Calibri"/>
          <w:b/>
          <w:bCs/>
          <w:color w:val="1F6F7A"/>
          <w:sz w:val="26"/>
          <w:szCs w:val="26"/>
        </w:rPr>
        <w:t xml:space="preserve">4.2 v0.2-GROK</w:t>
      </w:r>
    </w:p>
    <w:p>
      <w:pPr>
        <w:spacing w:after="160" w:before="0" w:line="276"/>
      </w:pPr>
      <w:r>
        <w:rPr>
          <w:rFonts w:ascii="Calibri" w:cs="Calibri" w:eastAsia="Calibri" w:hAnsi="Calibri"/>
          <w:b w:val="false"/>
          <w:bCs w:val="false"/>
          <w:i w:val="false"/>
          <w:iCs w:val="false"/>
          <w:color w:val="334155"/>
          <w:sz w:val="22"/>
          <w:szCs w:val="22"/>
        </w:rPr>
        <w:t xml:space="preserve">v0.2 added the prompt archive and Supra-Nyquist Authority. SNA remains a sampling construct: a carrier whose bandwidth sits above an observer’s Nyquist. SNA is not provenance and is not Providence. It can hide or fold a presentation. It cannot, by itself, create exclusive custody. That sentence was already in v0.2. This addendum only makes the word choice match it.</w:t>
      </w:r>
    </w:p>
    <w:p>
      <w:pPr>
        <w:pStyle w:val="Heading2"/>
        <w:spacing w:after="120" w:before="240"/>
      </w:pPr>
      <w:r>
        <w:rPr>
          <w:rFonts w:ascii="Calibri" w:cs="Calibri" w:eastAsia="Calibri" w:hAnsi="Calibri"/>
          <w:b/>
          <w:bCs/>
          <w:color w:val="1F6F7A"/>
          <w:sz w:val="26"/>
          <w:szCs w:val="26"/>
        </w:rPr>
        <w:t xml:space="preserve">4.3 v0.3-GROK — the document that mixed the terms</w:t>
      </w:r>
    </w:p>
    <w:p>
      <w:pPr>
        <w:spacing w:after="160" w:before="0" w:line="276"/>
      </w:pPr>
      <w:r>
        <w:rPr>
          <w:rFonts w:ascii="Calibri" w:cs="Calibri" w:eastAsia="Calibri" w:hAnsi="Calibri"/>
          <w:b w:val="false"/>
          <w:bCs w:val="false"/>
          <w:i w:val="false"/>
          <w:iCs w:val="false"/>
          <w:color w:val="334155"/>
          <w:sz w:val="22"/>
          <w:szCs w:val="22"/>
        </w:rPr>
        <w:t xml:space="preserve">v0.3 locked the Alien Empire chain (P0–P7) and proposed Rekey + Echo-Fold + Collision Watch. It also proposed “Providence” as the formal name of the high-rank token class and used that word in tables, gates, and scenario cards TA-06–TA-09.</w:t>
      </w:r>
    </w:p>
    <w:p>
      <w:pPr>
        <w:spacing w:after="160" w:before="0" w:line="276"/>
      </w:pPr>
      <w:r>
        <w:rPr>
          <w:rFonts w:ascii="Calibri" w:cs="Calibri" w:eastAsia="Calibri" w:hAnsi="Calibri"/>
          <w:b w:val="false"/>
          <w:bCs w:val="false"/>
          <w:i w:val="false"/>
          <w:iCs w:val="false"/>
          <w:color w:val="334155"/>
          <w:sz w:val="22"/>
          <w:szCs w:val="22"/>
        </w:rPr>
        <w:t xml:space="preserve">Under this addendum, those passages are read as follows: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v0.3 phrasing</w:t>
            </w:r>
          </w:p>
        </w:tc>
        <w:tc>
          <w:tcPr>
            <w:tcW w:type="dxa" w:w="64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Interpretive reading from ADD-T forward</w:t>
            </w:r>
          </w:p>
        </w:tc>
      </w:tr>
      <w:tr>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Providence token / Providence-class</w:t>
            </w:r>
          </w:p>
        </w:tc>
        <w:tc>
          <w:tcPr>
            <w:tcW w:type="dxa" w:w="6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High-rank authority class, in-universe flavor if the Architect keeps the word; technically an authority-state whose legitimacy depends on authority provenance.</w:t>
            </w:r>
          </w:p>
        </w:tc>
      </w:tr>
      <w:tr>
        <w:tc>
          <w:tcPr>
            <w:tcW w:type="dxa" w:w="3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authority signature of Providence</w:t>
            </w:r>
          </w:p>
        </w:tc>
        <w:tc>
          <w:tcPr>
            <w:tcW w:type="dxa" w:w="64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Near-homophone for authority provenance of the high-rank office, plus a presentation of care/governance.</w:t>
            </w:r>
          </w:p>
        </w:tc>
      </w:tr>
      <w:tr>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level of Providence</w:t>
            </w:r>
          </w:p>
        </w:tc>
        <w:tc>
          <w:tcPr>
            <w:tcW w:type="dxa" w:w="6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Presented rank or protective status. Not proof of exclusive custody.</w:t>
            </w:r>
          </w:p>
        </w:tc>
      </w:tr>
      <w:tr>
        <w:tc>
          <w:tcPr>
            <w:tcW w:type="dxa" w:w="3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Dual Live Token</w:t>
            </w:r>
          </w:p>
        </w:tc>
        <w:tc>
          <w:tcPr>
            <w:tcW w:type="dxa" w:w="64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Provenance collision: two reconstructions pass the live-holder test for one exclusive authority_id in one window.</w:t>
            </w:r>
          </w:p>
        </w:tc>
      </w:tr>
      <w:tr>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Rekey + echo-fold</w:t>
            </w:r>
          </w:p>
        </w:tc>
        <w:tc>
          <w:tcPr>
            <w:tcW w:type="dxa" w:w="6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Unchanged mechanism. Rekey advances authority provenance. Echo-fold changes what lower-band samplers reconstruct. Neither word is replaced.</w:t>
            </w:r>
          </w:p>
        </w:tc>
      </w:tr>
      <w:tr>
        <w:tc>
          <w:tcPr>
            <w:tcW w:type="dxa" w:w="3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PDL / Protocol Dual-Live</w:t>
            </w:r>
          </w:p>
        </w:tc>
        <w:tc>
          <w:tcPr>
            <w:tcW w:type="dxa" w:w="64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Unchanged. It is a provenance-collision protocol. Destroy remains forbidden as a picture-cleaning tool.</w:t>
            </w:r>
          </w:p>
        </w:tc>
      </w:tr>
    </w:tbl>
    <w:p>
      <w:pPr>
        <w:spacing w:after="140"/>
      </w:pPr>
    </w:p>
    <w:p>
      <w:pPr>
        <w:spacing w:after="160" w:before="0" w:line="276"/>
      </w:pPr>
      <w:r>
        <w:rPr>
          <w:rFonts w:ascii="Calibri" w:cs="Calibri" w:eastAsia="Calibri" w:hAnsi="Calibri"/>
          <w:b w:val="false"/>
          <w:bCs w:val="false"/>
          <w:i w:val="false"/>
          <w:iCs w:val="false"/>
          <w:color w:val="334155"/>
          <w:sz w:val="22"/>
          <w:szCs w:val="22"/>
        </w:rPr>
        <w:t xml:space="preserve">v0.3 is not silently edited. The file stays in the repo as written. This addendum is the interpretive patch. If the Architect later wants a light relabel of v0.3 tables (“Providence-class” → “high-rank authority class”; “Providence ingest” → “high-rank ingest”), that is a separate, optional v0.5 editorial pass — not a requirement of ADD-T.</w:t>
      </w:r>
    </w:p>
    <w:p>
      <w:pPr>
        <w:pStyle w:val="Heading2"/>
        <w:spacing w:after="120" w:before="240"/>
      </w:pPr>
      <w:r>
        <w:rPr>
          <w:rFonts w:ascii="Calibri" w:cs="Calibri" w:eastAsia="Calibri" w:hAnsi="Calibri"/>
          <w:b/>
          <w:bCs/>
          <w:color w:val="1F6F7A"/>
          <w:sz w:val="26"/>
          <w:szCs w:val="26"/>
        </w:rPr>
        <w:t xml:space="preserve">4.4 What v0.3 already got right</w:t>
      </w:r>
    </w:p>
    <w:p>
      <w:pPr>
        <w:pStyle w:val="ListParagraph"/>
        <w:numPr>
          <w:ilvl w:val="0"/>
          <w:numId w:val="3"/>
        </w:numPr>
        <w:spacing w:after="80" w:line="260"/>
      </w:pPr>
      <w:r>
        <w:rPr>
          <w:rFonts w:ascii="Calibri" w:cs="Calibri" w:eastAsia="Calibri" w:hAnsi="Calibri"/>
          <w:color w:val="334155"/>
          <w:sz w:val="22"/>
          <w:szCs w:val="22"/>
        </w:rPr>
        <w:t xml:space="preserve">Copy is illegal if exclusivity is the goal. That is a provenance rule.</w:t>
      </w:r>
    </w:p>
    <w:p>
      <w:pPr>
        <w:pStyle w:val="ListParagraph"/>
        <w:numPr>
          <w:ilvl w:val="0"/>
          <w:numId w:val="3"/>
        </w:numPr>
        <w:spacing w:after="80" w:line="260"/>
      </w:pPr>
      <w:r>
        <w:rPr>
          <w:rFonts w:ascii="Calibri" w:cs="Calibri" w:eastAsia="Calibri" w:hAnsi="Calibri"/>
          <w:color w:val="334155"/>
          <w:sz w:val="22"/>
          <w:szCs w:val="22"/>
        </w:rPr>
        <w:t xml:space="preserve">Transfer-without-rekey leaves a residual that cameras still reconstruct. That is stale authority presentation against a retired lineage.</w:t>
      </w:r>
    </w:p>
    <w:p>
      <w:pPr>
        <w:pStyle w:val="ListParagraph"/>
        <w:numPr>
          <w:ilvl w:val="0"/>
          <w:numId w:val="3"/>
        </w:numPr>
        <w:spacing w:after="80" w:line="260"/>
      </w:pPr>
      <w:r>
        <w:rPr>
          <w:rFonts w:ascii="Calibri" w:cs="Calibri" w:eastAsia="Calibri" w:hAnsi="Calibri"/>
          <w:color w:val="334155"/>
          <w:sz w:val="22"/>
          <w:szCs w:val="22"/>
        </w:rPr>
        <w:t xml:space="preserve">The unified matrix is a channel, not L0. Provenance cannot be certified by the body that just absorbed the trace.</w:t>
      </w:r>
    </w:p>
    <w:p>
      <w:pPr>
        <w:pStyle w:val="ListParagraph"/>
        <w:numPr>
          <w:ilvl w:val="0"/>
          <w:numId w:val="3"/>
        </w:numPr>
        <w:spacing w:after="80" w:line="260"/>
      </w:pPr>
      <w:r>
        <w:rPr>
          <w:rFonts w:ascii="Calibri" w:cs="Calibri" w:eastAsia="Calibri" w:hAnsi="Calibri"/>
          <w:color w:val="334155"/>
          <w:sz w:val="22"/>
          <w:szCs w:val="22"/>
        </w:rPr>
        <w:t xml:space="preserve">Destroy, track, and collision are three gates. Care (a providence-shaped presentation) can change while custody (provenance) is still disputed.</w:t>
      </w:r>
    </w:p>
    <w:p>
      <w:pPr>
        <w:pStyle w:val="Heading1"/>
        <w:pBdr>
          <w:bottom w:val="single" w:color="1B365D" w:sz="12" w:space="4"/>
        </w:pBdr>
        <w:spacing w:after="160" w:before="280"/>
      </w:pPr>
      <w:r>
        <w:rPr>
          <w:rFonts w:ascii="Calibri" w:cs="Calibri" w:eastAsia="Calibri" w:hAnsi="Calibri"/>
          <w:b/>
          <w:bCs/>
          <w:color w:val="1B365D"/>
          <w:sz w:val="32"/>
          <w:szCs w:val="32"/>
        </w:rPr>
        <w:t xml:space="preserve">5. Cross-Collaborator Convergence</w:t>
      </w:r>
    </w:p>
    <w:p>
      <w:pPr>
        <w:spacing w:after="160" w:before="0" w:line="276"/>
      </w:pPr>
      <w:r>
        <w:rPr>
          <w:rFonts w:ascii="Calibri" w:cs="Calibri" w:eastAsia="Calibri" w:hAnsi="Calibri"/>
          <w:b w:val="false"/>
          <w:bCs w:val="false"/>
          <w:i w:val="false"/>
          <w:iCs w:val="false"/>
          <w:color w:val="334155"/>
          <w:sz w:val="22"/>
          <w:szCs w:val="22"/>
        </w:rPr>
        <w:t xml:space="preserve">ChatGPT v1.3 and Claude ADD-C were read for interoperability, not copied. Two independent locks plus this third one agree on the underlying split. That is useful. It suggests the source prompts were underspecified, not that one model invented a distinction and the others complied.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680"/>
      </w:tblGrid>
      <w:tr>
        <w:trPr>
          <w:tblHeader/>
        </w:trPr>
        <w:tc>
          <w:tcPr>
            <w:tcW w:type="dxa" w:w="20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Point</w:t>
            </w:r>
          </w:p>
        </w:tc>
        <w:tc>
          <w:tcPr>
            <w:tcW w:type="dxa" w:w="27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This addendum (Grok ADD-T)</w:t>
            </w:r>
          </w:p>
        </w:tc>
        <w:tc>
          <w:tcPr>
            <w:tcW w:type="dxa" w:w="27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OAL-TI-001-CHATGPT v1.3</w:t>
            </w:r>
          </w:p>
        </w:tc>
        <w:tc>
          <w:tcPr>
            <w:tcW w:type="dxa" w:w="26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OAL-TA-001-CLAUDE-ADD-C</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Core split</w:t>
            </w:r>
          </w:p>
        </w:tc>
        <w:tc>
          <w:tcPr>
            <w:tcW w:type="dxa" w:w="2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provenance = custody/history; Providence = care/governance or reserved flavor word</w:t>
            </w:r>
          </w:p>
        </w:tc>
        <w:tc>
          <w:tcPr>
            <w:tcW w:type="dxa" w:w="2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Same split</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Same split</w:t>
            </w:r>
          </w:p>
        </w:tc>
      </w:tr>
      <w:tr>
        <w:tc>
          <w:tcPr>
            <w:tcW w:type="dxa" w:w="20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Technical object for lineage</w:t>
            </w:r>
          </w:p>
        </w:tc>
        <w:tc>
          <w:tcPr>
            <w:tcW w:type="dxa" w:w="27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authority provenance</w:t>
            </w:r>
          </w:p>
        </w:tc>
        <w:tc>
          <w:tcPr>
            <w:tcW w:type="dxa" w:w="27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authority provenance; APR as root record; TAPL as worldbuilding lock</w:t>
            </w:r>
          </w:p>
        </w:tc>
        <w:tc>
          <w:tcPr>
            <w:tcW w:type="dxa" w:w="26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authority provenance; points at ADD-B arbitration</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Theological reading</w:t>
            </w:r>
          </w:p>
        </w:tc>
        <w:tc>
          <w:tcPr>
            <w:tcW w:type="dxa" w:w="2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providential authority reserved, not implied</w:t>
            </w:r>
          </w:p>
        </w:tc>
        <w:tc>
          <w:tcPr>
            <w:tcW w:type="dxa" w:w="2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Same reservation</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Same reservation</w:t>
            </w:r>
          </w:p>
        </w:tc>
      </w:tr>
      <w:tr>
        <w:tc>
          <w:tcPr>
            <w:tcW w:type="dxa" w:w="20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Verbatim prompts</w:t>
            </w:r>
          </w:p>
        </w:tc>
        <w:tc>
          <w:tcPr>
            <w:tcW w:type="dxa" w:w="27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Unedited; gloss outside the quote</w:t>
            </w:r>
          </w:p>
        </w:tc>
        <w:tc>
          <w:tcPr>
            <w:tcW w:type="dxa" w:w="27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Unedited; gloss outside the quote</w:t>
            </w:r>
          </w:p>
        </w:tc>
        <w:tc>
          <w:tcPr>
            <w:tcW w:type="dxa" w:w="26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Unedited; gloss outside the quote</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Effect on prior mechanism</w:t>
            </w:r>
          </w:p>
        </w:tc>
        <w:tc>
          <w:tcPr>
            <w:tcW w:type="dxa" w:w="2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v0.3 rekey / echo-fold / PDL unchanged</w:t>
            </w:r>
          </w:p>
        </w:tc>
        <w:tc>
          <w:tcPr>
            <w:tcW w:type="dxa" w:w="2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TAPL mechanism unchanged</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ADD-B mechanism unchanged</w:t>
            </w:r>
          </w:p>
        </w:tc>
      </w:tr>
      <w:tr>
        <w:tc>
          <w:tcPr>
            <w:tcW w:type="dxa" w:w="20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In-universe “Providence” as rank word</w:t>
            </w:r>
          </w:p>
        </w:tc>
        <w:tc>
          <w:tcPr>
            <w:tcW w:type="dxa" w:w="27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Allowed only as flavor if Architect locks it; not the ledger name</w:t>
            </w:r>
          </w:p>
        </w:tc>
        <w:tc>
          <w:tcPr>
            <w:tcW w:type="dxa" w:w="27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Use only when higher-order meaning is intended</w:t>
            </w:r>
          </w:p>
        </w:tc>
        <w:tc>
          <w:tcPr>
            <w:tcW w:type="dxa" w:w="26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Kept as ADD-B title flavor; technical terms already used provenance</w:t>
            </w:r>
          </w:p>
        </w:tc>
      </w:tr>
    </w:tbl>
    <w:p>
      <w:pPr>
        <w:spacing w:after="140"/>
      </w:pPr>
    </w:p>
    <w:p>
      <w:pPr>
        <w:spacing w:after="160" w:before="0" w:line="276"/>
      </w:pPr>
      <w:r>
        <w:rPr>
          <w:rFonts w:ascii="Calibri" w:cs="Calibri" w:eastAsia="Calibri" w:hAnsi="Calibri"/>
          <w:b w:val="false"/>
          <w:bCs w:val="false"/>
          <w:i w:val="false"/>
          <w:iCs w:val="false"/>
          <w:color w:val="334155"/>
          <w:sz w:val="22"/>
          <w:szCs w:val="22"/>
        </w:rPr>
        <w:t xml:space="preserve">Known difference, left standing: Claude treats “Providence Collision Problem” as an intentional in-universe title. ChatGPT treats Providence as off-limits in the technical authority model unless theology is intended. Grok’s position is the third and narrower one: the collision is a provenance event that the street may experience as providence. Titles may keep the flavor word. Ledgers may not.</w:t>
      </w:r>
    </w:p>
    <w:p>
      <w:pPr>
        <w:pStyle w:val="Heading1"/>
        <w:pBdr>
          <w:bottom w:val="single" w:color="1B365D" w:sz="12" w:space="4"/>
        </w:pBdr>
        <w:spacing w:after="160" w:before="280"/>
      </w:pPr>
      <w:r>
        <w:rPr>
          <w:rFonts w:ascii="Calibri" w:cs="Calibri" w:eastAsia="Calibri" w:hAnsi="Calibri"/>
          <w:b/>
          <w:bCs/>
          <w:color w:val="1B365D"/>
          <w:sz w:val="32"/>
          <w:szCs w:val="32"/>
        </w:rPr>
        <w:t xml:space="preserve">6. Archival Rule</w:t>
      </w:r>
    </w:p>
    <w:p>
      <w:pPr>
        <w:spacing w:after="160" w:before="0" w:line="276"/>
      </w:pPr>
      <w:r>
        <w:rPr>
          <w:rFonts w:ascii="Calibri" w:cs="Calibri" w:eastAsia="Calibri" w:hAnsi="Calibri"/>
          <w:b w:val="false"/>
          <w:bCs w:val="false"/>
          <w:i w:val="false"/>
          <w:iCs w:val="false"/>
          <w:color w:val="334155"/>
          <w:sz w:val="22"/>
          <w:szCs w:val="22"/>
        </w:rPr>
        <w:t xml:space="preserve">Never silently substitute one word for the other inside a verbatim quotation, screenshot transcript, or original prompt appendix. If a historical line says “authority signature of Providence” and the surrounding technical context means lineage, leave the line intact and attach a gloss:</w:t>
      </w:r>
    </w:p>
    <w:p>
      <w:pPr>
        <w:spacing w:after="160" w:before="0" w:line="276"/>
      </w:pPr>
      <w:r>
        <w:rPr>
          <w:rFonts w:ascii="Calibri" w:cs="Calibri" w:eastAsia="Calibri" w:hAnsi="Calibri"/>
          <w:b w:val="false"/>
          <w:bCs w:val="false"/>
          <w:i/>
          <w:iCs/>
          <w:color w:val="334155"/>
          <w:sz w:val="22"/>
          <w:szCs w:val="22"/>
        </w:rPr>
        <w:t xml:space="preserve">[Gloss: in this passage the Architect’s later clarification reads “Providence” as a near-homophone for provenance / authority provenance. The quotation is not rewritten.]</w:t>
      </w:r>
    </w:p>
    <w:p>
      <w:pPr>
        <w:spacing w:after="160" w:before="0" w:line="276"/>
      </w:pPr>
      <w:r>
        <w:rPr>
          <w:rFonts w:ascii="Calibri" w:cs="Calibri" w:eastAsia="Calibri" w:hAnsi="Calibri"/>
          <w:b w:val="false"/>
          <w:bCs w:val="false"/>
          <w:i w:val="false"/>
          <w:iCs w:val="false"/>
          <w:color w:val="334155"/>
          <w:sz w:val="22"/>
          <w:szCs w:val="22"/>
        </w:rPr>
        <w:t xml:space="preserve">The same rule applies to Grok, ChatGPT, Claude, Copilot, or any later collaborator. Editing the quotation to look consistent is itself a presentation capture of the development record.</w:t>
      </w:r>
    </w:p>
    <w:p>
      <w:pPr>
        <w:pStyle w:val="Heading1"/>
        <w:pBdr>
          <w:bottom w:val="single" w:color="1B365D" w:sz="12" w:space="4"/>
        </w:pBdr>
        <w:spacing w:after="160" w:before="280"/>
      </w:pPr>
      <w:r>
        <w:rPr>
          <w:rFonts w:ascii="Calibri" w:cs="Calibri" w:eastAsia="Calibri" w:hAnsi="Calibri"/>
          <w:b/>
          <w:bCs/>
          <w:color w:val="1B365D"/>
          <w:sz w:val="32"/>
          <w:szCs w:val="32"/>
        </w:rPr>
        <w:t xml:space="preserve">7. Effect on Alien Empire Reading</w:t>
      </w:r>
    </w:p>
    <w:p>
      <w:pPr>
        <w:spacing w:after="160" w:before="0" w:line="276"/>
      </w:pPr>
      <w:r>
        <w:rPr>
          <w:rFonts w:ascii="Calibri" w:cs="Calibri" w:eastAsia="Calibri" w:hAnsi="Calibri"/>
          <w:b w:val="false"/>
          <w:bCs w:val="false"/>
          <w:i w:val="false"/>
          <w:iCs w:val="false"/>
          <w:color w:val="334155"/>
          <w:sz w:val="22"/>
          <w:szCs w:val="22"/>
        </w:rPr>
        <w:t xml:space="preserve">P4 (inhabitant DNA) and P6 (high-rank retinal ingest) change presented care. They do not, by themselves, write exclusive authority provenance. Dual-flag is what happens when two bodies present live reconstructions for one exclusive authority_id. PDL still governs. Rekey still advances epoch. Echo-fold still leaves the original citizen visible as a person and not as current holder to street-rate samplers.</w:t>
      </w:r>
    </w:p>
    <w:p>
      <w:pPr>
        <w:spacing w:after="160" w:before="0" w:line="276"/>
      </w:pPr>
      <w:r>
        <w:rPr>
          <w:rFonts w:ascii="Calibri" w:cs="Calibri" w:eastAsia="Calibri" w:hAnsi="Calibri"/>
          <w:b w:val="false"/>
          <w:bCs w:val="false"/>
          <w:i w:val="false"/>
          <w:iCs w:val="false"/>
          <w:color w:val="334155"/>
          <w:sz w:val="22"/>
          <w:szCs w:val="22"/>
        </w:rPr>
        <w:t xml:space="preserve">Temporal aliasing still does not mint legitimacy. It changes which identity a given sampler can reconstruct. Exclusive current-holder status is a provenance rule plus a root that can retire the prior epoch. If no imperial L0 exists, the scene is CFTRL: lower layers will keep rendering a finished picture of care while custody is unresolved.</w:t>
      </w:r>
    </w:p>
    <w:p>
      <w:pPr>
        <w:pStyle w:val="Heading2"/>
        <w:spacing w:after="120" w:before="240"/>
      </w:pPr>
      <w:r>
        <w:rPr>
          <w:rFonts w:ascii="Calibri" w:cs="Calibri" w:eastAsia="Calibri" w:hAnsi="Calibri"/>
          <w:b/>
          <w:bCs/>
          <w:color w:val="1F6F7A"/>
          <w:sz w:val="26"/>
          <w:szCs w:val="26"/>
        </w:rPr>
        <w:t xml:space="preserve">7.1 Recommended names going forward on this branch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Object</w:t>
            </w:r>
          </w:p>
        </w:tc>
        <w:tc>
          <w:tcPr>
            <w:tcW w:type="dxa" w:w="60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Preferred name after ADD-T</w:t>
            </w:r>
          </w:p>
        </w:tc>
      </w:tr>
      <w:tr>
        <w:tc>
          <w:tcPr>
            <w:tcW w:type="dxa" w:w="4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High-rank office as felt on the HUD</w:t>
            </w:r>
          </w:p>
        </w:tc>
        <w:tc>
          <w:tcPr>
            <w:tcW w:type="dxa" w:w="6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presented care / high-rank presentation (Providence only if Architect locks the flavor word)</w:t>
            </w:r>
          </w:p>
        </w:tc>
      </w:tr>
      <w:tr>
        <w:tc>
          <w:tcPr>
            <w:tcW w:type="dxa" w:w="40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Exclusive current-holder history</w:t>
            </w:r>
          </w:p>
        </w:tc>
        <w:tc>
          <w:tcPr>
            <w:tcW w:type="dxa" w:w="60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authority provenance</w:t>
            </w:r>
          </w:p>
        </w:tc>
      </w:tr>
      <w:tr>
        <w:tc>
          <w:tcPr>
            <w:tcW w:type="dxa" w:w="4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Root record, if later specified</w:t>
            </w:r>
          </w:p>
        </w:tc>
        <w:tc>
          <w:tcPr>
            <w:tcW w:type="dxa" w:w="6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authority provenance record (APR acceptable for cross-branch read)</w:t>
            </w:r>
          </w:p>
        </w:tc>
      </w:tr>
      <w:tr>
        <w:tc>
          <w:tcPr>
            <w:tcW w:type="dxa" w:w="40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Sampling uniqueness after rekey</w:t>
            </w:r>
          </w:p>
        </w:tc>
        <w:tc>
          <w:tcPr>
            <w:tcW w:type="dxa" w:w="60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B_live / SNA-proxy (unchanged)</w:t>
            </w:r>
          </w:p>
        </w:tc>
      </w:tr>
      <w:tr>
        <w:tc>
          <w:tcPr>
            <w:tcW w:type="dxa" w:w="4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Two live reconstructions</w:t>
            </w:r>
          </w:p>
        </w:tc>
        <w:tc>
          <w:tcPr>
            <w:tcW w:type="dxa" w:w="6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provenance collision / Dual-Live</w:t>
            </w:r>
          </w:p>
        </w:tc>
      </w:tr>
      <w:tr>
        <w:tc>
          <w:tcPr>
            <w:tcW w:type="dxa" w:w="40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Optional divine source of office</w:t>
            </w:r>
          </w:p>
        </w:tc>
        <w:tc>
          <w:tcPr>
            <w:tcW w:type="dxa" w:w="60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providential authority (not in force)</w:t>
            </w:r>
          </w:p>
        </w:tc>
      </w:tr>
    </w:tbl>
    <w:p>
      <w:pPr>
        <w:pStyle w:val="Heading1"/>
        <w:pBdr>
          <w:bottom w:val="single" w:color="1B365D" w:sz="12" w:space="4"/>
        </w:pBdr>
        <w:spacing w:after="160" w:before="280"/>
      </w:pPr>
      <w:r>
        <w:rPr>
          <w:rFonts w:ascii="Calibri" w:cs="Calibri" w:eastAsia="Calibri" w:hAnsi="Calibri"/>
          <w:b/>
          <w:bCs/>
          <w:color w:val="1B365D"/>
          <w:sz w:val="32"/>
          <w:szCs w:val="32"/>
        </w:rPr>
        <w:t xml:space="preserve">8. What This Addendum Does Not Do</w:t>
      </w:r>
    </w:p>
    <w:p>
      <w:pPr>
        <w:pStyle w:val="ListParagraph"/>
        <w:numPr>
          <w:ilvl w:val="0"/>
          <w:numId w:val="3"/>
        </w:numPr>
        <w:spacing w:after="80" w:line="260"/>
      </w:pPr>
      <w:r>
        <w:rPr>
          <w:rFonts w:ascii="Calibri" w:cs="Calibri" w:eastAsia="Calibri" w:hAnsi="Calibri"/>
          <w:color w:val="334155"/>
          <w:sz w:val="22"/>
          <w:szCs w:val="22"/>
        </w:rPr>
        <w:t xml:space="preserve">It does not reprint ChatGPT’s fifty-page research report.</w:t>
      </w:r>
    </w:p>
    <w:p>
      <w:pPr>
        <w:pStyle w:val="ListParagraph"/>
        <w:numPr>
          <w:ilvl w:val="0"/>
          <w:numId w:val="3"/>
        </w:numPr>
        <w:spacing w:after="80" w:line="260"/>
      </w:pPr>
      <w:r>
        <w:rPr>
          <w:rFonts w:ascii="Calibri" w:cs="Calibri" w:eastAsia="Calibri" w:hAnsi="Calibri"/>
          <w:color w:val="334155"/>
          <w:sz w:val="22"/>
          <w:szCs w:val="22"/>
        </w:rPr>
        <w:t xml:space="preserve">It does not rewrite v0.3 tables in place.</w:t>
      </w:r>
    </w:p>
    <w:p>
      <w:pPr>
        <w:pStyle w:val="ListParagraph"/>
        <w:numPr>
          <w:ilvl w:val="0"/>
          <w:numId w:val="3"/>
        </w:numPr>
        <w:spacing w:after="80" w:line="260"/>
      </w:pPr>
      <w:r>
        <w:rPr>
          <w:rFonts w:ascii="Calibri" w:cs="Calibri" w:eastAsia="Calibri" w:hAnsi="Calibri"/>
          <w:color w:val="334155"/>
          <w:sz w:val="22"/>
          <w:szCs w:val="22"/>
        </w:rPr>
        <w:t xml:space="preserve">It does not adopt TAPL, TARB, DVAR, or other ChatGPT-coined mechanism names as Grok canon. Those names are recognized for cross-reading.</w:t>
      </w:r>
    </w:p>
    <w:p>
      <w:pPr>
        <w:pStyle w:val="ListParagraph"/>
        <w:numPr>
          <w:ilvl w:val="0"/>
          <w:numId w:val="3"/>
        </w:numPr>
        <w:spacing w:after="80" w:line="260"/>
      </w:pPr>
      <w:r>
        <w:rPr>
          <w:rFonts w:ascii="Calibri" w:cs="Calibri" w:eastAsia="Calibri" w:hAnsi="Calibri"/>
          <w:color w:val="334155"/>
          <w:sz w:val="22"/>
          <w:szCs w:val="22"/>
        </w:rPr>
        <w:t xml:space="preserve">It does not adopt Claude ADD-B’s arbitration tables as Grok canon. Same recognition rule.</w:t>
      </w:r>
    </w:p>
    <w:p>
      <w:pPr>
        <w:pStyle w:val="ListParagraph"/>
        <w:numPr>
          <w:ilvl w:val="0"/>
          <w:numId w:val="3"/>
        </w:numPr>
        <w:spacing w:after="80" w:line="260"/>
      </w:pPr>
      <w:r>
        <w:rPr>
          <w:rFonts w:ascii="Calibri" w:cs="Calibri" w:eastAsia="Calibri" w:hAnsi="Calibri"/>
          <w:color w:val="334155"/>
          <w:sz w:val="22"/>
          <w:szCs w:val="22"/>
        </w:rPr>
        <w:t xml:space="preserve">It does not declare providential authority in force.</w:t>
      </w:r>
    </w:p>
    <w:p>
      <w:pPr>
        <w:pStyle w:val="ListParagraph"/>
        <w:numPr>
          <w:ilvl w:val="0"/>
          <w:numId w:val="3"/>
        </w:numPr>
        <w:spacing w:after="80" w:line="260"/>
      </w:pPr>
      <w:r>
        <w:rPr>
          <w:rFonts w:ascii="Calibri" w:cs="Calibri" w:eastAsia="Calibri" w:hAnsi="Calibri"/>
          <w:color w:val="334155"/>
          <w:sz w:val="22"/>
          <w:szCs w:val="22"/>
        </w:rPr>
        <w:t xml:space="preserve">It does not treat three agreeing drafts as ONESTAMP.</w:t>
      </w:r>
    </w:p>
    <w:p>
      <w:pPr>
        <w:pStyle w:val="Heading1"/>
        <w:pBdr>
          <w:bottom w:val="single" w:color="1B365D" w:sz="12" w:space="4"/>
        </w:pBdr>
        <w:spacing w:after="160" w:before="280"/>
      </w:pPr>
      <w:r>
        <w:rPr>
          <w:rFonts w:ascii="Calibri" w:cs="Calibri" w:eastAsia="Calibri" w:hAnsi="Calibri"/>
          <w:b/>
          <w:bCs/>
          <w:color w:val="1B365D"/>
          <w:sz w:val="32"/>
          <w:szCs w:val="32"/>
        </w:rPr>
        <w:t xml:space="preserve">9. Questions for the Architect</w:t>
      </w:r>
    </w:p>
    <w:p>
      <w:pPr>
        <w:pStyle w:val="ListParagraph"/>
        <w:numPr>
          <w:ilvl w:val="0"/>
          <w:numId w:val="2"/>
        </w:numPr>
        <w:spacing w:after="80" w:line="260"/>
      </w:pPr>
      <w:r>
        <w:rPr>
          <w:rFonts w:ascii="Calibri" w:cs="Calibri" w:eastAsia="Calibri" w:hAnsi="Calibri"/>
          <w:color w:val="334155"/>
          <w:sz w:val="22"/>
          <w:szCs w:val="22"/>
        </w:rPr>
        <w:t xml:space="preserve">Keep “Providence” as the in-universe rank flavor word in the Alien Empire, or retire it from technical tables and leave it only in verbatim quotes.</w:t>
      </w:r>
    </w:p>
    <w:p>
      <w:pPr>
        <w:pStyle w:val="ListParagraph"/>
        <w:numPr>
          <w:ilvl w:val="0"/>
          <w:numId w:val="2"/>
        </w:numPr>
        <w:spacing w:after="80" w:line="260"/>
      </w:pPr>
      <w:r>
        <w:rPr>
          <w:rFonts w:ascii="Calibri" w:cs="Calibri" w:eastAsia="Calibri" w:hAnsi="Calibri"/>
          <w:color w:val="334155"/>
          <w:sz w:val="22"/>
          <w:szCs w:val="22"/>
        </w:rPr>
        <w:t xml:space="preserve">Authorize a light v0.5 relabel of v0.3 section 15 vocabulary, or leave v0.3 frozen with this addendum as the gloss.</w:t>
      </w:r>
    </w:p>
    <w:p>
      <w:pPr>
        <w:pStyle w:val="ListParagraph"/>
        <w:numPr>
          <w:ilvl w:val="0"/>
          <w:numId w:val="2"/>
        </w:numPr>
        <w:spacing w:after="80" w:line="260"/>
      </w:pPr>
      <w:r>
        <w:rPr>
          <w:rFonts w:ascii="Calibri" w:cs="Calibri" w:eastAsia="Calibri" w:hAnsi="Calibri"/>
          <w:color w:val="334155"/>
          <w:sz w:val="22"/>
          <w:szCs w:val="22"/>
        </w:rPr>
        <w:t xml:space="preserve">Adopt “authority provenance record” as a shared cross-branch object name, or keep Grok’s plainer “authority provenance” without the acronym.</w:t>
      </w:r>
    </w:p>
    <w:p>
      <w:pPr>
        <w:pStyle w:val="ListParagraph"/>
        <w:numPr>
          <w:ilvl w:val="0"/>
          <w:numId w:val="2"/>
        </w:numPr>
        <w:spacing w:after="80" w:line="260"/>
      </w:pPr>
      <w:r>
        <w:rPr>
          <w:rFonts w:ascii="Calibri" w:cs="Calibri" w:eastAsia="Calibri" w:hAnsi="Calibri"/>
          <w:color w:val="334155"/>
          <w:sz w:val="22"/>
          <w:szCs w:val="22"/>
        </w:rPr>
        <w:t xml:space="preserve">Does the original high-rank citizen receive notice of retirement (a provenance event they can contest), or only a change in how the street reconstructs them.</w:t>
      </w:r>
    </w:p>
    <w:p>
      <w:pPr>
        <w:pStyle w:val="ListParagraph"/>
        <w:numPr>
          <w:ilvl w:val="0"/>
          <w:numId w:val="2"/>
        </w:numPr>
        <w:spacing w:after="80" w:line="260"/>
      </w:pPr>
      <w:r>
        <w:rPr>
          <w:rFonts w:ascii="Calibri" w:cs="Calibri" w:eastAsia="Calibri" w:hAnsi="Calibri"/>
          <w:color w:val="334155"/>
          <w:sz w:val="22"/>
          <w:szCs w:val="22"/>
        </w:rPr>
        <w:t xml:space="preserve">Is there any in-canon providential authority source, or is that box to remain empty.</w:t>
      </w:r>
    </w:p>
    <w:p>
      <w:pPr>
        <w:pStyle w:val="Heading1"/>
        <w:pBdr>
          <w:bottom w:val="single" w:color="1B365D" w:sz="12" w:space="4"/>
        </w:pBdr>
        <w:spacing w:after="160" w:before="280"/>
      </w:pPr>
      <w:r>
        <w:rPr>
          <w:rFonts w:ascii="Calibri" w:cs="Calibri" w:eastAsia="Calibri" w:hAnsi="Calibri"/>
          <w:b/>
          <w:bCs/>
          <w:color w:val="1B365D"/>
          <w:sz w:val="32"/>
          <w:szCs w:val="32"/>
        </w:rPr>
        <w:t xml:space="preserve">10. What Works, What Does Not</w:t>
      </w:r>
    </w:p>
    <w:p>
      <w:pPr>
        <w:pStyle w:val="Heading2"/>
        <w:spacing w:after="120" w:before="240"/>
      </w:pPr>
      <w:r>
        <w:rPr>
          <w:rFonts w:ascii="Calibri" w:cs="Calibri" w:eastAsia="Calibri" w:hAnsi="Calibri"/>
          <w:b/>
          <w:bCs/>
          <w:color w:val="1F6F7A"/>
          <w:sz w:val="26"/>
          <w:szCs w:val="26"/>
        </w:rPr>
        <w:t xml:space="preserve">10.1 What works</w:t>
      </w:r>
    </w:p>
    <w:p>
      <w:pPr>
        <w:pStyle w:val="ListParagraph"/>
        <w:numPr>
          <w:ilvl w:val="0"/>
          <w:numId w:val="3"/>
        </w:numPr>
        <w:spacing w:after="80" w:line="260"/>
      </w:pPr>
      <w:r>
        <w:rPr>
          <w:rFonts w:ascii="Calibri" w:cs="Calibri" w:eastAsia="Calibri" w:hAnsi="Calibri"/>
          <w:color w:val="334155"/>
          <w:sz w:val="22"/>
          <w:szCs w:val="22"/>
        </w:rPr>
        <w:t xml:space="preserve">The Architect catching the fourth-versus-fourteenth-letter error in the same day as the collision design.</w:t>
      </w:r>
    </w:p>
    <w:p>
      <w:pPr>
        <w:pStyle w:val="ListParagraph"/>
        <w:numPr>
          <w:ilvl w:val="0"/>
          <w:numId w:val="3"/>
        </w:numPr>
        <w:spacing w:after="80" w:line="260"/>
      </w:pPr>
      <w:r>
        <w:rPr>
          <w:rFonts w:ascii="Calibri" w:cs="Calibri" w:eastAsia="Calibri" w:hAnsi="Calibri"/>
          <w:color w:val="334155"/>
          <w:sz w:val="22"/>
          <w:szCs w:val="22"/>
        </w:rPr>
        <w:t xml:space="preserve">Three independent locks landing on the same split.</w:t>
      </w:r>
    </w:p>
    <w:p>
      <w:pPr>
        <w:pStyle w:val="ListParagraph"/>
        <w:numPr>
          <w:ilvl w:val="0"/>
          <w:numId w:val="3"/>
        </w:numPr>
        <w:spacing w:after="80" w:line="260"/>
      </w:pPr>
      <w:r>
        <w:rPr>
          <w:rFonts w:ascii="Calibri" w:cs="Calibri" w:eastAsia="Calibri" w:hAnsi="Calibri"/>
          <w:color w:val="334155"/>
          <w:sz w:val="22"/>
          <w:szCs w:val="22"/>
        </w:rPr>
        <w:t xml:space="preserve">v0.3’s mechanism surviving the word change without surgery.</w:t>
      </w:r>
    </w:p>
    <w:p>
      <w:pPr>
        <w:pStyle w:val="ListParagraph"/>
        <w:numPr>
          <w:ilvl w:val="0"/>
          <w:numId w:val="3"/>
        </w:numPr>
        <w:spacing w:after="80" w:line="260"/>
      </w:pPr>
      <w:r>
        <w:rPr>
          <w:rFonts w:ascii="Calibri" w:cs="Calibri" w:eastAsia="Calibri" w:hAnsi="Calibri"/>
          <w:color w:val="334155"/>
          <w:sz w:val="22"/>
          <w:szCs w:val="22"/>
        </w:rPr>
        <w:t xml:space="preserve">The archival rule that refuses to clean the quotes.</w:t>
      </w:r>
    </w:p>
    <w:p>
      <w:pPr>
        <w:pStyle w:val="Heading2"/>
        <w:spacing w:after="120" w:before="240"/>
      </w:pPr>
      <w:r>
        <w:rPr>
          <w:rFonts w:ascii="Calibri" w:cs="Calibri" w:eastAsia="Calibri" w:hAnsi="Calibri"/>
          <w:b/>
          <w:bCs/>
          <w:color w:val="1F6F7A"/>
          <w:sz w:val="26"/>
          <w:szCs w:val="26"/>
        </w:rPr>
        <w:t xml:space="preserve">10.2 What does not work</w:t>
      </w:r>
    </w:p>
    <w:p>
      <w:pPr>
        <w:pStyle w:val="ListParagraph"/>
        <w:numPr>
          <w:ilvl w:val="0"/>
          <w:numId w:val="3"/>
        </w:numPr>
        <w:spacing w:after="80" w:line="260"/>
      </w:pPr>
      <w:r>
        <w:rPr>
          <w:rFonts w:ascii="Calibri" w:cs="Calibri" w:eastAsia="Calibri" w:hAnsi="Calibri"/>
          <w:color w:val="334155"/>
          <w:sz w:val="22"/>
          <w:szCs w:val="22"/>
        </w:rPr>
        <w:t xml:space="preserve">Using Providence as the ledger name.</w:t>
      </w:r>
    </w:p>
    <w:p>
      <w:pPr>
        <w:pStyle w:val="ListParagraph"/>
        <w:numPr>
          <w:ilvl w:val="0"/>
          <w:numId w:val="3"/>
        </w:numPr>
        <w:spacing w:after="80" w:line="260"/>
      </w:pPr>
      <w:r>
        <w:rPr>
          <w:rFonts w:ascii="Calibri" w:cs="Calibri" w:eastAsia="Calibri" w:hAnsi="Calibri"/>
          <w:color w:val="334155"/>
          <w:sz w:val="22"/>
          <w:szCs w:val="22"/>
        </w:rPr>
        <w:t xml:space="preserve">Using provenance as a vibe word for “it felt blessed.”</w:t>
      </w:r>
    </w:p>
    <w:p>
      <w:pPr>
        <w:pStyle w:val="ListParagraph"/>
        <w:numPr>
          <w:ilvl w:val="0"/>
          <w:numId w:val="3"/>
        </w:numPr>
        <w:spacing w:after="80" w:line="260"/>
      </w:pPr>
      <w:r>
        <w:rPr>
          <w:rFonts w:ascii="Calibri" w:cs="Calibri" w:eastAsia="Calibri" w:hAnsi="Calibri"/>
          <w:color w:val="334155"/>
          <w:sz w:val="22"/>
          <w:szCs w:val="22"/>
        </w:rPr>
        <w:t xml:space="preserve">Silent search-and-replace across verbatim appendices.</w:t>
      </w:r>
    </w:p>
    <w:p>
      <w:pPr>
        <w:pStyle w:val="ListParagraph"/>
        <w:numPr>
          <w:ilvl w:val="0"/>
          <w:numId w:val="3"/>
        </w:numPr>
        <w:spacing w:after="80" w:line="260"/>
      </w:pPr>
      <w:r>
        <w:rPr>
          <w:rFonts w:ascii="Calibri" w:cs="Calibri" w:eastAsia="Calibri" w:hAnsi="Calibri"/>
          <w:color w:val="334155"/>
          <w:sz w:val="22"/>
          <w:szCs w:val="22"/>
        </w:rPr>
        <w:t xml:space="preserve">Treating collaborator convergence as ratification.</w:t>
      </w:r>
    </w:p>
    <w:p>
      <w:pPr>
        <w:pStyle w:val="Heading1"/>
        <w:pBdr>
          <w:bottom w:val="single" w:color="1B365D" w:sz="12" w:space="4"/>
        </w:pBdr>
        <w:spacing w:after="160" w:before="280"/>
      </w:pPr>
      <w:r>
        <w:rPr>
          <w:rFonts w:ascii="Calibri" w:cs="Calibri" w:eastAsia="Calibri" w:hAnsi="Calibri"/>
          <w:b/>
          <w:bCs/>
          <w:color w:val="1B365D"/>
          <w:sz w:val="32"/>
          <w:szCs w:val="32"/>
        </w:rPr>
        <w:t xml:space="preserve">11. Immediate Next Steps</w:t>
      </w:r>
    </w:p>
    <w:p>
      <w:pPr>
        <w:pStyle w:val="ListParagraph"/>
        <w:numPr>
          <w:ilvl w:val="0"/>
          <w:numId w:val="2"/>
        </w:numPr>
        <w:spacing w:after="80" w:line="260"/>
      </w:pPr>
      <w:r>
        <w:rPr>
          <w:rFonts w:ascii="Calibri" w:cs="Calibri" w:eastAsia="Calibri" w:hAnsi="Calibri"/>
          <w:color w:val="334155"/>
          <w:sz w:val="22"/>
          <w:szCs w:val="22"/>
        </w:rPr>
        <w:t xml:space="preserve">File this addendum as OAL-TA-001-GROK-ADD-T v0.4-GROK in DOCX and PDF beside v0.1–v0.3.</w:t>
      </w:r>
    </w:p>
    <w:p>
      <w:pPr>
        <w:pStyle w:val="ListParagraph"/>
        <w:numPr>
          <w:ilvl w:val="0"/>
          <w:numId w:val="2"/>
        </w:numPr>
        <w:spacing w:after="80" w:line="260"/>
      </w:pPr>
      <w:r>
        <w:rPr>
          <w:rFonts w:ascii="Calibri" w:cs="Calibri" w:eastAsia="Calibri" w:hAnsi="Calibri"/>
          <w:color w:val="334155"/>
          <w:sz w:val="22"/>
          <w:szCs w:val="22"/>
        </w:rPr>
        <w:t xml:space="preserve">Architect mark-up of Section 9.</w:t>
      </w:r>
    </w:p>
    <w:p>
      <w:pPr>
        <w:pStyle w:val="ListParagraph"/>
        <w:numPr>
          <w:ilvl w:val="0"/>
          <w:numId w:val="2"/>
        </w:numPr>
        <w:spacing w:after="80" w:line="260"/>
      </w:pPr>
      <w:r>
        <w:rPr>
          <w:rFonts w:ascii="Calibri" w:cs="Calibri" w:eastAsia="Calibri" w:hAnsi="Calibri"/>
          <w:color w:val="334155"/>
          <w:sz w:val="22"/>
          <w:szCs w:val="22"/>
        </w:rPr>
        <w:t xml:space="preserve">Optional later v0.5 table relabel — only if requested.</w:t>
      </w:r>
    </w:p>
    <w:p>
      <w:pPr>
        <w:pStyle w:val="ListParagraph"/>
        <w:numPr>
          <w:ilvl w:val="0"/>
          <w:numId w:val="2"/>
        </w:numPr>
        <w:spacing w:after="80" w:line="260"/>
      </w:pPr>
      <w:r>
        <w:rPr>
          <w:rFonts w:ascii="Calibri" w:cs="Calibri" w:eastAsia="Calibri" w:hAnsi="Calibri"/>
          <w:color w:val="334155"/>
          <w:sz w:val="22"/>
          <w:szCs w:val="22"/>
        </w:rPr>
        <w:t xml:space="preserve">No change to TA-06–TA-09 physics. Card titles may keep old names until relabel is authorized.</w:t>
      </w:r>
    </w:p>
    <w:p>
      <w:pPr>
        <w:spacing w:after="160"/>
      </w:pPr>
    </w:p>
    <w:p>
      <w:pPr>
        <w:pStyle w:val="Heading1"/>
        <w:pBdr>
          <w:bottom w:val="single" w:color="1B365D" w:sz="12" w:space="4"/>
        </w:pBdr>
        <w:spacing w:after="160" w:before="280"/>
      </w:pPr>
      <w:r>
        <w:rPr>
          <w:rFonts w:ascii="Calibri" w:cs="Calibri" w:eastAsia="Calibri" w:hAnsi="Calibri"/>
          <w:b/>
          <w:bCs/>
          <w:color w:val="1B365D"/>
          <w:sz w:val="32"/>
          <w:szCs w:val="32"/>
        </w:rPr>
        <w:t xml:space="preserve">12. Authentication Block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Field</w:t>
            </w:r>
          </w:p>
        </w:tc>
        <w:tc>
          <w:tcPr>
            <w:tcW w:type="dxa" w:w="68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Value</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Document ID</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OAL-TA-001-GROK-ADD-T</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Version</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0.4-GROK</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Date compiled</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7 September 2026</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Prepared by</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Grok</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Architect of Record</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Nathan Lewis</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ONESTAMP</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PENDING</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Governs</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Interpretation of OAL-TA-001 v0.1–v0.3</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Consulted, not copied</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OAL-TI-001-CHATGPT v1.3; OAL-TA-001-CLAUDE-ADD-C v1.3</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Canon status</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DRAFT — terminology-governance only</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Repo intent</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DOCX + PDF pair for Drive / OneDrive / Creative Cloud / GitHub</w:t>
            </w:r>
          </w:p>
        </w:tc>
      </w:tr>
    </w:tbl>
    <w:p>
      <w:pPr>
        <w:spacing w:after="180"/>
      </w:pPr>
    </w:p>
    <w:p>
      <w:pPr>
        <w:spacing w:after="160" w:before="0" w:line="276"/>
      </w:pPr>
      <w:r>
        <w:rPr>
          <w:rFonts w:ascii="Calibri" w:cs="Calibri" w:eastAsia="Calibri" w:hAnsi="Calibri"/>
          <w:b w:val="false"/>
          <w:bCs w:val="false"/>
          <w:i/>
          <w:iCs/>
          <w:color w:val="334155"/>
          <w:sz w:val="22"/>
          <w:szCs w:val="22"/>
        </w:rPr>
        <w:t xml:space="preserve">No collaborator should treat this addendum as canon until the Architect applies ONESTAMP. Agreement among Grok, ChatGPT, and Claude is a consistency check. It is not ratification.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65D" w:sz="8" w:space="6"/>
      </w:pBdr>
      <w:spacing w:before="80"/>
    </w:pPr>
    <w:r>
      <w:rPr>
        <w:rFonts w:ascii="Calibri" w:cs="Calibri" w:eastAsia="Calibri" w:hAnsi="Calibri"/>
        <w:color w:val="5B6570"/>
        <w:sz w:val="16"/>
        <w:szCs w:val="16"/>
      </w:rPr>
      <w:t xml:space="preserve">DRAFT — NOT CANON  ·  Prepared by Grok  ·  Page </w:t>
    </w:r>
    <w:r>
      <w:rPr>
        <w:rFonts w:ascii="Calibri" w:cs="Calibri" w:eastAsia="Calibri" w:hAnsi="Calibri"/>
        <w:color w:val="5B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8" w:space="6"/>
      </w:pBdr>
      <w:spacing w:after="80"/>
    </w:pPr>
    <w:r>
      <w:rPr>
        <w:rFonts w:ascii="Calibri" w:cs="Calibri" w:eastAsia="Calibri" w:hAnsi="Calibri"/>
        <w:color w:val="5B6570"/>
        <w:sz w:val="16"/>
        <w:szCs w:val="16"/>
      </w:rPr>
      <w:t xml:space="preserve">OAL-TA-001-GROK-ADD-T  ·  Terminology Correction  ·  v0.4-GROK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B365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6F7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8A6D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2026-09-07T22:53:43.078Z</dcterms:created>
  <dcterms:modified xsi:type="dcterms:W3CDTF">2026-09-07T22:53:43.078Z</dcterms:modified>
</cp:coreProperties>
</file>

<file path=docProps/custom.xml><?xml version="1.0" encoding="utf-8"?>
<Properties xmlns="http://schemas.openxmlformats.org/officeDocument/2006/custom-properties" xmlns:vt="http://schemas.openxmlformats.org/officeDocument/2006/docPropsVTypes"/>
</file>