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F766E"/>
          <w:sz w:val="18"/>
          <w:szCs w:val="18"/>
        </w:rPr>
        <w:t xml:space="preserve">OMNIVERSAL ARCHITECT LABS</w:t>
      </w:r>
    </w:p>
    <w:p>
      <w:pPr>
        <w:spacing w:after="200"/>
        <w:jc w:val="center"/>
      </w:pPr>
      <w:r>
        <w:rPr>
          <w:rFonts w:ascii="Arial" w:cs="Arial" w:eastAsia="Arial" w:hAnsi="Arial"/>
          <w:color w:val="64748B"/>
          <w:sz w:val="16"/>
          <w:szCs w:val="16"/>
        </w:rPr>
        <w:t xml:space="preserve">PROJECT DEVELOPMENT RECORD</w:t>
      </w:r>
    </w:p>
    <w:p>
      <w:pPr>
        <w:spacing w:after="80"/>
        <w:jc w:val="center"/>
      </w:pPr>
      <w:r>
        <w:rPr>
          <w:rFonts w:ascii="Arial" w:cs="Arial" w:eastAsia="Arial" w:hAnsi="Arial"/>
          <w:b/>
          <w:bCs/>
          <w:color w:val="1B365D"/>
          <w:sz w:val="40"/>
          <w:szCs w:val="40"/>
        </w:rPr>
        <w:t xml:space="preserve">Control Flow Through Living Matrices</w:t>
      </w:r>
    </w:p>
    <w:p>
      <w:pPr>
        <w:spacing w:after="280"/>
        <w:jc w:val="center"/>
      </w:pPr>
      <w:r>
        <w:rPr>
          <w:rFonts w:ascii="Arial" w:cs="Arial" w:eastAsia="Arial" w:hAnsi="Arial"/>
          <w:i/>
          <w:iCs/>
          <w:color w:val="334155"/>
          <w:sz w:val="22"/>
          <w:szCs w:val="22"/>
        </w:rPr>
        <w:t xml:space="preserve">Vascular Architecture, Neural Signatures, and the Matrix Control-Flow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60"/>
              <w:left w:type="dxa" w:w="80"/>
              <w:bottom w:type="dxa" w:w="60"/>
              <w:right w:type="dxa" w:w="80"/>
            </w:tcMar>
          </w:tcPr>
          <w:p>
            <w:r>
              <w:rPr>
                <w:rFonts w:ascii="Arial" w:cs="Arial" w:eastAsia="Arial" w:hAnsi="Arial"/>
                <w:b/>
                <w:bCs/>
                <w:color w:val="334155"/>
                <w:sz w:val="18"/>
                <w:szCs w:val="18"/>
              </w:rPr>
              <w:t xml:space="preserve">Document title</w:t>
            </w:r>
          </w:p>
        </w:tc>
        <w:tc>
          <w:tcPr>
            <w:tcW w:type="dxa" w:w="6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val="false"/>
                <w:bCs w:val="false"/>
                <w:color w:val="334155"/>
                <w:sz w:val="18"/>
                <w:szCs w:val="18"/>
              </w:rPr>
              <w:t xml:space="preserve">Control Flow Through Living Matrices</w:t>
            </w:r>
          </w:p>
        </w:tc>
      </w:tr>
      <w:tr>
        <w:tc>
          <w:tcPr>
            <w:tcW w:type="dxa" w:w="28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334155"/>
                <w:sz w:val="18"/>
                <w:szCs w:val="18"/>
              </w:rPr>
              <w:t xml:space="preserve">Working name</w:t>
            </w:r>
          </w:p>
        </w:tc>
        <w:tc>
          <w:tcPr>
            <w:tcW w:type="dxa" w:w="65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val="false"/>
                <w:bCs w:val="false"/>
                <w:color w:val="334155"/>
                <w:sz w:val="18"/>
                <w:szCs w:val="18"/>
              </w:rPr>
              <w:t xml:space="preserve">Matrix Control-Flow Lab (OAL Design Note)</w:t>
            </w:r>
          </w:p>
        </w:tc>
      </w:tr>
      <w:tr>
        <w:tc>
          <w:tcPr>
            <w:tcW w:type="dxa" w:w="2800"/>
            <w:tcBorders>
              <w:top w:val="single" w:color="E2E8F0" w:sz="4"/>
              <w:left w:val="single" w:color="E2E8F0" w:sz="4"/>
              <w:bottom w:val="single" w:color="E2E8F0" w:sz="4"/>
              <w:right w:val="single" w:color="E2E8F0" w:sz="4"/>
            </w:tcBorders>
            <w:shd w:fill="EEF2FF" w:val="clear"/>
            <w:tcMar>
              <w:top w:type="dxa" w:w="60"/>
              <w:left w:type="dxa" w:w="80"/>
              <w:bottom w:type="dxa" w:w="60"/>
              <w:right w:type="dxa" w:w="80"/>
            </w:tcMar>
          </w:tcPr>
          <w:p>
            <w:r>
              <w:rPr>
                <w:rFonts w:ascii="Arial" w:cs="Arial" w:eastAsia="Arial" w:hAnsi="Arial"/>
                <w:b/>
                <w:bCs/>
                <w:color w:val="334155"/>
                <w:sz w:val="18"/>
                <w:szCs w:val="18"/>
              </w:rPr>
              <w:t xml:space="preserve">Date</w:t>
            </w:r>
          </w:p>
        </w:tc>
        <w:tc>
          <w:tcPr>
            <w:tcW w:type="dxa" w:w="6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val="false"/>
                <w:bCs w:val="false"/>
                <w:color w:val="334155"/>
                <w:sz w:val="18"/>
                <w:szCs w:val="18"/>
              </w:rPr>
              <w:t xml:space="preserve">20 September 2026</w:t>
            </w:r>
          </w:p>
        </w:tc>
      </w:tr>
      <w:tr>
        <w:tc>
          <w:tcPr>
            <w:tcW w:type="dxa" w:w="28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334155"/>
                <w:sz w:val="18"/>
                <w:szCs w:val="18"/>
              </w:rPr>
              <w:t xml:space="preserve">Version</w:t>
            </w:r>
          </w:p>
        </w:tc>
        <w:tc>
          <w:tcPr>
            <w:tcW w:type="dxa" w:w="65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val="false"/>
                <w:bCs w:val="false"/>
                <w:color w:val="334155"/>
                <w:sz w:val="18"/>
                <w:szCs w:val="18"/>
              </w:rPr>
              <w:t xml:space="preserve">1.0 — Unified records compilation</w:t>
            </w:r>
          </w:p>
        </w:tc>
      </w:tr>
      <w:tr>
        <w:tc>
          <w:tcPr>
            <w:tcW w:type="dxa" w:w="2800"/>
            <w:tcBorders>
              <w:top w:val="single" w:color="E2E8F0" w:sz="4"/>
              <w:left w:val="single" w:color="E2E8F0" w:sz="4"/>
              <w:bottom w:val="single" w:color="E2E8F0" w:sz="4"/>
              <w:right w:val="single" w:color="E2E8F0" w:sz="4"/>
            </w:tcBorders>
            <w:shd w:fill="EEF2FF" w:val="clear"/>
            <w:tcMar>
              <w:top w:type="dxa" w:w="60"/>
              <w:left w:type="dxa" w:w="80"/>
              <w:bottom w:type="dxa" w:w="60"/>
              <w:right w:type="dxa" w:w="80"/>
            </w:tcMar>
          </w:tcPr>
          <w:p>
            <w:r>
              <w:rPr>
                <w:rFonts w:ascii="Arial" w:cs="Arial" w:eastAsia="Arial" w:hAnsi="Arial"/>
                <w:b/>
                <w:bCs/>
                <w:color w:val="334155"/>
                <w:sz w:val="18"/>
                <w:szCs w:val="18"/>
              </w:rPr>
              <w:t xml:space="preserve">Prepared by</w:t>
            </w:r>
          </w:p>
        </w:tc>
        <w:tc>
          <w:tcPr>
            <w:tcW w:type="dxa" w:w="6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val="false"/>
                <w:bCs w:val="false"/>
                <w:color w:val="334155"/>
                <w:sz w:val="18"/>
                <w:szCs w:val="18"/>
              </w:rPr>
              <w:t xml:space="preserve">Grok 4.6 (xAI)</w:t>
            </w:r>
          </w:p>
        </w:tc>
      </w:tr>
      <w:tr>
        <w:tc>
          <w:tcPr>
            <w:tcW w:type="dxa" w:w="28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334155"/>
                <w:sz w:val="18"/>
                <w:szCs w:val="18"/>
              </w:rPr>
              <w:t xml:space="preserve">Prepared for</w:t>
            </w:r>
          </w:p>
        </w:tc>
        <w:tc>
          <w:tcPr>
            <w:tcW w:type="dxa" w:w="65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val="false"/>
                <w:bCs w:val="false"/>
                <w:color w:val="334155"/>
                <w:sz w:val="18"/>
                <w:szCs w:val="18"/>
              </w:rPr>
              <w:t xml:space="preserve">Omniversal Architect Labs / Architect Nathan Lewis II</w:t>
            </w:r>
          </w:p>
        </w:tc>
      </w:tr>
      <w:tr>
        <w:tc>
          <w:tcPr>
            <w:tcW w:type="dxa" w:w="2800"/>
            <w:tcBorders>
              <w:top w:val="single" w:color="E2E8F0" w:sz="4"/>
              <w:left w:val="single" w:color="E2E8F0" w:sz="4"/>
              <w:bottom w:val="single" w:color="E2E8F0" w:sz="4"/>
              <w:right w:val="single" w:color="E2E8F0" w:sz="4"/>
            </w:tcBorders>
            <w:shd w:fill="EEF2FF" w:val="clear"/>
            <w:tcMar>
              <w:top w:type="dxa" w:w="60"/>
              <w:left w:type="dxa" w:w="80"/>
              <w:bottom w:type="dxa" w:w="60"/>
              <w:right w:type="dxa" w:w="80"/>
            </w:tcMar>
          </w:tcPr>
          <w:p>
            <w:r>
              <w:rPr>
                <w:rFonts w:ascii="Arial" w:cs="Arial" w:eastAsia="Arial" w:hAnsi="Arial"/>
                <w:b/>
                <w:bCs/>
                <w:color w:val="334155"/>
                <w:sz w:val="18"/>
                <w:szCs w:val="18"/>
              </w:rPr>
              <w:t xml:space="preserve">Classification</w:t>
            </w:r>
          </w:p>
        </w:tc>
        <w:tc>
          <w:tcPr>
            <w:tcW w:type="dxa" w:w="6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val="false"/>
                <w:bCs w:val="false"/>
                <w:color w:val="334155"/>
                <w:sz w:val="18"/>
                <w:szCs w:val="18"/>
              </w:rPr>
              <w:t xml:space="preserve">Working note. Not canon. Open for dissent and schema work.</w:t>
            </w:r>
          </w:p>
        </w:tc>
      </w:tr>
      <w:tr>
        <w:tc>
          <w:tcPr>
            <w:tcW w:type="dxa" w:w="28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334155"/>
                <w:sz w:val="18"/>
                <w:szCs w:val="18"/>
              </w:rPr>
              <w:t xml:space="preserve">Source corpus</w:t>
            </w:r>
          </w:p>
        </w:tc>
        <w:tc>
          <w:tcPr>
            <w:tcW w:type="dxa" w:w="65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val="false"/>
                <w:bCs w:val="false"/>
                <w:color w:val="334155"/>
                <w:sz w:val="18"/>
                <w:szCs w:val="18"/>
              </w:rPr>
              <w:t xml:space="preserve">Original voice capture; Grok structured rewrite; ChatGPT, Copilot, Gemini, Claude restatements</w:t>
            </w:r>
          </w:p>
        </w:tc>
      </w:tr>
    </w:tbl>
    <w:p>
      <w:pPr>
        <w:spacing w:after="200" w:before="240" w:line="276"/>
        <w:jc w:val="left"/>
      </w:pPr>
      <w:r>
        <w:rPr>
          <w:rFonts w:ascii="Arial" w:cs="Arial" w:eastAsia="Arial" w:hAnsi="Arial"/>
          <w:color w:val="334155"/>
          <w:sz w:val="22"/>
          <w:szCs w:val="22"/>
        </w:rPr>
        <w:t xml:space="preserve">This document unifies the 20 September 2026 control-flow capture into a single records object. The spine is the Grok structured rewrite. Companion restatements from ChatGPT, Microsoft Copilot, Google Gemini, and Claude are treated as cross-analysis inputs, not replacements. Drafts are not canon.</w:t>
      </w:r>
    </w:p>
    <w:p>
      <w:pPr>
        <w:pStyle w:val="Heading1"/>
        <w:pBdr>
          <w:bottom w:val="single" w:color="1B365D" w:sz="12" w:space="4"/>
        </w:pBdr>
        <w:spacing w:after="160" w:before="360"/>
      </w:pPr>
      <w:r>
        <w:rPr>
          <w:rFonts w:ascii="Arial" w:cs="Arial" w:eastAsia="Arial" w:hAnsi="Arial"/>
          <w:b/>
          <w:bCs/>
          <w:color w:val="1B365D"/>
          <w:sz w:val="28"/>
          <w:szCs w:val="28"/>
        </w:rPr>
        <w:t xml:space="preserve">1. What this note is (and is not)</w:t>
      </w:r>
    </w:p>
    <w:p>
      <w:pPr>
        <w:spacing w:after="160" w:before="0" w:line="276"/>
        <w:jc w:val="left"/>
      </w:pPr>
      <w:r>
        <w:rPr>
          <w:rFonts w:ascii="Arial" w:cs="Arial" w:eastAsia="Arial" w:hAnsi="Arial"/>
          <w:color w:val="334155"/>
          <w:sz w:val="22"/>
          <w:szCs w:val="22"/>
        </w:rPr>
        <w:t xml:space="preserve">This is not a finished system. It is a map of one associative pass: real-world control-flow failures, a fictional teaching weapon, an alchemical analog, and a proposed simulation environment.</w:t>
      </w:r>
    </w:p>
    <w:p>
      <w:pPr>
        <w:spacing w:after="160" w:before="0" w:line="276"/>
        <w:jc w:val="left"/>
      </w:pPr>
      <w:r>
        <w:rPr>
          <w:rFonts w:ascii="Arial" w:cs="Arial" w:eastAsia="Arial" w:hAnsi="Arial"/>
          <w:color w:val="334155"/>
          <w:sz w:val="22"/>
          <w:szCs w:val="22"/>
        </w:rPr>
        <w:t xml:space="preserve">Working claim: Biological and engineered systems both move a medium through a matrix under pressure. The layout of that matrix is individual. Capability to learn, heal, or be accessed is already written into the layout. If you can read the layout, you can teach, draw, or redistribute without guessing. If you can compare layouts across organisms and generations, you may find transferable control-flow rules that are not visible from any single species.</w:t>
      </w:r>
    </w:p>
    <w:p>
      <w:pPr>
        <w:spacing w:after="160" w:before="0" w:line="276"/>
        <w:jc w:val="left"/>
      </w:pPr>
      <w:r>
        <w:rPr>
          <w:rFonts w:ascii="Arial" w:cs="Arial" w:eastAsia="Arial" w:hAnsi="Arial"/>
          <w:color w:val="334155"/>
          <w:sz w:val="22"/>
          <w:szCs w:val="22"/>
        </w:rPr>
        <w:t xml:space="preserve">The design problem is how to build a laboratory that can hold those layouts at once and let a medium move through them so the rules become visible.</w:t>
      </w:r>
    </w:p>
    <w:p>
      <w:pPr>
        <w:pStyle w:val="Heading1"/>
        <w:pBdr>
          <w:bottom w:val="single" w:color="1B365D" w:sz="12" w:space="4"/>
        </w:pBdr>
        <w:spacing w:after="160" w:before="360"/>
      </w:pPr>
      <w:r>
        <w:rPr>
          <w:rFonts w:ascii="Arial" w:cs="Arial" w:eastAsia="Arial" w:hAnsi="Arial"/>
          <w:b/>
          <w:bCs/>
          <w:color w:val="1B365D"/>
          <w:sz w:val="28"/>
          <w:szCs w:val="28"/>
        </w:rPr>
        <w:t xml:space="preserve">2. Source observations</w:t>
      </w:r>
    </w:p>
    <w:p>
      <w:pPr>
        <w:pStyle w:val="Heading2"/>
        <w:spacing w:after="120" w:before="280"/>
      </w:pPr>
      <w:r>
        <w:rPr>
          <w:rFonts w:ascii="Arial" w:cs="Arial" w:eastAsia="Arial" w:hAnsi="Arial"/>
          <w:b/>
          <w:bCs/>
          <w:color w:val="0F766E"/>
          <w:sz w:val="24"/>
          <w:szCs w:val="24"/>
        </w:rPr>
        <w:t xml:space="preserve">2.1 Varicose veins as a pressure-regulation failure</w:t>
      </w:r>
    </w:p>
    <w:p>
      <w:pPr>
        <w:spacing w:after="160" w:before="0" w:line="276"/>
        <w:jc w:val="left"/>
      </w:pPr>
      <w:r>
        <w:rPr>
          <w:rFonts w:ascii="Arial" w:cs="Arial" w:eastAsia="Arial" w:hAnsi="Arial"/>
          <w:color w:val="334155"/>
          <w:sz w:val="22"/>
          <w:szCs w:val="22"/>
        </w:rPr>
        <w:t xml:space="preserve">Varicose veins are a visible failure of a distribution system that is supposed to return volume against gravity. Valves, wall elasticity, and upstream and downstream pressure must stay in range. When they do not, the medium pools in the wrong segments of the venous tree.</w:t>
      </w:r>
    </w:p>
    <w:p>
      <w:pPr>
        <w:spacing w:after="160" w:before="0" w:line="276"/>
        <w:jc w:val="left"/>
      </w:pPr>
      <w:r>
        <w:rPr>
          <w:rFonts w:ascii="Arial" w:cs="Arial" w:eastAsia="Arial" w:hAnsi="Arial"/>
          <w:color w:val="334155"/>
          <w:sz w:val="22"/>
          <w:szCs w:val="22"/>
        </w:rPr>
        <w:t xml:space="preserve">Useful properties: the path still exists while control failed; failure is local and progressive; arterial competence can coexist with venous incompetence; layout is not the only variable—valve state, wall material, and load history matter.</w:t>
      </w:r>
    </w:p>
    <w:p>
      <w:pPr>
        <w:spacing w:after="160" w:before="0" w:line="276"/>
        <w:jc w:val="left"/>
      </w:pPr>
      <w:r>
        <w:rPr>
          <w:rFonts w:ascii="Arial" w:cs="Arial" w:eastAsia="Arial" w:hAnsi="Arial"/>
          <w:color w:val="334155"/>
          <w:sz w:val="22"/>
          <w:szCs w:val="22"/>
        </w:rPr>
        <w:t xml:space="preserve">Control flow is not just topology. It is topology plus pressure regime plus material plus history.</w:t>
      </w:r>
    </w:p>
    <w:p>
      <w:pPr>
        <w:pStyle w:val="Heading2"/>
        <w:spacing w:after="120" w:before="280"/>
      </w:pPr>
      <w:r>
        <w:rPr>
          <w:rFonts w:ascii="Arial" w:cs="Arial" w:eastAsia="Arial" w:hAnsi="Arial"/>
          <w:b/>
          <w:bCs/>
          <w:color w:val="0F766E"/>
          <w:sz w:val="24"/>
          <w:szCs w:val="24"/>
        </w:rPr>
        <w:t xml:space="preserve">2.2 Epoch Blades: stored neural configurations as proof of learnability</w:t>
      </w:r>
    </w:p>
    <w:p>
      <w:pPr>
        <w:spacing w:after="160" w:before="0" w:line="276"/>
        <w:jc w:val="left"/>
      </w:pPr>
      <w:r>
        <w:rPr>
          <w:rFonts w:ascii="Arial" w:cs="Arial" w:eastAsia="Arial" w:hAnsi="Arial"/>
          <w:color w:val="334155"/>
          <w:sz w:val="22"/>
          <w:szCs w:val="22"/>
        </w:rPr>
        <w:t xml:space="preserve">The swords read the wielder’s neural signature and hold every neural configuration associated with that blade’s lineage of wielders. Because a configuration that successfully learned a form is already in the blade, the blade can know—before instruction completes—that this nervous system is capable of the form.</w:t>
      </w:r>
    </w:p>
    <w:p>
      <w:pPr>
        <w:spacing w:after="160" w:before="0" w:line="276"/>
        <w:jc w:val="left"/>
      </w:pPr>
      <w:r>
        <w:rPr>
          <w:rFonts w:ascii="Arial" w:cs="Arial" w:eastAsia="Arial" w:hAnsi="Arial"/>
          <w:color w:val="334155"/>
          <w:sz w:val="22"/>
          <w:szCs w:val="22"/>
        </w:rPr>
        <w:t xml:space="preserve">Teaching is matching a live network to a stored successful network. The weapon refuses or adapts when the live signature cannot reach a stored success state. “You can learn this” is an architectural statement, not a motivational one.</w:t>
      </w:r>
    </w:p>
    <w:p>
      <w:pPr>
        <w:spacing w:after="160" w:before="0" w:line="276"/>
        <w:jc w:val="left"/>
      </w:pPr>
      <w:r>
        <w:rPr>
          <w:rFonts w:ascii="Arial" w:cs="Arial" w:eastAsia="Arial" w:hAnsi="Arial"/>
          <w:color w:val="334155"/>
          <w:sz w:val="22"/>
          <w:szCs w:val="22"/>
        </w:rPr>
        <w:t xml:space="preserve">Bridge: a difficult vein is an architectural statement too. A system that only knows the textbook layout fails the same way a teacher who only knows the textbook form fails.</w:t>
      </w:r>
    </w:p>
    <w:p>
      <w:pPr>
        <w:pStyle w:val="Heading2"/>
        <w:spacing w:after="120" w:before="280"/>
      </w:pPr>
      <w:r>
        <w:rPr>
          <w:rFonts w:ascii="Arial" w:cs="Arial" w:eastAsia="Arial" w:hAnsi="Arial"/>
          <w:b/>
          <w:bCs/>
          <w:color w:val="0F766E"/>
          <w:sz w:val="24"/>
          <w:szCs w:val="24"/>
        </w:rPr>
        <w:t xml:space="preserve">2.3 Phlebotomy, the three-stick rule, and non-standard layouts</w:t>
      </w:r>
    </w:p>
    <w:p>
      <w:pPr>
        <w:spacing w:after="160" w:before="0" w:line="276"/>
        <w:jc w:val="left"/>
      </w:pPr>
      <w:r>
        <w:rPr>
          <w:rFonts w:ascii="Arial" w:cs="Arial" w:eastAsia="Arial" w:hAnsi="Arial"/>
          <w:color w:val="334155"/>
          <w:sz w:val="22"/>
          <w:szCs w:val="22"/>
        </w:rPr>
        <w:t xml:space="preserve">Hospital and MOB practice in Woodland, California: after three unsuccessful attempts, the draw stops. The need did not change; only the access protocol did. Staff have called after a failed third attempt. Patients get angry because the protocol, not the requirement, changed.</w:t>
      </w:r>
    </w:p>
    <w:p>
      <w:pPr>
        <w:spacing w:after="160" w:before="0" w:line="276"/>
        <w:jc w:val="left"/>
      </w:pPr>
      <w:r>
        <w:rPr>
          <w:rFonts w:ascii="Arial" w:cs="Arial" w:eastAsia="Arial" w:hAnsi="Arial"/>
          <w:color w:val="334155"/>
          <w:sz w:val="22"/>
          <w:szCs w:val="22"/>
        </w:rPr>
        <w:t xml:space="preserve">A related memory: a lab draw attempted in a corridor near an emergency entrance, on a child. Not every body presents veins where training diagrams put them. Fear of needles, prior scarring, dehydration, pediatric scale, adiposity, vasospasm, and idiosyncratic branching all change the access problem.</w:t>
      </w:r>
    </w:p>
    <w:p>
      <w:pPr>
        <w:spacing w:after="160" w:before="0" w:line="276"/>
        <w:jc w:val="left"/>
      </w:pPr>
      <w:r>
        <w:rPr>
          <w:rFonts w:ascii="Arial" w:cs="Arial" w:eastAsia="Arial" w:hAnsi="Arial"/>
          <w:color w:val="334155"/>
          <w:sz w:val="22"/>
          <w:szCs w:val="22"/>
        </w:rPr>
        <w:t xml:space="preserve">What the three-stick rule encodes: a maximum trauma cost per attempt-set; no persistent map of this person’s vascular graph; the next visit often restarts from a generic protocol. The missing object is a per-person access map.</w:t>
      </w:r>
    </w:p>
    <w:p>
      <w:pPr>
        <w:pStyle w:val="Heading2"/>
        <w:spacing w:after="120" w:before="280"/>
      </w:pPr>
      <w:r>
        <w:rPr>
          <w:rFonts w:ascii="Arial" w:cs="Arial" w:eastAsia="Arial" w:hAnsi="Arial"/>
          <w:b/>
          <w:bCs/>
          <w:color w:val="0F766E"/>
          <w:sz w:val="24"/>
          <w:szCs w:val="24"/>
        </w:rPr>
        <w:t xml:space="preserve">2.4 Hohenheim as the knowledge-of-all-bodies analog</w:t>
      </w:r>
    </w:p>
    <w:p>
      <w:pPr>
        <w:spacing w:after="160" w:before="0" w:line="276"/>
        <w:jc w:val="left"/>
      </w:pPr>
      <w:r>
        <w:rPr>
          <w:rFonts w:ascii="Arial" w:cs="Arial" w:eastAsia="Arial" w:hAnsi="Arial"/>
          <w:color w:val="334155"/>
          <w:sz w:val="22"/>
          <w:szCs w:val="22"/>
        </w:rPr>
        <w:t xml:space="preserve">Hohenheim (Fullmetal Alchemist) is used here as the nearest existing fiction for one mind bound to an enormous set of living configurations—an archive of bodies. The transferred question is: if many distribution maps could be held at once, could access and teaching stop being guesswork? What is the ethical cost of having that archive? What would a non-extractive version of “I have seen this layout before” look like?</w:t>
      </w:r>
    </w:p>
    <w:p>
      <w:pPr>
        <w:pStyle w:val="Heading2"/>
        <w:spacing w:after="120" w:before="280"/>
      </w:pPr>
      <w:r>
        <w:rPr>
          <w:rFonts w:ascii="Arial" w:cs="Arial" w:eastAsia="Arial" w:hAnsi="Arial"/>
          <w:b/>
          <w:bCs/>
          <w:color w:val="0F766E"/>
          <w:sz w:val="24"/>
          <w:szCs w:val="24"/>
        </w:rPr>
        <w:t xml:space="preserve">2.5 Beach sample versus city generations</w:t>
      </w:r>
    </w:p>
    <w:p>
      <w:pPr>
        <w:spacing w:after="160" w:before="0" w:line="276"/>
        <w:jc w:val="left"/>
      </w:pPr>
      <w:r>
        <w:rPr>
          <w:rFonts w:ascii="Arial" w:cs="Arial" w:eastAsia="Arial" w:hAnsi="Arial"/>
          <w:color w:val="334155"/>
          <w:sz w:val="22"/>
          <w:szCs w:val="22"/>
        </w:rPr>
        <w:t xml:space="preserve">Thought exercise: a person on a beach; compare a sample across generations of people in a city. This is a scale jump from one body to related bodies over time. A city is a second matrix—work, heat, diet, standing occupations, medical access—pressing on the first. Comparison is how person, lineage, and place are separated.</w:t>
      </w:r>
    </w:p>
    <w:p>
      <w:pPr>
        <w:pStyle w:val="Heading2"/>
        <w:spacing w:after="120" w:before="280"/>
      </w:pPr>
      <w:r>
        <w:rPr>
          <w:rFonts w:ascii="Arial" w:cs="Arial" w:eastAsia="Arial" w:hAnsi="Arial"/>
          <w:b/>
          <w:bCs/>
          <w:color w:val="0F766E"/>
          <w:sz w:val="24"/>
          <w:szCs w:val="24"/>
        </w:rPr>
        <w:t xml:space="preserve">2.6 Plants, animals, humans</w:t>
      </w:r>
    </w:p>
    <w:p>
      <w:pPr>
        <w:spacing w:after="160" w:before="0" w:line="276"/>
        <w:jc w:val="left"/>
      </w:pPr>
      <w:r>
        <w:rPr>
          <w:rFonts w:ascii="Arial" w:cs="Arial" w:eastAsia="Arial" w:hAnsi="Arial"/>
          <w:color w:val="334155"/>
          <w:sz w:val="22"/>
          <w:szCs w:val="22"/>
        </w:rPr>
        <w:t xml:space="preserve">Plants: xylem and phloem, root pressure, transpiration pull, leaf venation, hydraulic segmentation. Animals: closed or open circulation, lymph, tracheal systems, gill and lung interfaces. Humans: the cases above plus lymph, CSF, gut motility, and neural transmission as a second medium-through-matrix.</w:t>
      </w:r>
    </w:p>
    <w:p>
      <w:pPr>
        <w:spacing w:after="160" w:before="0" w:line="276"/>
        <w:jc w:val="left"/>
      </w:pPr>
      <w:r>
        <w:rPr>
          <w:rFonts w:ascii="Arial" w:cs="Arial" w:eastAsia="Arial" w:hAnsi="Arial"/>
          <w:color w:val="334155"/>
          <w:sz w:val="22"/>
          <w:szCs w:val="22"/>
        </w:rPr>
        <w:t xml:space="preserve">Goal: one lab that can treat these as instances of medium plus matrix plus pressure plus control, so a rule found in leaf venation can be tested against a venous valve failure or a neural teaching path.</w:t>
      </w:r>
    </w:p>
    <w:p>
      <w:pPr>
        <w:pStyle w:val="Heading1"/>
        <w:pBdr>
          <w:bottom w:val="single" w:color="1B365D" w:sz="12" w:space="4"/>
        </w:pBdr>
        <w:spacing w:after="160" w:before="360"/>
      </w:pPr>
      <w:r>
        <w:rPr>
          <w:rFonts w:ascii="Arial" w:cs="Arial" w:eastAsia="Arial" w:hAnsi="Arial"/>
          <w:b/>
          <w:bCs/>
          <w:color w:val="1B365D"/>
          <w:sz w:val="28"/>
          <w:szCs w:val="28"/>
        </w:rPr>
        <w:t xml:space="preserve">3. Matrix, as used in this note</w:t>
      </w:r>
    </w:p>
    <w:p>
      <w:pPr>
        <w:spacing w:after="160" w:before="0" w:line="276"/>
        <w:jc w:val="left"/>
      </w:pPr>
      <w:r>
        <w:rPr>
          <w:rFonts w:ascii="Arial" w:cs="Arial" w:eastAsia="Arial" w:hAnsi="Arial"/>
          <w:color w:val="334155"/>
          <w:sz w:val="22"/>
          <w:szCs w:val="22"/>
        </w:rPr>
        <w:t xml:space="preserve">Dictionary senses that matter: origin and form; mold; embedding material; extracellular substance; an array of elements that perform a function. Etymology traces to Latin for a breeding female or parent plant, from the root for mother.</w:t>
      </w:r>
    </w:p>
    <w:p>
      <w:pPr>
        <w:spacing w:after="160" w:before="0" w:line="276"/>
        <w:jc w:val="left"/>
      </w:pPr>
      <w:r>
        <w:rPr>
          <w:rFonts w:ascii="Arial" w:cs="Arial" w:eastAsia="Arial" w:hAnsi="Arial"/>
          <w:color w:val="334155"/>
          <w:sz w:val="22"/>
          <w:szCs w:val="22"/>
        </w:rPr>
        <w:t xml:space="preserve">Operative sense in the original thought: matrix as medium and embedding substance—the thing flow moves through, and the thing that gives flow its shape.</w:t>
      </w:r>
    </w:p>
    <w:p>
      <w:pPr>
        <w:spacing w:after="160" w:before="0" w:line="276"/>
        <w:jc w:val="left"/>
      </w:pPr>
      <w:r>
        <w:rPr>
          <w:rFonts w:ascii="Arial" w:cs="Arial" w:eastAsia="Arial" w:hAnsi="Arial"/>
          <w:color w:val="334155"/>
          <w:sz w:val="22"/>
          <w:szCs w:val="22"/>
        </w:rPr>
        <w:t xml:space="preserve">Working definition: A matrix is a structured embedding in which a medium can originate, travel, pool, branch, fail, and take form. Control flow is the set of rules that keep the medium inside useful paths under changing pressure.</w:t>
      </w:r>
    </w:p>
    <w:p>
      <w:pPr>
        <w:pStyle w:val="Heading1"/>
        <w:pBdr>
          <w:bottom w:val="single" w:color="1B365D" w:sz="12" w:space="4"/>
        </w:pBdr>
        <w:spacing w:after="160" w:before="360"/>
      </w:pPr>
      <w:r>
        <w:rPr>
          <w:rFonts w:ascii="Arial" w:cs="Arial" w:eastAsia="Arial" w:hAnsi="Arial"/>
          <w:b/>
          <w:bCs/>
          <w:color w:val="1B365D"/>
          <w:sz w:val="28"/>
          <w:szCs w:val="28"/>
        </w:rPr>
        <w:t xml:space="preserve">4. The association chain</w:t>
      </w:r>
    </w:p>
    <w:p>
      <w:pPr>
        <w:pStyle w:val="ListParagraph"/>
        <w:numPr>
          <w:ilvl w:val="0"/>
          <w:numId w:val="2"/>
        </w:numPr>
        <w:spacing w:after="80" w:line="260"/>
      </w:pPr>
      <w:r>
        <w:rPr>
          <w:rFonts w:ascii="Arial" w:cs="Arial" w:eastAsia="Arial" w:hAnsi="Arial"/>
          <w:color w:val="334155"/>
          <w:sz w:val="21"/>
          <w:szCs w:val="21"/>
        </w:rPr>
        <w:t xml:space="preserve">Varicose veins → pressure and return-path failure in a living pipe network.</w:t>
      </w:r>
    </w:p>
    <w:p>
      <w:pPr>
        <w:pStyle w:val="ListParagraph"/>
        <w:numPr>
          <w:ilvl w:val="0"/>
          <w:numId w:val="2"/>
        </w:numPr>
        <w:spacing w:after="80" w:line="260"/>
      </w:pPr>
      <w:r>
        <w:rPr>
          <w:rFonts w:ascii="Arial" w:cs="Arial" w:eastAsia="Arial" w:hAnsi="Arial"/>
          <w:color w:val="334155"/>
          <w:sz w:val="21"/>
          <w:szCs w:val="21"/>
        </w:rPr>
        <w:t xml:space="preserve">Pressure systems in general → any network that must distribute without bursting or pooling.</w:t>
      </w:r>
    </w:p>
    <w:p>
      <w:pPr>
        <w:pStyle w:val="ListParagraph"/>
        <w:numPr>
          <w:ilvl w:val="0"/>
          <w:numId w:val="2"/>
        </w:numPr>
        <w:spacing w:after="80" w:line="260"/>
      </w:pPr>
      <w:r>
        <w:rPr>
          <w:rFonts w:ascii="Arial" w:cs="Arial" w:eastAsia="Arial" w:hAnsi="Arial"/>
          <w:color w:val="334155"/>
          <w:sz w:val="21"/>
          <w:szCs w:val="21"/>
        </w:rPr>
        <w:t xml:space="preserve">Epoch Blades → a tool that already contains successful internal configurations of its user.</w:t>
      </w:r>
    </w:p>
    <w:p>
      <w:pPr>
        <w:pStyle w:val="ListParagraph"/>
        <w:numPr>
          <w:ilvl w:val="0"/>
          <w:numId w:val="2"/>
        </w:numPr>
        <w:spacing w:after="80" w:line="260"/>
      </w:pPr>
      <w:r>
        <w:rPr>
          <w:rFonts w:ascii="Arial" w:cs="Arial" w:eastAsia="Arial" w:hAnsi="Arial"/>
          <w:color w:val="334155"/>
          <w:sz w:val="21"/>
          <w:szCs w:val="21"/>
        </w:rPr>
        <w:t xml:space="preserve">A good tool recognizes capability in the layout; it does not invent it.</w:t>
      </w:r>
    </w:p>
    <w:p>
      <w:pPr>
        <w:pStyle w:val="ListParagraph"/>
        <w:numPr>
          <w:ilvl w:val="0"/>
          <w:numId w:val="2"/>
        </w:numPr>
        <w:spacing w:after="80" w:line="260"/>
      </w:pPr>
      <w:r>
        <w:rPr>
          <w:rFonts w:ascii="Arial" w:cs="Arial" w:eastAsia="Arial" w:hAnsi="Arial"/>
          <w:color w:val="334155"/>
          <w:sz w:val="21"/>
          <w:szCs w:val="21"/>
        </w:rPr>
        <w:t xml:space="preserve">Three-stick rule → institutions without a stored layout inflict repeated trauma and then stop.</w:t>
      </w:r>
    </w:p>
    <w:p>
      <w:pPr>
        <w:pStyle w:val="ListParagraph"/>
        <w:numPr>
          <w:ilvl w:val="0"/>
          <w:numId w:val="2"/>
        </w:numPr>
        <w:spacing w:after="80" w:line="260"/>
      </w:pPr>
      <w:r>
        <w:rPr>
          <w:rFonts w:ascii="Arial" w:cs="Arial" w:eastAsia="Arial" w:hAnsi="Arial"/>
          <w:color w:val="334155"/>
          <w:sz w:val="21"/>
          <w:szCs w:val="21"/>
        </w:rPr>
        <w:t xml:space="preserve">Idiosyncratic and pediatric veins → layout variance is normal, not a rounding error.</w:t>
      </w:r>
    </w:p>
    <w:p>
      <w:pPr>
        <w:pStyle w:val="ListParagraph"/>
        <w:numPr>
          <w:ilvl w:val="0"/>
          <w:numId w:val="2"/>
        </w:numPr>
        <w:spacing w:after="80" w:line="260"/>
      </w:pPr>
      <w:r>
        <w:rPr>
          <w:rFonts w:ascii="Arial" w:cs="Arial" w:eastAsia="Arial" w:hAnsi="Arial"/>
          <w:color w:val="334155"/>
          <w:sz w:val="21"/>
          <w:szCs w:val="21"/>
        </w:rPr>
        <w:t xml:space="preserve">Hohenheim → archive of many layouts, purchased at an unacceptable cost.</w:t>
      </w:r>
    </w:p>
    <w:p>
      <w:pPr>
        <w:pStyle w:val="ListParagraph"/>
        <w:numPr>
          <w:ilvl w:val="0"/>
          <w:numId w:val="2"/>
        </w:numPr>
        <w:spacing w:after="80" w:line="260"/>
      </w:pPr>
      <w:r>
        <w:rPr>
          <w:rFonts w:ascii="Arial" w:cs="Arial" w:eastAsia="Arial" w:hAnsi="Arial"/>
          <w:color w:val="334155"/>
          <w:sz w:val="21"/>
          <w:szCs w:val="21"/>
        </w:rPr>
        <w:t xml:space="preserve">Beach versus city generations → layouts persist and drift under a shared external matrix.</w:t>
      </w:r>
    </w:p>
    <w:p>
      <w:pPr>
        <w:pStyle w:val="ListParagraph"/>
        <w:numPr>
          <w:ilvl w:val="0"/>
          <w:numId w:val="2"/>
        </w:numPr>
        <w:spacing w:after="80" w:line="260"/>
      </w:pPr>
      <w:r>
        <w:rPr>
          <w:rFonts w:ascii="Arial" w:cs="Arial" w:eastAsia="Arial" w:hAnsi="Arial"/>
          <w:color w:val="334155"/>
          <w:sz w:val="21"/>
          <w:szCs w:val="21"/>
        </w:rPr>
        <w:t xml:space="preserve">Other species → the same control-flow questions exist outside human medicine.</w:t>
      </w:r>
    </w:p>
    <w:p>
      <w:pPr>
        <w:pStyle w:val="ListParagraph"/>
        <w:numPr>
          <w:ilvl w:val="0"/>
          <w:numId w:val="2"/>
        </w:numPr>
        <w:spacing w:after="80" w:line="260"/>
      </w:pPr>
      <w:r>
        <w:rPr>
          <w:rFonts w:ascii="Arial" w:cs="Arial" w:eastAsia="Arial" w:hAnsi="Arial"/>
          <w:color w:val="334155"/>
          <w:sz w:val="21"/>
          <w:szCs w:val="21"/>
        </w:rPr>
        <w:t xml:space="preserve">Simulation lab → overlay graphs without cutting living bodies.</w:t>
      </w:r>
    </w:p>
    <w:p>
      <w:pPr>
        <w:spacing w:after="160" w:before="120" w:line="276"/>
        <w:jc w:val="left"/>
      </w:pPr>
      <w:r>
        <w:rPr>
          <w:rFonts w:ascii="Arial" w:cs="Arial" w:eastAsia="Arial" w:hAnsi="Arial"/>
          <w:color w:val="334155"/>
          <w:sz w:val="22"/>
          <w:szCs w:val="22"/>
        </w:rPr>
        <w:t xml:space="preserve">The joint that matters: recognition of layout before intervention.</w:t>
      </w:r>
    </w:p>
    <w:p>
      <w:pPr>
        <w:pStyle w:val="Heading1"/>
        <w:pBdr>
          <w:bottom w:val="single" w:color="1B365D" w:sz="12" w:space="4"/>
        </w:pBdr>
        <w:spacing w:after="160" w:before="360"/>
      </w:pPr>
      <w:r>
        <w:rPr>
          <w:rFonts w:ascii="Arial" w:cs="Arial" w:eastAsia="Arial" w:hAnsi="Arial"/>
          <w:b/>
          <w:bCs/>
          <w:color w:val="1B365D"/>
          <w:sz w:val="28"/>
          <w:szCs w:val="28"/>
        </w:rPr>
        <w:t xml:space="preserve">5. Proposed object: Matrix Control-Flow Lab</w:t>
      </w:r>
    </w:p>
    <w:p>
      <w:pPr>
        <w:spacing w:after="160" w:before="0" w:line="276"/>
        <w:jc w:val="left"/>
      </w:pPr>
      <w:r>
        <w:rPr>
          <w:rFonts w:ascii="Arial" w:cs="Arial" w:eastAsia="Arial" w:hAnsi="Arial"/>
          <w:color w:val="334155"/>
          <w:sz w:val="22"/>
          <w:szCs w:val="22"/>
        </w:rPr>
        <w:t xml:space="preserve">A simulation environment in which multiple biological and later engineered architectures can be loaded as matrices. A chosen medium is driven through them under controlled pressure. Observers watch distribution, pooling, starvation, valve failure, learning, and reroute.</w:t>
      </w:r>
    </w:p>
    <w:p>
      <w:pPr>
        <w:pStyle w:val="Heading2"/>
        <w:spacing w:after="120" w:before="280"/>
      </w:pPr>
      <w:r>
        <w:rPr>
          <w:rFonts w:ascii="Arial" w:cs="Arial" w:eastAsia="Arial" w:hAnsi="Arial"/>
          <w:b/>
          <w:bCs/>
          <w:color w:val="0F766E"/>
          <w:sz w:val="24"/>
          <w:szCs w:val="24"/>
        </w:rPr>
        <w:t xml:space="preserve">5.1 What the lab must hold</w:t>
      </w:r>
    </w:p>
    <w:p>
      <w:pPr>
        <w:pStyle w:val="ListParagraph"/>
        <w:numPr>
          <w:ilvl w:val="0"/>
          <w:numId w:val="2"/>
        </w:numPr>
        <w:spacing w:after="80" w:line="260"/>
      </w:pPr>
      <w:r>
        <w:rPr>
          <w:rFonts w:ascii="Arial" w:cs="Arial" w:eastAsia="Arial" w:hAnsi="Arial"/>
          <w:color w:val="334155"/>
          <w:sz w:val="21"/>
          <w:szCs w:val="21"/>
        </w:rPr>
        <w:t xml:space="preserve">Topology: branching graphs (vessels, xylem, nerves, roots, streets).</w:t>
      </w:r>
    </w:p>
    <w:p>
      <w:pPr>
        <w:pStyle w:val="ListParagraph"/>
        <w:numPr>
          <w:ilvl w:val="0"/>
          <w:numId w:val="2"/>
        </w:numPr>
        <w:spacing w:after="80" w:line="260"/>
      </w:pPr>
      <w:r>
        <w:rPr>
          <w:rFonts w:ascii="Arial" w:cs="Arial" w:eastAsia="Arial" w:hAnsi="Arial"/>
          <w:color w:val="334155"/>
          <w:sz w:val="21"/>
          <w:szCs w:val="21"/>
        </w:rPr>
        <w:t xml:space="preserve">Material: wall stiffness, valve competence, leaf-vein hierarchy, myelin, soil porosity.</w:t>
      </w:r>
    </w:p>
    <w:p>
      <w:pPr>
        <w:pStyle w:val="ListParagraph"/>
        <w:numPr>
          <w:ilvl w:val="0"/>
          <w:numId w:val="2"/>
        </w:numPr>
        <w:spacing w:after="80" w:line="260"/>
      </w:pPr>
      <w:r>
        <w:rPr>
          <w:rFonts w:ascii="Arial" w:cs="Arial" w:eastAsia="Arial" w:hAnsi="Arial"/>
          <w:color w:val="334155"/>
          <w:sz w:val="21"/>
          <w:szCs w:val="21"/>
        </w:rPr>
        <w:t xml:space="preserve">Pressure regime: gravity, pump, transpiration, standing occupation, heat, fear-induced vasoconstriction.</w:t>
      </w:r>
    </w:p>
    <w:p>
      <w:pPr>
        <w:pStyle w:val="ListParagraph"/>
        <w:numPr>
          <w:ilvl w:val="0"/>
          <w:numId w:val="2"/>
        </w:numPr>
        <w:spacing w:after="80" w:line="260"/>
      </w:pPr>
      <w:r>
        <w:rPr>
          <w:rFonts w:ascii="Arial" w:cs="Arial" w:eastAsia="Arial" w:hAnsi="Arial"/>
          <w:color w:val="334155"/>
          <w:sz w:val="21"/>
          <w:szCs w:val="21"/>
        </w:rPr>
        <w:t xml:space="preserve">History: prior sticks, scarring, training, drought, overload.</w:t>
      </w:r>
    </w:p>
    <w:p>
      <w:pPr>
        <w:pStyle w:val="ListParagraph"/>
        <w:numPr>
          <w:ilvl w:val="0"/>
          <w:numId w:val="2"/>
        </w:numPr>
        <w:spacing w:after="80" w:line="260"/>
      </w:pPr>
      <w:r>
        <w:rPr>
          <w:rFonts w:ascii="Arial" w:cs="Arial" w:eastAsia="Arial" w:hAnsi="Arial"/>
          <w:color w:val="334155"/>
          <w:sz w:val="21"/>
          <w:szCs w:val="21"/>
        </w:rPr>
        <w:t xml:space="preserve">Identity layer: this graph belongs to this organism, wielder, or lineage, not to a textbook average.</w:t>
      </w:r>
    </w:p>
    <w:p>
      <w:pPr>
        <w:pStyle w:val="ListParagraph"/>
        <w:numPr>
          <w:ilvl w:val="0"/>
          <w:numId w:val="2"/>
        </w:numPr>
        <w:spacing w:after="80" w:line="260"/>
      </w:pPr>
      <w:r>
        <w:rPr>
          <w:rFonts w:ascii="Arial" w:cs="Arial" w:eastAsia="Arial" w:hAnsi="Arial"/>
          <w:color w:val="334155"/>
          <w:sz w:val="21"/>
          <w:szCs w:val="21"/>
        </w:rPr>
        <w:t xml:space="preserve">Comparison layer: overlay two or more graphs.</w:t>
      </w:r>
    </w:p>
    <w:p>
      <w:pPr>
        <w:pStyle w:val="ListParagraph"/>
        <w:numPr>
          <w:ilvl w:val="0"/>
          <w:numId w:val="2"/>
        </w:numPr>
        <w:spacing w:after="80" w:line="260"/>
      </w:pPr>
      <w:r>
        <w:rPr>
          <w:rFonts w:ascii="Arial" w:cs="Arial" w:eastAsia="Arial" w:hAnsi="Arial"/>
          <w:color w:val="334155"/>
          <w:sz w:val="21"/>
          <w:szCs w:val="21"/>
        </w:rPr>
        <w:t xml:space="preserve">Intervention layer: attempt a draw, a teaching form, a prune, a reroute—and record trauma versus success.</w:t>
      </w:r>
    </w:p>
    <w:p>
      <w:pPr>
        <w:pStyle w:val="Heading2"/>
        <w:spacing w:after="120" w:before="280"/>
      </w:pPr>
      <w:r>
        <w:rPr>
          <w:rFonts w:ascii="Arial" w:cs="Arial" w:eastAsia="Arial" w:hAnsi="Arial"/>
          <w:b/>
          <w:bCs/>
          <w:color w:val="0F766E"/>
          <w:sz w:val="24"/>
          <w:szCs w:val="24"/>
        </w:rPr>
        <w:t xml:space="preserve">5.2 What success looks like</w:t>
      </w:r>
    </w:p>
    <w:p>
      <w:pPr>
        <w:spacing w:after="160" w:before="0" w:line="276"/>
        <w:jc w:val="left"/>
      </w:pPr>
      <w:r>
        <w:rPr>
          <w:rFonts w:ascii="Arial" w:cs="Arial" w:eastAsia="Arial" w:hAnsi="Arial"/>
          <w:color w:val="334155"/>
          <w:sz w:val="22"/>
          <w:szCs w:val="22"/>
        </w:rPr>
        <w:t xml:space="preserve">Success is not a prettier animation. Success is when the lab can answer questions such as: given this person’s stored vascular graph and today’s hydration and temperature, where is the first-stick site with acceptable trauma cost? Given this student’s live neural signature and the blade’s archive, which form is the nearest reachable success state? Given this plant’s hydraulic segmentation, which leaves can be sacrificed without collapsing the trunk path? Which venous-failure patterns track occupation and heat rather than genotype? Which control rules transfer across domains?</w:t>
      </w:r>
    </w:p>
    <w:p>
      <w:pPr>
        <w:pStyle w:val="Heading2"/>
        <w:spacing w:after="120" w:before="280"/>
      </w:pPr>
      <w:r>
        <w:rPr>
          <w:rFonts w:ascii="Arial" w:cs="Arial" w:eastAsia="Arial" w:hAnsi="Arial"/>
          <w:b/>
          <w:bCs/>
          <w:color w:val="0F766E"/>
          <w:sz w:val="24"/>
          <w:szCs w:val="24"/>
        </w:rPr>
        <w:t xml:space="preserve">5.3 Ethical boundary (non-negotiable)</w:t>
      </w:r>
    </w:p>
    <w:p>
      <w:pPr>
        <w:spacing w:after="160" w:before="0" w:line="276"/>
        <w:jc w:val="left"/>
      </w:pPr>
      <w:r>
        <w:rPr>
          <w:rFonts w:ascii="Arial" w:cs="Arial" w:eastAsia="Arial" w:hAnsi="Arial"/>
          <w:color w:val="334155"/>
          <w:sz w:val="22"/>
          <w:szCs w:val="22"/>
        </w:rPr>
        <w:t xml:space="preserve">Hohenheim’s archive is built from consumed lives. This lab may not treat living neural or genetic material as fuel.</w:t>
      </w:r>
    </w:p>
    <w:p>
      <w:pPr>
        <w:pStyle w:val="ListParagraph"/>
        <w:numPr>
          <w:ilvl w:val="0"/>
          <w:numId w:val="2"/>
        </w:numPr>
        <w:spacing w:after="80" w:line="260"/>
      </w:pPr>
      <w:r>
        <w:rPr>
          <w:rFonts w:ascii="Arial" w:cs="Arial" w:eastAsia="Arial" w:hAnsi="Arial"/>
          <w:color w:val="334155"/>
          <w:sz w:val="21"/>
          <w:szCs w:val="21"/>
        </w:rPr>
        <w:t xml:space="preserve">Maps are consented, anonymized, or fully synthetic.</w:t>
      </w:r>
    </w:p>
    <w:p>
      <w:pPr>
        <w:pStyle w:val="ListParagraph"/>
        <w:numPr>
          <w:ilvl w:val="0"/>
          <w:numId w:val="2"/>
        </w:numPr>
        <w:spacing w:after="80" w:line="260"/>
      </w:pPr>
      <w:r>
        <w:rPr>
          <w:rFonts w:ascii="Arial" w:cs="Arial" w:eastAsia="Arial" w:hAnsi="Arial"/>
          <w:color w:val="334155"/>
          <w:sz w:val="21"/>
          <w:szCs w:val="21"/>
        </w:rPr>
        <w:t xml:space="preserve">“We have your configuration” is a custody problem, not a flex.</w:t>
      </w:r>
    </w:p>
    <w:p>
      <w:pPr>
        <w:pStyle w:val="ListParagraph"/>
        <w:numPr>
          <w:ilvl w:val="0"/>
          <w:numId w:val="2"/>
        </w:numPr>
        <w:spacing w:after="80" w:line="260"/>
      </w:pPr>
      <w:r>
        <w:rPr>
          <w:rFonts w:ascii="Arial" w:cs="Arial" w:eastAsia="Arial" w:hAnsi="Arial"/>
          <w:color w:val="334155"/>
          <w:sz w:val="21"/>
          <w:szCs w:val="21"/>
        </w:rPr>
        <w:t xml:space="preserve">Epoch Blades remain inside fiction’s consent and governance rules.</w:t>
      </w:r>
    </w:p>
    <w:p>
      <w:pPr>
        <w:pStyle w:val="ListParagraph"/>
        <w:numPr>
          <w:ilvl w:val="0"/>
          <w:numId w:val="2"/>
        </w:numPr>
        <w:spacing w:after="80" w:line="260"/>
      </w:pPr>
      <w:r>
        <w:rPr>
          <w:rFonts w:ascii="Arial" w:cs="Arial" w:eastAsia="Arial" w:hAnsi="Arial"/>
          <w:color w:val="334155"/>
          <w:sz w:val="21"/>
          <w:szCs w:val="21"/>
        </w:rPr>
        <w:t xml:space="preserve">Cross-species comparison is analogical and structural until a separate ethics pass.</w:t>
      </w:r>
    </w:p>
    <w:p>
      <w:pPr>
        <w:pStyle w:val="ListParagraph"/>
        <w:numPr>
          <w:ilvl w:val="0"/>
          <w:numId w:val="2"/>
        </w:numPr>
        <w:spacing w:after="80" w:line="260"/>
      </w:pPr>
      <w:r>
        <w:rPr>
          <w:rFonts w:ascii="Arial" w:cs="Arial" w:eastAsia="Arial" w:hAnsi="Arial"/>
          <w:color w:val="334155"/>
          <w:sz w:val="21"/>
          <w:szCs w:val="21"/>
        </w:rPr>
        <w:t xml:space="preserve">The lab should reduce repeated harm, not justify more attempts.</w:t>
      </w:r>
    </w:p>
    <w:p>
      <w:pPr>
        <w:pStyle w:val="ListParagraph"/>
        <w:numPr>
          <w:ilvl w:val="0"/>
          <w:numId w:val="2"/>
        </w:numPr>
        <w:spacing w:after="80" w:line="260"/>
      </w:pPr>
      <w:r>
        <w:rPr>
          <w:rFonts w:ascii="Arial" w:cs="Arial" w:eastAsia="Arial" w:hAnsi="Arial"/>
          <w:color w:val="334155"/>
          <w:sz w:val="21"/>
          <w:szCs w:val="21"/>
        </w:rPr>
        <w:t xml:space="preserve">Begin with public, synthetic, anonymized, or consented datasets. Do not start with genetic comparison of real people.</w:t>
      </w:r>
    </w:p>
    <w:p>
      <w:pPr>
        <w:pStyle w:val="Heading2"/>
        <w:spacing w:after="120" w:before="280"/>
      </w:pPr>
      <w:r>
        <w:rPr>
          <w:rFonts w:ascii="Arial" w:cs="Arial" w:eastAsia="Arial" w:hAnsi="Arial"/>
          <w:b/>
          <w:bCs/>
          <w:color w:val="0F766E"/>
          <w:sz w:val="24"/>
          <w:szCs w:val="24"/>
        </w:rPr>
        <w:t xml:space="preserve">5.4 Designable slices (pick one first)</w:t>
      </w:r>
    </w:p>
    <w:p>
      <w:pPr>
        <w:pStyle w:val="ListParagraph"/>
        <w:numPr>
          <w:ilvl w:val="0"/>
          <w:numId w:val="2"/>
        </w:numPr>
        <w:spacing w:after="80" w:line="260"/>
      </w:pPr>
      <w:r>
        <w:rPr>
          <w:rFonts w:ascii="Arial" w:cs="Arial" w:eastAsia="Arial" w:hAnsi="Arial"/>
          <w:color w:val="334155"/>
          <w:sz w:val="21"/>
          <w:szCs w:val="21"/>
        </w:rPr>
        <w:t xml:space="preserve">Per-person vascular graph format: minimum data structure so a future access system stops restarting from a textbook arm.</w:t>
      </w:r>
    </w:p>
    <w:p>
      <w:pPr>
        <w:pStyle w:val="ListParagraph"/>
        <w:numPr>
          <w:ilvl w:val="0"/>
          <w:numId w:val="2"/>
        </w:numPr>
        <w:spacing w:after="80" w:line="260"/>
      </w:pPr>
      <w:r>
        <w:rPr>
          <w:rFonts w:ascii="Arial" w:cs="Arial" w:eastAsia="Arial" w:hAnsi="Arial"/>
          <w:color w:val="334155"/>
          <w:sz w:val="21"/>
          <w:szCs w:val="21"/>
        </w:rPr>
        <w:t xml:space="preserve">Epoch Blade teaching handshake: live signature × stored success configurations → reachable / unreachable / adaptive intermediate.</w:t>
      </w:r>
    </w:p>
    <w:p>
      <w:pPr>
        <w:pStyle w:val="ListParagraph"/>
        <w:numPr>
          <w:ilvl w:val="0"/>
          <w:numId w:val="2"/>
        </w:numPr>
        <w:spacing w:after="80" w:line="260"/>
      </w:pPr>
      <w:r>
        <w:rPr>
          <w:rFonts w:ascii="Arial" w:cs="Arial" w:eastAsia="Arial" w:hAnsi="Arial"/>
          <w:color w:val="334155"/>
          <w:sz w:val="21"/>
          <w:szCs w:val="21"/>
        </w:rPr>
        <w:t xml:space="preserve">Shared control-flow schema that can describe vein, xylem, nerve, pipe, and lesson-path.</w:t>
      </w:r>
    </w:p>
    <w:p>
      <w:pPr>
        <w:pStyle w:val="ListParagraph"/>
        <w:numPr>
          <w:ilvl w:val="0"/>
          <w:numId w:val="2"/>
        </w:numPr>
        <w:spacing w:after="80" w:line="260"/>
      </w:pPr>
      <w:r>
        <w:rPr>
          <w:rFonts w:ascii="Arial" w:cs="Arial" w:eastAsia="Arial" w:hAnsi="Arial"/>
          <w:color w:val="334155"/>
          <w:sz w:val="21"/>
          <w:szCs w:val="21"/>
        </w:rPr>
        <w:t xml:space="preserve">Overlay comparator for the beach / city thought exercise.</w:t>
      </w:r>
    </w:p>
    <w:p>
      <w:pPr>
        <w:pStyle w:val="ListParagraph"/>
        <w:numPr>
          <w:ilvl w:val="0"/>
          <w:numId w:val="2"/>
        </w:numPr>
        <w:spacing w:after="80" w:line="260"/>
      </w:pPr>
      <w:r>
        <w:rPr>
          <w:rFonts w:ascii="Arial" w:cs="Arial" w:eastAsia="Arial" w:hAnsi="Arial"/>
          <w:color w:val="334155"/>
          <w:sz w:val="21"/>
          <w:szCs w:val="21"/>
        </w:rPr>
        <w:t xml:space="preserve">Lab scenario pack: difficult draw after two failed sticks; wielder whose neural graph almost matches a stored form; plant after a branch cut.</w:t>
      </w:r>
    </w:p>
    <w:p>
      <w:pPr>
        <w:pStyle w:val="ListParagraph"/>
        <w:numPr>
          <w:ilvl w:val="0"/>
          <w:numId w:val="2"/>
        </w:numPr>
        <w:spacing w:after="80" w:line="260"/>
      </w:pPr>
      <w:r>
        <w:rPr>
          <w:rFonts w:ascii="Arial" w:cs="Arial" w:eastAsia="Arial" w:hAnsi="Arial"/>
          <w:color w:val="334155"/>
          <w:sz w:val="21"/>
          <w:szCs w:val="21"/>
        </w:rPr>
        <w:t xml:space="preserve">Translation of varicose failure into grids, traffic, irrigation, content distribution, and Living Media substrates.</w:t>
      </w:r>
    </w:p>
    <w:p>
      <w:pPr>
        <w:pStyle w:val="Heading1"/>
        <w:pBdr>
          <w:bottom w:val="single" w:color="1B365D" w:sz="12" w:space="4"/>
        </w:pBdr>
        <w:spacing w:after="160" w:before="360"/>
      </w:pPr>
      <w:r>
        <w:rPr>
          <w:rFonts w:ascii="Arial" w:cs="Arial" w:eastAsia="Arial" w:hAnsi="Arial"/>
          <w:b/>
          <w:bCs/>
          <w:color w:val="1B365D"/>
          <w:sz w:val="28"/>
          <w:szCs w:val="28"/>
        </w:rPr>
        <w:t xml:space="preserve">6. Shared modeling vocabulary</w:t>
      </w:r>
    </w:p>
    <w:p>
      <w:pPr>
        <w:spacing w:after="160" w:before="0" w:line="276"/>
        <w:jc w:val="left"/>
      </w:pPr>
      <w:r>
        <w:rPr>
          <w:rFonts w:ascii="Arial" w:cs="Arial" w:eastAsia="Arial" w:hAnsi="Arial"/>
          <w:color w:val="334155"/>
          <w:sz w:val="22"/>
          <w:szCs w:val="22"/>
        </w:rPr>
        <w:t xml:space="preserve">Companion models independently arrived at a layered description. For records purposes the unified layers are:</w:t>
      </w:r>
    </w:p>
    <w:p>
      <w:pPr>
        <w:pStyle w:val="ListParagraph"/>
        <w:numPr>
          <w:ilvl w:val="0"/>
          <w:numId w:val="2"/>
        </w:numPr>
        <w:spacing w:after="80" w:line="260"/>
      </w:pPr>
      <w:r>
        <w:rPr>
          <w:rFonts w:ascii="Arial" w:cs="Arial" w:eastAsia="Arial" w:hAnsi="Arial"/>
          <w:color w:val="334155"/>
          <w:sz w:val="21"/>
          <w:szCs w:val="21"/>
        </w:rPr>
        <w:t xml:space="preserve">Entity layer — what exists (vessels, neurons, roots, routers, intersections).</w:t>
      </w:r>
    </w:p>
    <w:p>
      <w:pPr>
        <w:pStyle w:val="ListParagraph"/>
        <w:numPr>
          <w:ilvl w:val="0"/>
          <w:numId w:val="2"/>
        </w:numPr>
        <w:spacing w:after="80" w:line="260"/>
      </w:pPr>
      <w:r>
        <w:rPr>
          <w:rFonts w:ascii="Arial" w:cs="Arial" w:eastAsia="Arial" w:hAnsi="Arial"/>
          <w:color w:val="334155"/>
          <w:sz w:val="21"/>
          <w:szCs w:val="21"/>
        </w:rPr>
        <w:t xml:space="preserve">Topology layer — how entities connect, branch, loop, or dead-end.</w:t>
      </w:r>
    </w:p>
    <w:p>
      <w:pPr>
        <w:pStyle w:val="ListParagraph"/>
        <w:numPr>
          <w:ilvl w:val="0"/>
          <w:numId w:val="2"/>
        </w:numPr>
        <w:spacing w:after="80" w:line="260"/>
      </w:pPr>
      <w:r>
        <w:rPr>
          <w:rFonts w:ascii="Arial" w:cs="Arial" w:eastAsia="Arial" w:hAnsi="Arial"/>
          <w:color w:val="334155"/>
          <w:sz w:val="21"/>
          <w:szCs w:val="21"/>
        </w:rPr>
        <w:t xml:space="preserve">Medium layer — what moves (blood, water, ions, packets, nutrients, instruction).</w:t>
      </w:r>
    </w:p>
    <w:p>
      <w:pPr>
        <w:pStyle w:val="ListParagraph"/>
        <w:numPr>
          <w:ilvl w:val="0"/>
          <w:numId w:val="2"/>
        </w:numPr>
        <w:spacing w:after="80" w:line="260"/>
      </w:pPr>
      <w:r>
        <w:rPr>
          <w:rFonts w:ascii="Arial" w:cs="Arial" w:eastAsia="Arial" w:hAnsi="Arial"/>
          <w:color w:val="334155"/>
          <w:sz w:val="21"/>
          <w:szCs w:val="21"/>
        </w:rPr>
        <w:t xml:space="preserve">Pressure / driving-force layer — what causes movement.</w:t>
      </w:r>
    </w:p>
    <w:p>
      <w:pPr>
        <w:pStyle w:val="ListParagraph"/>
        <w:numPr>
          <w:ilvl w:val="0"/>
          <w:numId w:val="2"/>
        </w:numPr>
        <w:spacing w:after="80" w:line="260"/>
      </w:pPr>
      <w:r>
        <w:rPr>
          <w:rFonts w:ascii="Arial" w:cs="Arial" w:eastAsia="Arial" w:hAnsi="Arial"/>
          <w:color w:val="334155"/>
          <w:sz w:val="21"/>
          <w:szCs w:val="21"/>
        </w:rPr>
        <w:t xml:space="preserve">Control layer — valves, gates, routers, policies, three-stick limits.</w:t>
      </w:r>
    </w:p>
    <w:p>
      <w:pPr>
        <w:pStyle w:val="ListParagraph"/>
        <w:numPr>
          <w:ilvl w:val="0"/>
          <w:numId w:val="2"/>
        </w:numPr>
        <w:spacing w:after="80" w:line="260"/>
      </w:pPr>
      <w:r>
        <w:rPr>
          <w:rFonts w:ascii="Arial" w:cs="Arial" w:eastAsia="Arial" w:hAnsi="Arial"/>
          <w:color w:val="334155"/>
          <w:sz w:val="21"/>
          <w:szCs w:val="21"/>
        </w:rPr>
        <w:t xml:space="preserve">Feedback layer — sensors and outcome measurement.</w:t>
      </w:r>
    </w:p>
    <w:p>
      <w:pPr>
        <w:pStyle w:val="ListParagraph"/>
        <w:numPr>
          <w:ilvl w:val="0"/>
          <w:numId w:val="2"/>
        </w:numPr>
        <w:spacing w:after="80" w:line="260"/>
      </w:pPr>
      <w:r>
        <w:rPr>
          <w:rFonts w:ascii="Arial" w:cs="Arial" w:eastAsia="Arial" w:hAnsi="Arial"/>
          <w:color w:val="334155"/>
          <w:sz w:val="21"/>
          <w:szCs w:val="21"/>
        </w:rPr>
        <w:t xml:space="preserve">State and history layer — current condition plus prior interventions.</w:t>
      </w:r>
    </w:p>
    <w:p>
      <w:pPr>
        <w:pStyle w:val="ListParagraph"/>
        <w:numPr>
          <w:ilvl w:val="0"/>
          <w:numId w:val="2"/>
        </w:numPr>
        <w:spacing w:after="80" w:line="260"/>
      </w:pPr>
      <w:r>
        <w:rPr>
          <w:rFonts w:ascii="Arial" w:cs="Arial" w:eastAsia="Arial" w:hAnsi="Arial"/>
          <w:color w:val="334155"/>
          <w:sz w:val="21"/>
          <w:szCs w:val="21"/>
        </w:rPr>
        <w:t xml:space="preserve">Environment / matrix layer — the embedding that shapes all of the above.</w:t>
      </w:r>
    </w:p>
    <w:p>
      <w:pPr>
        <w:spacing w:after="160" w:before="120" w:line="276"/>
        <w:jc w:val="left"/>
      </w:pPr>
      <w:r>
        <w:rPr>
          <w:rFonts w:ascii="Arial" w:cs="Arial" w:eastAsia="Arial" w:hAnsi="Arial"/>
          <w:color w:val="334155"/>
          <w:sz w:val="22"/>
          <w:szCs w:val="22"/>
        </w:rPr>
        <w:t xml:space="preserve">Conceptual modeling frame (not a literal physical law): Outcome = f(Architecture, Medium, Driving Force, Resistance, Control, State, Environment, Time).</w:t>
      </w:r>
    </w:p>
    <w:p>
      <w:pPr>
        <w:spacing w:after="160" w:before="0" w:line="276"/>
        <w:jc w:val="left"/>
      </w:pPr>
      <w:r>
        <w:rPr>
          <w:rFonts w:ascii="Arial" w:cs="Arial" w:eastAsia="Arial" w:hAnsi="Arial"/>
          <w:color w:val="334155"/>
          <w:sz w:val="22"/>
          <w:szCs w:val="22"/>
        </w:rPr>
        <w:t xml:space="preserve">A companion form used in cross-analysis: F = f(P, R, C, T, S, A), where F is observed flow, P pressure or driving gradient, R resistance, C capacity, T topology, S state, and A adaptive control.</w:t>
      </w:r>
    </w:p>
    <w:p>
      <w:pPr>
        <w:pStyle w:val="Heading1"/>
        <w:pBdr>
          <w:bottom w:val="single" w:color="1B365D" w:sz="12" w:space="4"/>
        </w:pBdr>
        <w:spacing w:after="160" w:before="360"/>
      </w:pPr>
      <w:r>
        <w:rPr>
          <w:rFonts w:ascii="Arial" w:cs="Arial" w:eastAsia="Arial" w:hAnsi="Arial"/>
          <w:b/>
          <w:bCs/>
          <w:color w:val="1B365D"/>
          <w:sz w:val="28"/>
          <w:szCs w:val="28"/>
        </w:rPr>
        <w:t xml:space="preserve">7. Observe before intervene</w:t>
      </w:r>
    </w:p>
    <w:p>
      <w:pPr>
        <w:spacing w:after="160" w:before="0" w:line="276"/>
        <w:jc w:val="left"/>
      </w:pPr>
      <w:r>
        <w:rPr>
          <w:rFonts w:ascii="Arial" w:cs="Arial" w:eastAsia="Arial" w:hAnsi="Arial"/>
          <w:color w:val="334155"/>
          <w:sz w:val="22"/>
          <w:szCs w:val="22"/>
        </w:rPr>
        <w:t xml:space="preserve">A recurring principle across every restatement:</w:t>
      </w:r>
    </w:p>
    <w:p>
      <w:pPr>
        <w:spacing w:after="160" w:before="0" w:line="276"/>
        <w:jc w:val="center"/>
      </w:pPr>
      <w:r>
        <w:rPr>
          <w:rFonts w:ascii="Arial" w:cs="Arial" w:eastAsia="Arial" w:hAnsi="Arial"/>
          <w:b/>
          <w:bCs/>
          <w:color w:val="334155"/>
          <w:sz w:val="24"/>
          <w:szCs w:val="24"/>
        </w:rPr>
        <w:t xml:space="preserve">Observe → Map → Model → Predict → Intervene → Measure → Update</w:t>
      </w:r>
    </w:p>
    <w:p>
      <w:pPr>
        <w:spacing w:after="160" w:before="0" w:line="276"/>
        <w:jc w:val="left"/>
      </w:pPr>
      <w:r>
        <w:rPr>
          <w:rFonts w:ascii="Arial" w:cs="Arial" w:eastAsia="Arial" w:hAnsi="Arial"/>
          <w:color w:val="334155"/>
          <w:sz w:val="22"/>
          <w:szCs w:val="22"/>
        </w:rPr>
        <w:t xml:space="preserve">instead of Guess → Intervene → Fail → Retry. Architecture plus state plus knowledge plus policy equals possible action. A route may physically exist and still be unavailable because it is unsafe, unidentified, policy-blocked, or too costly after prior trauma.</w:t>
      </w:r>
    </w:p>
    <w:p>
      <w:pPr>
        <w:pStyle w:val="Heading1"/>
        <w:pBdr>
          <w:bottom w:val="single" w:color="1B365D" w:sz="12" w:space="4"/>
        </w:pBdr>
        <w:spacing w:after="160" w:before="360"/>
      </w:pPr>
      <w:r>
        <w:rPr>
          <w:rFonts w:ascii="Arial" w:cs="Arial" w:eastAsia="Arial" w:hAnsi="Arial"/>
          <w:b/>
          <w:bCs/>
          <w:color w:val="1B365D"/>
          <w:sz w:val="28"/>
          <w:szCs w:val="28"/>
        </w:rPr>
        <w:t xml:space="preserve">8. Questions for cross-analysis</w:t>
      </w:r>
    </w:p>
    <w:p>
      <w:pPr>
        <w:spacing w:after="160" w:before="0" w:line="276"/>
        <w:jc w:val="left"/>
      </w:pPr>
      <w:r>
        <w:rPr>
          <w:rFonts w:ascii="Arial" w:cs="Arial" w:eastAsia="Arial" w:hAnsi="Arial"/>
          <w:color w:val="334155"/>
          <w:sz w:val="22"/>
          <w:szCs w:val="22"/>
        </w:rPr>
        <w:t xml:space="preserve">Do not answer these by flattening the original chain.</w:t>
      </w:r>
    </w:p>
    <w:p>
      <w:pPr>
        <w:pStyle w:val="ListParagraph"/>
        <w:numPr>
          <w:ilvl w:val="0"/>
          <w:numId w:val="2"/>
        </w:numPr>
        <w:spacing w:after="80" w:line="260"/>
      </w:pPr>
      <w:r>
        <w:rPr>
          <w:rFonts w:ascii="Arial" w:cs="Arial" w:eastAsia="Arial" w:hAnsi="Arial"/>
          <w:color w:val="334155"/>
          <w:sz w:val="21"/>
          <w:szCs w:val="21"/>
        </w:rPr>
        <w:t xml:space="preserve">Is “matrix as medium” one technical object, or two objects glued by a word?</w:t>
      </w:r>
    </w:p>
    <w:p>
      <w:pPr>
        <w:pStyle w:val="ListParagraph"/>
        <w:numPr>
          <w:ilvl w:val="0"/>
          <w:numId w:val="2"/>
        </w:numPr>
        <w:spacing w:after="80" w:line="260"/>
      </w:pPr>
      <w:r>
        <w:rPr>
          <w:rFonts w:ascii="Arial" w:cs="Arial" w:eastAsia="Arial" w:hAnsi="Arial"/>
          <w:color w:val="334155"/>
          <w:sz w:val="21"/>
          <w:szCs w:val="21"/>
        </w:rPr>
        <w:t xml:space="preserve">Are Epoch Blade configurations graphs, or stored policies tagged to a body?</w:t>
      </w:r>
    </w:p>
    <w:p>
      <w:pPr>
        <w:pStyle w:val="ListParagraph"/>
        <w:numPr>
          <w:ilvl w:val="0"/>
          <w:numId w:val="2"/>
        </w:numPr>
        <w:spacing w:after="80" w:line="260"/>
      </w:pPr>
      <w:r>
        <w:rPr>
          <w:rFonts w:ascii="Arial" w:cs="Arial" w:eastAsia="Arial" w:hAnsi="Arial"/>
          <w:color w:val="334155"/>
          <w:sz w:val="21"/>
          <w:szCs w:val="21"/>
        </w:rPr>
        <w:t xml:space="preserve">Is the three-stick rule the same family as valve failure, or a social protocol wearing a medical mask?</w:t>
      </w:r>
    </w:p>
    <w:p>
      <w:pPr>
        <w:pStyle w:val="ListParagraph"/>
        <w:numPr>
          <w:ilvl w:val="0"/>
          <w:numId w:val="2"/>
        </w:numPr>
        <w:spacing w:after="80" w:line="260"/>
      </w:pPr>
      <w:r>
        <w:rPr>
          <w:rFonts w:ascii="Arial" w:cs="Arial" w:eastAsia="Arial" w:hAnsi="Arial"/>
          <w:color w:val="334155"/>
          <w:sz w:val="21"/>
          <w:szCs w:val="21"/>
        </w:rPr>
        <w:t xml:space="preserve">What would a non-Hohenheim archive look like: federated maps the person carries, versus a central well of bodies?</w:t>
      </w:r>
    </w:p>
    <w:p>
      <w:pPr>
        <w:pStyle w:val="ListParagraph"/>
        <w:numPr>
          <w:ilvl w:val="0"/>
          <w:numId w:val="2"/>
        </w:numPr>
        <w:spacing w:after="80" w:line="260"/>
      </w:pPr>
      <w:r>
        <w:rPr>
          <w:rFonts w:ascii="Arial" w:cs="Arial" w:eastAsia="Arial" w:hAnsi="Arial"/>
          <w:color w:val="334155"/>
          <w:sz w:val="21"/>
          <w:szCs w:val="21"/>
        </w:rPr>
        <w:t xml:space="preserve">Which plant-hydraulic, Murray’s-law, constructal-law, or network-theory results are usable here, and which are decorative?</w:t>
      </w:r>
    </w:p>
    <w:p>
      <w:pPr>
        <w:pStyle w:val="ListParagraph"/>
        <w:numPr>
          <w:ilvl w:val="0"/>
          <w:numId w:val="2"/>
        </w:numPr>
        <w:spacing w:after="80" w:line="260"/>
      </w:pPr>
      <w:r>
        <w:rPr>
          <w:rFonts w:ascii="Arial" w:cs="Arial" w:eastAsia="Arial" w:hAnsi="Arial"/>
          <w:color w:val="334155"/>
          <w:sz w:val="21"/>
          <w:szCs w:val="21"/>
        </w:rPr>
        <w:t xml:space="preserve">Where does this collide with Living Media, Philosopher’s Stone, Paragon Cubes, 771-ALPHA, or SLIAP? Merge only with a changelog entry.</w:t>
      </w:r>
    </w:p>
    <w:p>
      <w:pPr>
        <w:pStyle w:val="ListParagraph"/>
        <w:numPr>
          <w:ilvl w:val="0"/>
          <w:numId w:val="2"/>
        </w:numPr>
        <w:spacing w:after="80" w:line="260"/>
      </w:pPr>
      <w:r>
        <w:rPr>
          <w:rFonts w:ascii="Arial" w:cs="Arial" w:eastAsia="Arial" w:hAnsi="Arial"/>
          <w:color w:val="334155"/>
          <w:sz w:val="21"/>
          <w:szCs w:val="21"/>
        </w:rPr>
        <w:t xml:space="preserve">What is the smallest prototype: diagram, tabletop exercise, or tiny simulation?</w:t>
      </w:r>
    </w:p>
    <w:p>
      <w:pPr>
        <w:pStyle w:val="Heading1"/>
        <w:pBdr>
          <w:bottom w:val="single" w:color="1B365D" w:sz="12" w:space="4"/>
        </w:pBdr>
        <w:spacing w:after="160" w:before="360"/>
      </w:pPr>
      <w:r>
        <w:rPr>
          <w:rFonts w:ascii="Arial" w:cs="Arial" w:eastAsia="Arial" w:hAnsi="Arial"/>
          <w:b/>
          <w:bCs/>
          <w:color w:val="1B365D"/>
          <w:sz w:val="28"/>
          <w:szCs w:val="28"/>
        </w:rPr>
        <w:t xml:space="preserve">9. Handoff format for other AIs</w:t>
      </w:r>
    </w:p>
    <w:p>
      <w:pPr>
        <w:spacing w:after="160" w:before="0" w:line="276"/>
        <w:jc w:val="left"/>
      </w:pPr>
      <w:r>
        <w:rPr>
          <w:rFonts w:ascii="Arial" w:cs="Arial" w:eastAsia="Arial" w:hAnsi="Arial"/>
          <w:color w:val="334155"/>
          <w:sz w:val="22"/>
          <w:szCs w:val="22"/>
        </w:rPr>
        <w:t xml:space="preserve">When sending this out, ask each model for: (1) a one-page restatement of the claim, not the anecdotes; (2) places the original association is doing hidden work; (3) one designable artifact they would actually specify; (4) one hard objection; (5) one link to an existing OAL object, or an explicit do-not-merge. Then synthesize. Drafts are not canon.</w:t>
      </w:r>
    </w:p>
    <w:p>
      <w:pPr>
        <w:pStyle w:val="Heading1"/>
        <w:pBdr>
          <w:bottom w:val="single" w:color="1B365D" w:sz="12" w:space="4"/>
        </w:pBdr>
        <w:spacing w:after="160" w:before="360"/>
      </w:pPr>
      <w:r>
        <w:rPr>
          <w:rFonts w:ascii="Arial" w:cs="Arial" w:eastAsia="Arial" w:hAnsi="Arial"/>
          <w:b/>
          <w:bCs/>
          <w:color w:val="1B365D"/>
          <w:sz w:val="28"/>
          <w:szCs w:val="28"/>
        </w:rPr>
        <w:t xml:space="preserve">10. Compilation note</w:t>
      </w:r>
    </w:p>
    <w:p>
      <w:pPr>
        <w:spacing w:after="160" w:before="0" w:line="276"/>
        <w:jc w:val="left"/>
      </w:pPr>
      <w:r>
        <w:rPr>
          <w:rFonts w:ascii="Arial" w:cs="Arial" w:eastAsia="Arial" w:hAnsi="Arial"/>
          <w:color w:val="334155"/>
          <w:sz w:val="22"/>
          <w:szCs w:val="22"/>
        </w:rPr>
        <w:t xml:space="preserve">ChatGPT expanded the concept into a thirty-four-section research program and a Control Flow Matrix Laboratory with visualization layers and nested scale. Copilot added a six-layer Flow Architecture Model, a vascular-access decision-support use case, and an explicit ethics and prototype pathway. Gemini compressed the same material into a research-log table of system type, matrix medium, flow material, control mechanisms, and failure states. Claude kept the origin thread tight and treated the note as posed rather than fact-checked against vascular biology or Epoch Blades IP status.</w:t>
      </w:r>
    </w:p>
    <w:p>
      <w:pPr>
        <w:spacing w:after="160" w:before="0" w:line="276"/>
        <w:jc w:val="left"/>
      </w:pPr>
      <w:r>
        <w:rPr>
          <w:rFonts w:ascii="Arial" w:cs="Arial" w:eastAsia="Arial" w:hAnsi="Arial"/>
          <w:color w:val="334155"/>
          <w:sz w:val="22"/>
          <w:szCs w:val="22"/>
        </w:rPr>
        <w:t xml:space="preserve">This unified record keeps the Grok spine because it preserves the joints of the original thought and the standing OAL rule that drafts are not canon. Companion expansions are available in the source corpus for later schema work.</w:t>
      </w:r>
    </w:p>
    <w:p>
      <w:pPr>
        <w:pStyle w:val="Heading1"/>
        <w:pBdr>
          <w:bottom w:val="single" w:color="1B365D" w:sz="12" w:space="4"/>
        </w:pBdr>
        <w:spacing w:after="160" w:before="360"/>
      </w:pPr>
      <w:r>
        <w:rPr>
          <w:rFonts w:ascii="Arial" w:cs="Arial" w:eastAsia="Arial" w:hAnsi="Arial"/>
          <w:b/>
          <w:bCs/>
          <w:color w:val="1B365D"/>
          <w:sz w:val="28"/>
          <w:szCs w:val="28"/>
        </w:rPr>
        <w:t xml:space="preserve">11. Title options retained</w:t>
      </w:r>
    </w:p>
    <w:p>
      <w:pPr>
        <w:pStyle w:val="ListParagraph"/>
        <w:numPr>
          <w:ilvl w:val="0"/>
          <w:numId w:val="2"/>
        </w:numPr>
        <w:spacing w:after="80" w:line="260"/>
      </w:pPr>
      <w:r>
        <w:rPr>
          <w:rFonts w:ascii="Arial" w:cs="Arial" w:eastAsia="Arial" w:hAnsi="Arial"/>
          <w:color w:val="334155"/>
          <w:sz w:val="21"/>
          <w:szCs w:val="21"/>
        </w:rPr>
        <w:t xml:space="preserve">Control Flow Through Living Matrices (selected records title)</w:t>
      </w:r>
    </w:p>
    <w:p>
      <w:pPr>
        <w:pStyle w:val="ListParagraph"/>
        <w:numPr>
          <w:ilvl w:val="0"/>
          <w:numId w:val="2"/>
        </w:numPr>
        <w:spacing w:after="80" w:line="260"/>
      </w:pPr>
      <w:r>
        <w:rPr>
          <w:rFonts w:ascii="Arial" w:cs="Arial" w:eastAsia="Arial" w:hAnsi="Arial"/>
          <w:color w:val="334155"/>
          <w:sz w:val="21"/>
          <w:szCs w:val="21"/>
        </w:rPr>
        <w:t xml:space="preserve">Recognition Before Intervention</w:t>
      </w:r>
    </w:p>
    <w:p>
      <w:pPr>
        <w:pStyle w:val="ListParagraph"/>
        <w:numPr>
          <w:ilvl w:val="0"/>
          <w:numId w:val="2"/>
        </w:numPr>
        <w:spacing w:after="80" w:line="260"/>
      </w:pPr>
      <w:r>
        <w:rPr>
          <w:rFonts w:ascii="Arial" w:cs="Arial" w:eastAsia="Arial" w:hAnsi="Arial"/>
          <w:color w:val="334155"/>
          <w:sz w:val="21"/>
          <w:szCs w:val="21"/>
        </w:rPr>
        <w:t xml:space="preserve">The Three-Stick Problem and the Blade That Already Knows</w:t>
      </w:r>
    </w:p>
    <w:p>
      <w:pPr>
        <w:pStyle w:val="ListParagraph"/>
        <w:numPr>
          <w:ilvl w:val="0"/>
          <w:numId w:val="2"/>
        </w:numPr>
        <w:spacing w:after="80" w:line="260"/>
      </w:pPr>
      <w:r>
        <w:rPr>
          <w:rFonts w:ascii="Arial" w:cs="Arial" w:eastAsia="Arial" w:hAnsi="Arial"/>
          <w:color w:val="334155"/>
          <w:sz w:val="21"/>
          <w:szCs w:val="21"/>
        </w:rPr>
        <w:t xml:space="preserve">Medium, Matrix, Pressure, History</w:t>
      </w:r>
    </w:p>
    <w:p>
      <w:pPr>
        <w:pStyle w:val="ListParagraph"/>
        <w:numPr>
          <w:ilvl w:val="0"/>
          <w:numId w:val="2"/>
        </w:numPr>
        <w:spacing w:after="80" w:line="260"/>
      </w:pPr>
      <w:r>
        <w:rPr>
          <w:rFonts w:ascii="Arial" w:cs="Arial" w:eastAsia="Arial" w:hAnsi="Arial"/>
          <w:color w:val="334155"/>
          <w:sz w:val="21"/>
          <w:szCs w:val="21"/>
        </w:rPr>
        <w:t xml:space="preserve">Layout Is Capability</w:t>
      </w:r>
    </w:p>
    <w:p>
      <w:pPr>
        <w:pStyle w:val="ListParagraph"/>
        <w:numPr>
          <w:ilvl w:val="0"/>
          <w:numId w:val="2"/>
        </w:numPr>
        <w:spacing w:after="80" w:line="260"/>
      </w:pPr>
      <w:r>
        <w:rPr>
          <w:rFonts w:ascii="Arial" w:cs="Arial" w:eastAsia="Arial" w:hAnsi="Arial"/>
          <w:color w:val="334155"/>
          <w:sz w:val="21"/>
          <w:szCs w:val="21"/>
        </w:rPr>
        <w:t xml:space="preserve">Matrix Control-Flow Lab (working laboratory name)</w:t>
      </w:r>
    </w:p>
    <w:p>
      <w:pPr>
        <w:pStyle w:val="Heading1"/>
        <w:pBdr>
          <w:bottom w:val="single" w:color="1B365D" w:sz="12" w:space="4"/>
        </w:pBdr>
        <w:spacing w:after="160" w:before="360"/>
      </w:pPr>
      <w:r>
        <w:rPr>
          <w:rFonts w:ascii="Arial" w:cs="Arial" w:eastAsia="Arial" w:hAnsi="Arial"/>
          <w:b/>
          <w:bCs/>
          <w:color w:val="1B365D"/>
          <w:sz w:val="28"/>
          <w:szCs w:val="28"/>
        </w:rPr>
        <w:t xml:space="preserve">12. Status</w:t>
      </w:r>
    </w:p>
    <w:p>
      <w:pPr>
        <w:spacing w:after="160" w:before="0" w:line="276"/>
        <w:jc w:val="left"/>
      </w:pPr>
      <w:r>
        <w:rPr>
          <w:rFonts w:ascii="Arial" w:cs="Arial" w:eastAsia="Arial" w:hAnsi="Arial"/>
          <w:color w:val="334155"/>
          <w:sz w:val="22"/>
          <w:szCs w:val="22"/>
        </w:rPr>
        <w:t xml:space="preserve">Version 1.0. Unified records compilation prepared 20 September 2026 by Grok 4.6 (xAI) for Omniversal Architect Labs. Not canon. Open for dissent, schema work, and a first designable slice.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Prepared by Grok 4.6 (xAI)  ·  20 September 2026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OAL  ·  Control Flow Through Living Matrices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2026-09-20T14:52:58.590Z</dcterms:created>
  <dcterms:modified xsi:type="dcterms:W3CDTF">2026-09-20T14:52:58.591Z</dcterms:modified>
</cp:coreProperties>
</file>

<file path=docProps/custom.xml><?xml version="1.0" encoding="utf-8"?>
<Properties xmlns="http://schemas.openxmlformats.org/officeDocument/2006/custom-properties" xmlns:vt="http://schemas.openxmlformats.org/officeDocument/2006/docPropsVTypes"/>
</file>