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B931C" w14:textId="77777777" w:rsidR="00DE6E3C" w:rsidRDefault="00403118">
      <w:pPr>
        <w:rPr>
          <w:lang w:val="en-GB"/>
        </w:rPr>
      </w:pPr>
      <w:r>
        <w:rPr>
          <w:lang w:val="en-GB"/>
        </w:rPr>
        <w:t>Policy analysis</w:t>
      </w:r>
    </w:p>
    <w:p w14:paraId="17A1560F" w14:textId="77777777" w:rsidR="00A55585" w:rsidRDefault="00A55585">
      <w:pPr>
        <w:rPr>
          <w:lang w:val="en-GB"/>
        </w:rPr>
      </w:pPr>
    </w:p>
    <w:p w14:paraId="236F2CCE" w14:textId="2FF32FF9" w:rsidR="00A55585" w:rsidRDefault="00A55585">
      <w:pPr>
        <w:rPr>
          <w:lang w:val="en-GB"/>
        </w:rPr>
      </w:pPr>
      <w:r>
        <w:rPr>
          <w:lang w:val="en-GB"/>
        </w:rPr>
        <w:t>Research questions:</w:t>
      </w:r>
    </w:p>
    <w:p w14:paraId="2A6215A2" w14:textId="2197E05C" w:rsidR="00A55585" w:rsidRPr="00A55585" w:rsidRDefault="00A55585" w:rsidP="00A55585">
      <w:pPr>
        <w:pStyle w:val="ListParagraph"/>
        <w:numPr>
          <w:ilvl w:val="0"/>
          <w:numId w:val="1"/>
        </w:numPr>
        <w:rPr>
          <w:lang w:val="en-GB"/>
        </w:rPr>
      </w:pPr>
      <w:r w:rsidRPr="00A55585">
        <w:rPr>
          <w:lang w:val="en-GB"/>
        </w:rPr>
        <w:t>What are the current government key priorities in maternal and neonatal health in the</w:t>
      </w:r>
      <w:r w:rsidR="001917CF">
        <w:rPr>
          <w:lang w:val="en-GB"/>
        </w:rPr>
        <w:t xml:space="preserve"> PNG</w:t>
      </w:r>
      <w:r w:rsidRPr="00A55585">
        <w:rPr>
          <w:lang w:val="en-GB"/>
        </w:rPr>
        <w:t xml:space="preserve"> policy documents?</w:t>
      </w:r>
    </w:p>
    <w:p w14:paraId="55B3B74D" w14:textId="05926970" w:rsidR="00A55585" w:rsidRPr="00A55585" w:rsidRDefault="00A55585" w:rsidP="00A55585">
      <w:pPr>
        <w:pStyle w:val="ListParagraph"/>
        <w:numPr>
          <w:ilvl w:val="0"/>
          <w:numId w:val="1"/>
        </w:numPr>
        <w:rPr>
          <w:lang w:val="en-GB"/>
        </w:rPr>
      </w:pPr>
      <w:r w:rsidRPr="00A55585">
        <w:rPr>
          <w:lang w:val="en-GB"/>
        </w:rPr>
        <w:t>Who are the actors or</w:t>
      </w:r>
      <w:r w:rsidR="001917CF">
        <w:rPr>
          <w:lang w:val="en-GB"/>
        </w:rPr>
        <w:t xml:space="preserve"> divisions which are driving</w:t>
      </w:r>
      <w:r w:rsidR="004E3CBB">
        <w:rPr>
          <w:lang w:val="en-GB"/>
        </w:rPr>
        <w:t>/formulating</w:t>
      </w:r>
      <w:r w:rsidR="001917CF">
        <w:rPr>
          <w:lang w:val="en-GB"/>
        </w:rPr>
        <w:t xml:space="preserve"> the</w:t>
      </w:r>
      <w:r w:rsidRPr="00A55585">
        <w:rPr>
          <w:lang w:val="en-GB"/>
        </w:rPr>
        <w:t>s</w:t>
      </w:r>
      <w:r w:rsidR="001917CF">
        <w:rPr>
          <w:lang w:val="en-GB"/>
        </w:rPr>
        <w:t>e</w:t>
      </w:r>
      <w:r w:rsidRPr="00A55585">
        <w:rPr>
          <w:lang w:val="en-GB"/>
        </w:rPr>
        <w:t xml:space="preserve"> priorities?</w:t>
      </w:r>
    </w:p>
    <w:p w14:paraId="225CE847" w14:textId="77777777" w:rsidR="004F50E3" w:rsidRPr="00A55585" w:rsidRDefault="004F50E3" w:rsidP="004F50E3">
      <w:pPr>
        <w:pStyle w:val="ListParagraph"/>
        <w:numPr>
          <w:ilvl w:val="0"/>
          <w:numId w:val="1"/>
        </w:numPr>
        <w:rPr>
          <w:lang w:val="en-GB"/>
        </w:rPr>
      </w:pPr>
      <w:r>
        <w:rPr>
          <w:lang w:val="en-GB"/>
        </w:rPr>
        <w:t>What are the s</w:t>
      </w:r>
      <w:r w:rsidRPr="00A55585">
        <w:rPr>
          <w:lang w:val="en-GB"/>
        </w:rPr>
        <w:t>trategy proposed to achieve their target/ outcomes?</w:t>
      </w:r>
    </w:p>
    <w:p w14:paraId="127CA869" w14:textId="6A0EB56B" w:rsidR="00A55585" w:rsidRPr="00A55585" w:rsidRDefault="004E3CBB" w:rsidP="00A55585">
      <w:pPr>
        <w:pStyle w:val="ListParagraph"/>
        <w:numPr>
          <w:ilvl w:val="0"/>
          <w:numId w:val="1"/>
        </w:numPr>
        <w:rPr>
          <w:lang w:val="en-GB"/>
        </w:rPr>
      </w:pPr>
      <w:r>
        <w:rPr>
          <w:lang w:val="en-GB"/>
        </w:rPr>
        <w:t xml:space="preserve">Who are the </w:t>
      </w:r>
      <w:r w:rsidR="004F50E3">
        <w:rPr>
          <w:lang w:val="en-GB"/>
        </w:rPr>
        <w:t>k</w:t>
      </w:r>
      <w:r w:rsidR="00A55585" w:rsidRPr="00A55585">
        <w:rPr>
          <w:lang w:val="en-GB"/>
        </w:rPr>
        <w:t>ey actors</w:t>
      </w:r>
      <w:r>
        <w:rPr>
          <w:lang w:val="en-GB"/>
        </w:rPr>
        <w:t xml:space="preserve"> who are implementing the p</w:t>
      </w:r>
      <w:r w:rsidR="004F50E3">
        <w:rPr>
          <w:lang w:val="en-GB"/>
        </w:rPr>
        <w:t>o</w:t>
      </w:r>
      <w:r>
        <w:rPr>
          <w:lang w:val="en-GB"/>
        </w:rPr>
        <w:t xml:space="preserve">licies on </w:t>
      </w:r>
      <w:r w:rsidR="00A55585" w:rsidRPr="00A55585">
        <w:rPr>
          <w:lang w:val="en-GB"/>
        </w:rPr>
        <w:t>maternal and newborn health in PNG?</w:t>
      </w:r>
    </w:p>
    <w:p w14:paraId="7B16ACE1" w14:textId="77777777" w:rsidR="00A55585" w:rsidRDefault="00A55585">
      <w:pPr>
        <w:rPr>
          <w:lang w:val="en-GB"/>
        </w:rPr>
      </w:pPr>
    </w:p>
    <w:p w14:paraId="40875C02" w14:textId="77777777" w:rsidR="00403118" w:rsidRDefault="00403118">
      <w:pPr>
        <w:rPr>
          <w:lang w:val="en-GB"/>
        </w:rPr>
      </w:pPr>
    </w:p>
    <w:tbl>
      <w:tblPr>
        <w:tblStyle w:val="TableGrid"/>
        <w:tblW w:w="0" w:type="auto"/>
        <w:tblLook w:val="04A0" w:firstRow="1" w:lastRow="0" w:firstColumn="1" w:lastColumn="0" w:noHBand="0" w:noVBand="1"/>
      </w:tblPr>
      <w:tblGrid>
        <w:gridCol w:w="1085"/>
        <w:gridCol w:w="1106"/>
        <w:gridCol w:w="1054"/>
        <w:gridCol w:w="673"/>
        <w:gridCol w:w="1112"/>
        <w:gridCol w:w="2284"/>
        <w:gridCol w:w="1417"/>
        <w:gridCol w:w="1262"/>
        <w:gridCol w:w="1287"/>
        <w:gridCol w:w="1265"/>
        <w:gridCol w:w="1405"/>
      </w:tblGrid>
      <w:tr w:rsidR="00A83FA3" w:rsidRPr="005908F6" w14:paraId="112C4420" w14:textId="77777777" w:rsidTr="00DE09B1">
        <w:trPr>
          <w:trHeight w:val="856"/>
        </w:trPr>
        <w:tc>
          <w:tcPr>
            <w:tcW w:w="1085" w:type="dxa"/>
          </w:tcPr>
          <w:p w14:paraId="250B1F9D" w14:textId="74DF8DD2" w:rsidR="00EC74DA" w:rsidRPr="005908F6" w:rsidRDefault="00EC74DA">
            <w:pPr>
              <w:rPr>
                <w:sz w:val="16"/>
                <w:szCs w:val="16"/>
                <w:lang w:val="en-GB"/>
              </w:rPr>
            </w:pPr>
            <w:r w:rsidRPr="005908F6">
              <w:rPr>
                <w:sz w:val="16"/>
                <w:szCs w:val="16"/>
                <w:lang w:val="en-GB"/>
              </w:rPr>
              <w:t>Title</w:t>
            </w:r>
          </w:p>
        </w:tc>
        <w:tc>
          <w:tcPr>
            <w:tcW w:w="1106" w:type="dxa"/>
          </w:tcPr>
          <w:p w14:paraId="173F28C0" w14:textId="3F50AE7F" w:rsidR="00EC74DA" w:rsidRPr="005908F6" w:rsidRDefault="00EC74DA">
            <w:pPr>
              <w:rPr>
                <w:sz w:val="16"/>
                <w:szCs w:val="16"/>
                <w:lang w:val="en-GB"/>
              </w:rPr>
            </w:pPr>
            <w:r w:rsidRPr="005908F6">
              <w:rPr>
                <w:sz w:val="16"/>
                <w:szCs w:val="16"/>
                <w:lang w:val="en-GB"/>
              </w:rPr>
              <w:t>Author</w:t>
            </w:r>
          </w:p>
        </w:tc>
        <w:tc>
          <w:tcPr>
            <w:tcW w:w="1054" w:type="dxa"/>
          </w:tcPr>
          <w:p w14:paraId="23E19377" w14:textId="473E430C" w:rsidR="00EC74DA" w:rsidRPr="005908F6" w:rsidRDefault="00EC74DA">
            <w:pPr>
              <w:rPr>
                <w:sz w:val="16"/>
                <w:szCs w:val="16"/>
                <w:lang w:val="en-GB"/>
              </w:rPr>
            </w:pPr>
            <w:r w:rsidRPr="005908F6">
              <w:rPr>
                <w:sz w:val="16"/>
                <w:szCs w:val="16"/>
                <w:lang w:val="en-GB"/>
              </w:rPr>
              <w:t>Institution</w:t>
            </w:r>
          </w:p>
        </w:tc>
        <w:tc>
          <w:tcPr>
            <w:tcW w:w="673" w:type="dxa"/>
          </w:tcPr>
          <w:p w14:paraId="45FED71A" w14:textId="4C4E1F27" w:rsidR="00EC74DA" w:rsidRPr="005908F6" w:rsidRDefault="00EC74DA">
            <w:pPr>
              <w:rPr>
                <w:sz w:val="16"/>
                <w:szCs w:val="16"/>
                <w:lang w:val="en-GB"/>
              </w:rPr>
            </w:pPr>
            <w:r w:rsidRPr="005908F6">
              <w:rPr>
                <w:sz w:val="16"/>
                <w:szCs w:val="16"/>
                <w:lang w:val="en-GB"/>
              </w:rPr>
              <w:t>Year of writing</w:t>
            </w:r>
          </w:p>
        </w:tc>
        <w:tc>
          <w:tcPr>
            <w:tcW w:w="1112" w:type="dxa"/>
          </w:tcPr>
          <w:p w14:paraId="32C602D7" w14:textId="5D2B30F8" w:rsidR="00EC74DA" w:rsidRPr="005908F6" w:rsidRDefault="00EC74DA">
            <w:pPr>
              <w:rPr>
                <w:sz w:val="16"/>
                <w:szCs w:val="16"/>
                <w:lang w:val="en-GB"/>
              </w:rPr>
            </w:pPr>
            <w:r w:rsidRPr="005908F6">
              <w:rPr>
                <w:sz w:val="16"/>
                <w:szCs w:val="16"/>
                <w:lang w:val="en-GB"/>
              </w:rPr>
              <w:t>Target indicator</w:t>
            </w:r>
            <w:r>
              <w:rPr>
                <w:sz w:val="16"/>
                <w:szCs w:val="16"/>
                <w:lang w:val="en-GB"/>
              </w:rPr>
              <w:t>s</w:t>
            </w:r>
          </w:p>
        </w:tc>
        <w:tc>
          <w:tcPr>
            <w:tcW w:w="2284" w:type="dxa"/>
          </w:tcPr>
          <w:p w14:paraId="1FE314CC" w14:textId="04B1C457" w:rsidR="00EC74DA" w:rsidRPr="005908F6" w:rsidRDefault="00EC74DA">
            <w:pPr>
              <w:rPr>
                <w:sz w:val="16"/>
                <w:szCs w:val="16"/>
                <w:lang w:val="en-GB"/>
              </w:rPr>
            </w:pPr>
            <w:r w:rsidRPr="005908F6">
              <w:rPr>
                <w:sz w:val="16"/>
                <w:szCs w:val="16"/>
                <w:lang w:val="en-GB"/>
              </w:rPr>
              <w:t>Recommendations</w:t>
            </w:r>
          </w:p>
        </w:tc>
        <w:tc>
          <w:tcPr>
            <w:tcW w:w="1417" w:type="dxa"/>
          </w:tcPr>
          <w:p w14:paraId="65A1A468" w14:textId="0710E235" w:rsidR="00EC74DA" w:rsidRPr="005908F6" w:rsidRDefault="00EC74DA">
            <w:pPr>
              <w:rPr>
                <w:sz w:val="16"/>
                <w:szCs w:val="16"/>
                <w:lang w:val="en-GB"/>
              </w:rPr>
            </w:pPr>
            <w:r w:rsidRPr="005908F6">
              <w:rPr>
                <w:sz w:val="16"/>
                <w:szCs w:val="16"/>
                <w:lang w:val="en-GB"/>
              </w:rPr>
              <w:t xml:space="preserve">Who is designated as </w:t>
            </w:r>
            <w:proofErr w:type="spellStart"/>
            <w:r w:rsidRPr="005908F6">
              <w:rPr>
                <w:sz w:val="16"/>
                <w:szCs w:val="16"/>
                <w:lang w:val="en-GB"/>
              </w:rPr>
              <w:t>implementors</w:t>
            </w:r>
            <w:proofErr w:type="spellEnd"/>
            <w:r w:rsidRPr="005908F6">
              <w:rPr>
                <w:sz w:val="16"/>
                <w:szCs w:val="16"/>
                <w:lang w:val="en-GB"/>
              </w:rPr>
              <w:t xml:space="preserve"> (implementing bodies/ agencies)</w:t>
            </w:r>
          </w:p>
        </w:tc>
        <w:tc>
          <w:tcPr>
            <w:tcW w:w="1262" w:type="dxa"/>
          </w:tcPr>
          <w:p w14:paraId="052D22DF" w14:textId="52751B77" w:rsidR="00EC74DA" w:rsidRPr="005908F6" w:rsidRDefault="00EC74DA">
            <w:pPr>
              <w:rPr>
                <w:sz w:val="16"/>
                <w:szCs w:val="16"/>
                <w:lang w:val="en-GB"/>
              </w:rPr>
            </w:pPr>
            <w:r w:rsidRPr="005908F6">
              <w:rPr>
                <w:sz w:val="16"/>
                <w:szCs w:val="16"/>
                <w:lang w:val="en-GB"/>
              </w:rPr>
              <w:t>Year for implementation (year/year)</w:t>
            </w:r>
          </w:p>
        </w:tc>
        <w:tc>
          <w:tcPr>
            <w:tcW w:w="1287" w:type="dxa"/>
          </w:tcPr>
          <w:p w14:paraId="78A4317D" w14:textId="77777777" w:rsidR="00D642F2" w:rsidRDefault="00D642F2">
            <w:pPr>
              <w:rPr>
                <w:sz w:val="16"/>
                <w:szCs w:val="16"/>
                <w:lang w:val="en-GB"/>
              </w:rPr>
            </w:pPr>
            <w:r>
              <w:rPr>
                <w:sz w:val="16"/>
                <w:szCs w:val="16"/>
                <w:lang w:val="en-GB"/>
              </w:rPr>
              <w:t>Monitoring and evaluation +</w:t>
            </w:r>
          </w:p>
          <w:p w14:paraId="138A4C43" w14:textId="5818CCA2" w:rsidR="00EC74DA" w:rsidRPr="005908F6" w:rsidRDefault="00EC74DA">
            <w:pPr>
              <w:rPr>
                <w:sz w:val="16"/>
                <w:szCs w:val="16"/>
                <w:lang w:val="en-GB"/>
              </w:rPr>
            </w:pPr>
            <w:r>
              <w:rPr>
                <w:sz w:val="16"/>
                <w:szCs w:val="16"/>
                <w:lang w:val="en-GB"/>
              </w:rPr>
              <w:t>Years/</w:t>
            </w:r>
            <w:r w:rsidR="00554E73">
              <w:rPr>
                <w:sz w:val="16"/>
                <w:szCs w:val="16"/>
                <w:lang w:val="en-GB"/>
              </w:rPr>
              <w:t>frequency</w:t>
            </w:r>
            <w:r>
              <w:rPr>
                <w:sz w:val="16"/>
                <w:szCs w:val="16"/>
                <w:lang w:val="en-GB"/>
              </w:rPr>
              <w:t xml:space="preserve"> of evaluation</w:t>
            </w:r>
          </w:p>
        </w:tc>
        <w:tc>
          <w:tcPr>
            <w:tcW w:w="1265" w:type="dxa"/>
          </w:tcPr>
          <w:p w14:paraId="764EA539" w14:textId="76180BD1" w:rsidR="00EC74DA" w:rsidRPr="005908F6" w:rsidRDefault="00EC74DA">
            <w:pPr>
              <w:rPr>
                <w:sz w:val="16"/>
                <w:szCs w:val="16"/>
                <w:lang w:val="en-GB"/>
              </w:rPr>
            </w:pPr>
            <w:r w:rsidRPr="005908F6">
              <w:rPr>
                <w:sz w:val="16"/>
                <w:szCs w:val="16"/>
                <w:lang w:val="en-GB"/>
              </w:rPr>
              <w:t>Resources to achieve their targets</w:t>
            </w:r>
          </w:p>
        </w:tc>
        <w:tc>
          <w:tcPr>
            <w:tcW w:w="1405" w:type="dxa"/>
          </w:tcPr>
          <w:p w14:paraId="2F9F6682" w14:textId="01A01B94" w:rsidR="00EC74DA" w:rsidRPr="005908F6" w:rsidRDefault="00EC74DA">
            <w:pPr>
              <w:rPr>
                <w:sz w:val="16"/>
                <w:szCs w:val="16"/>
                <w:lang w:val="en-GB"/>
              </w:rPr>
            </w:pPr>
            <w:r w:rsidRPr="005908F6">
              <w:rPr>
                <w:sz w:val="16"/>
                <w:szCs w:val="16"/>
                <w:lang w:val="en-GB"/>
              </w:rPr>
              <w:t>Notes</w:t>
            </w:r>
          </w:p>
        </w:tc>
      </w:tr>
      <w:tr w:rsidR="00E7261B" w:rsidRPr="005908F6" w14:paraId="64C6CD1B" w14:textId="77777777" w:rsidTr="00DE09B1">
        <w:tc>
          <w:tcPr>
            <w:tcW w:w="1085" w:type="dxa"/>
          </w:tcPr>
          <w:p w14:paraId="76B74AC4" w14:textId="77777777" w:rsidR="00E7261B" w:rsidRPr="005908F6" w:rsidRDefault="00E7261B" w:rsidP="00DF0EA7">
            <w:pPr>
              <w:rPr>
                <w:sz w:val="16"/>
                <w:szCs w:val="16"/>
                <w:lang w:val="en-GB"/>
              </w:rPr>
            </w:pPr>
            <w:r w:rsidRPr="005908F6">
              <w:rPr>
                <w:sz w:val="16"/>
                <w:szCs w:val="16"/>
                <w:lang w:val="en-GB"/>
              </w:rPr>
              <w:t>PAPUA NEW GUINEA VISION 2050</w:t>
            </w:r>
          </w:p>
          <w:p w14:paraId="158E21C0" w14:textId="70BC3F01" w:rsidR="00E7261B" w:rsidRDefault="00E7261B" w:rsidP="00752179">
            <w:pPr>
              <w:rPr>
                <w:sz w:val="16"/>
                <w:szCs w:val="16"/>
                <w:lang w:val="en-GB"/>
              </w:rPr>
            </w:pPr>
            <w:r w:rsidRPr="005908F6">
              <w:rPr>
                <w:sz w:val="16"/>
                <w:szCs w:val="16"/>
                <w:lang w:val="en-GB"/>
              </w:rPr>
              <w:t>National Strategic Plan Taskforce</w:t>
            </w:r>
          </w:p>
        </w:tc>
        <w:tc>
          <w:tcPr>
            <w:tcW w:w="1106" w:type="dxa"/>
          </w:tcPr>
          <w:p w14:paraId="00CA08AC" w14:textId="77777777" w:rsidR="00E7261B" w:rsidRPr="005908F6" w:rsidRDefault="00E7261B" w:rsidP="00DF0EA7">
            <w:pPr>
              <w:pStyle w:val="Default"/>
              <w:rPr>
                <w:rFonts w:asciiTheme="minorHAnsi" w:hAnsiTheme="minorHAnsi"/>
                <w:sz w:val="16"/>
                <w:szCs w:val="16"/>
              </w:rPr>
            </w:pPr>
            <w:r w:rsidRPr="005908F6">
              <w:rPr>
                <w:rFonts w:asciiTheme="minorHAnsi" w:hAnsiTheme="minorHAnsi"/>
                <w:sz w:val="16"/>
                <w:szCs w:val="16"/>
              </w:rPr>
              <w:t xml:space="preserve">Professor David </w:t>
            </w:r>
            <w:proofErr w:type="spellStart"/>
            <w:r w:rsidRPr="005908F6">
              <w:rPr>
                <w:rFonts w:asciiTheme="minorHAnsi" w:hAnsiTheme="minorHAnsi"/>
                <w:sz w:val="16"/>
                <w:szCs w:val="16"/>
              </w:rPr>
              <w:t>Kavavamur</w:t>
            </w:r>
            <w:proofErr w:type="spellEnd"/>
          </w:p>
          <w:p w14:paraId="08B16DD6" w14:textId="61BB52F9" w:rsidR="00E7261B" w:rsidRDefault="00E7261B" w:rsidP="00F416D3">
            <w:pPr>
              <w:pStyle w:val="Default"/>
              <w:rPr>
                <w:rFonts w:asciiTheme="minorHAnsi" w:hAnsiTheme="minorHAnsi"/>
                <w:sz w:val="16"/>
                <w:szCs w:val="16"/>
              </w:rPr>
            </w:pPr>
            <w:r w:rsidRPr="005908F6">
              <w:rPr>
                <w:sz w:val="16"/>
                <w:szCs w:val="16"/>
              </w:rPr>
              <w:t xml:space="preserve">Chairperson, National Strategic Plan Taskforce </w:t>
            </w:r>
          </w:p>
        </w:tc>
        <w:tc>
          <w:tcPr>
            <w:tcW w:w="1054" w:type="dxa"/>
          </w:tcPr>
          <w:p w14:paraId="19CF6F3B" w14:textId="6A6B05E7" w:rsidR="00E7261B" w:rsidRDefault="00E7261B">
            <w:pPr>
              <w:rPr>
                <w:sz w:val="16"/>
                <w:szCs w:val="16"/>
              </w:rPr>
            </w:pPr>
            <w:r w:rsidRPr="005908F6">
              <w:rPr>
                <w:sz w:val="16"/>
                <w:szCs w:val="16"/>
              </w:rPr>
              <w:t>National Executive Council (NEC) of Papua New Guinea and the National Planning Committee (NPC)</w:t>
            </w:r>
          </w:p>
        </w:tc>
        <w:tc>
          <w:tcPr>
            <w:tcW w:w="673" w:type="dxa"/>
          </w:tcPr>
          <w:p w14:paraId="45EADEA9" w14:textId="26CE665B" w:rsidR="00E7261B" w:rsidRDefault="00E7261B">
            <w:pPr>
              <w:rPr>
                <w:sz w:val="16"/>
                <w:szCs w:val="16"/>
                <w:lang w:val="en-GB"/>
              </w:rPr>
            </w:pPr>
            <w:r w:rsidRPr="005908F6">
              <w:rPr>
                <w:sz w:val="16"/>
                <w:szCs w:val="16"/>
                <w:lang w:val="en-GB"/>
              </w:rPr>
              <w:t>2009</w:t>
            </w:r>
          </w:p>
        </w:tc>
        <w:tc>
          <w:tcPr>
            <w:tcW w:w="1112" w:type="dxa"/>
          </w:tcPr>
          <w:p w14:paraId="57397910" w14:textId="77777777" w:rsidR="00E7261B" w:rsidRPr="00B82008" w:rsidRDefault="00E7261B" w:rsidP="00DF0EA7">
            <w:pPr>
              <w:widowControl w:val="0"/>
              <w:autoSpaceDE w:val="0"/>
              <w:autoSpaceDN w:val="0"/>
              <w:adjustRightInd w:val="0"/>
              <w:rPr>
                <w:rFonts w:cs="Arial Narrow"/>
                <w:color w:val="000000"/>
                <w:sz w:val="16"/>
                <w:szCs w:val="16"/>
              </w:rPr>
            </w:pPr>
          </w:p>
          <w:p w14:paraId="5E6CC406" w14:textId="77777777" w:rsidR="00E7261B" w:rsidRDefault="00E7261B" w:rsidP="00B82008">
            <w:pPr>
              <w:widowControl w:val="0"/>
              <w:autoSpaceDE w:val="0"/>
              <w:autoSpaceDN w:val="0"/>
              <w:adjustRightInd w:val="0"/>
              <w:rPr>
                <w:rFonts w:cs="Arial Narrow"/>
                <w:color w:val="000000"/>
                <w:sz w:val="16"/>
                <w:szCs w:val="16"/>
              </w:rPr>
            </w:pPr>
          </w:p>
        </w:tc>
        <w:tc>
          <w:tcPr>
            <w:tcW w:w="2284" w:type="dxa"/>
          </w:tcPr>
          <w:p w14:paraId="52E64A01" w14:textId="77777777" w:rsidR="00E7261B" w:rsidRPr="005908F6" w:rsidRDefault="00E7261B" w:rsidP="00DF0EA7">
            <w:pPr>
              <w:rPr>
                <w:bCs/>
                <w:sz w:val="16"/>
                <w:szCs w:val="16"/>
              </w:rPr>
            </w:pPr>
            <w:r w:rsidRPr="005908F6">
              <w:rPr>
                <w:bCs/>
                <w:sz w:val="16"/>
                <w:szCs w:val="16"/>
                <w:highlight w:val="yellow"/>
              </w:rPr>
              <w:t>NO specific mention on maternal and newborn health</w:t>
            </w:r>
            <w:r w:rsidRPr="005908F6">
              <w:rPr>
                <w:bCs/>
                <w:sz w:val="16"/>
                <w:szCs w:val="16"/>
              </w:rPr>
              <w:t xml:space="preserve"> </w:t>
            </w:r>
          </w:p>
          <w:p w14:paraId="67B1F77B" w14:textId="77777777" w:rsidR="00E7261B" w:rsidRPr="003802DB" w:rsidRDefault="00E7261B" w:rsidP="00DF0EA7">
            <w:pPr>
              <w:widowControl w:val="0"/>
              <w:autoSpaceDE w:val="0"/>
              <w:autoSpaceDN w:val="0"/>
              <w:adjustRightInd w:val="0"/>
              <w:rPr>
                <w:rFonts w:cs="Calibri"/>
                <w:color w:val="000000"/>
                <w:sz w:val="16"/>
                <w:szCs w:val="16"/>
              </w:rPr>
            </w:pPr>
          </w:p>
          <w:p w14:paraId="317011D6" w14:textId="77777777" w:rsidR="00E7261B" w:rsidRPr="005908F6" w:rsidRDefault="00E7261B" w:rsidP="00DF0EA7">
            <w:pPr>
              <w:widowControl w:val="0"/>
              <w:autoSpaceDE w:val="0"/>
              <w:autoSpaceDN w:val="0"/>
              <w:adjustRightInd w:val="0"/>
              <w:spacing w:after="17"/>
              <w:rPr>
                <w:rFonts w:cs="Calibri"/>
                <w:color w:val="000000"/>
                <w:sz w:val="16"/>
                <w:szCs w:val="16"/>
              </w:rPr>
            </w:pPr>
            <w:r w:rsidRPr="005908F6">
              <w:rPr>
                <w:rFonts w:cs="Calibri"/>
                <w:color w:val="000000"/>
                <w:sz w:val="16"/>
                <w:szCs w:val="16"/>
              </w:rPr>
              <w:t>Human Capital Development, Gender, Youth and People Empowerment</w:t>
            </w:r>
          </w:p>
          <w:p w14:paraId="336904A7" w14:textId="77777777" w:rsidR="00E7261B" w:rsidRPr="005908F6" w:rsidRDefault="00E7261B" w:rsidP="00DF0EA7">
            <w:pPr>
              <w:widowControl w:val="0"/>
              <w:autoSpaceDE w:val="0"/>
              <w:autoSpaceDN w:val="0"/>
              <w:adjustRightInd w:val="0"/>
              <w:spacing w:after="17"/>
              <w:rPr>
                <w:rFonts w:cs="Calibri"/>
                <w:color w:val="000000"/>
                <w:sz w:val="16"/>
                <w:szCs w:val="16"/>
              </w:rPr>
            </w:pPr>
            <w:r w:rsidRPr="005908F6">
              <w:rPr>
                <w:rFonts w:cs="Calibri"/>
                <w:color w:val="000000"/>
                <w:sz w:val="16"/>
                <w:szCs w:val="16"/>
              </w:rPr>
              <w:t>Wealth Creation</w:t>
            </w:r>
          </w:p>
          <w:p w14:paraId="5EE44033" w14:textId="77777777" w:rsidR="00E7261B" w:rsidRPr="005908F6" w:rsidRDefault="00E7261B" w:rsidP="00DF0EA7">
            <w:pPr>
              <w:widowControl w:val="0"/>
              <w:autoSpaceDE w:val="0"/>
              <w:autoSpaceDN w:val="0"/>
              <w:adjustRightInd w:val="0"/>
              <w:spacing w:after="17"/>
              <w:rPr>
                <w:rFonts w:cs="Calibri"/>
                <w:color w:val="000000"/>
                <w:sz w:val="16"/>
                <w:szCs w:val="16"/>
              </w:rPr>
            </w:pPr>
            <w:r w:rsidRPr="005908F6">
              <w:rPr>
                <w:rFonts w:cs="Calibri"/>
                <w:color w:val="000000"/>
                <w:sz w:val="16"/>
                <w:szCs w:val="16"/>
              </w:rPr>
              <w:t xml:space="preserve">Institutional Development and Service Delivery; Security and International Relations; </w:t>
            </w:r>
          </w:p>
          <w:p w14:paraId="757FD3F1" w14:textId="77777777" w:rsidR="00E7261B" w:rsidRPr="005908F6" w:rsidRDefault="00E7261B" w:rsidP="00DF0EA7">
            <w:pPr>
              <w:widowControl w:val="0"/>
              <w:autoSpaceDE w:val="0"/>
              <w:autoSpaceDN w:val="0"/>
              <w:adjustRightInd w:val="0"/>
              <w:spacing w:after="17"/>
              <w:rPr>
                <w:rFonts w:cs="Calibri"/>
                <w:color w:val="000000"/>
                <w:sz w:val="16"/>
                <w:szCs w:val="16"/>
              </w:rPr>
            </w:pPr>
            <w:r w:rsidRPr="005908F6">
              <w:rPr>
                <w:rFonts w:cs="Calibri"/>
                <w:color w:val="000000"/>
                <w:sz w:val="16"/>
                <w:szCs w:val="16"/>
              </w:rPr>
              <w:t xml:space="preserve">Environment Sustainability and Climate Change; </w:t>
            </w:r>
          </w:p>
          <w:p w14:paraId="43F2C893" w14:textId="77777777" w:rsidR="00E7261B" w:rsidRPr="005908F6" w:rsidRDefault="00E7261B" w:rsidP="00DF0EA7">
            <w:pPr>
              <w:widowControl w:val="0"/>
              <w:autoSpaceDE w:val="0"/>
              <w:autoSpaceDN w:val="0"/>
              <w:adjustRightInd w:val="0"/>
              <w:spacing w:after="17"/>
              <w:rPr>
                <w:rFonts w:cs="Calibri"/>
                <w:color w:val="000000"/>
                <w:sz w:val="16"/>
                <w:szCs w:val="16"/>
              </w:rPr>
            </w:pPr>
            <w:r w:rsidRPr="005908F6">
              <w:rPr>
                <w:rFonts w:cs="Calibri"/>
                <w:color w:val="000000"/>
                <w:sz w:val="16"/>
                <w:szCs w:val="16"/>
              </w:rPr>
              <w:t xml:space="preserve">Spiritual, Cultural and Community Development; and </w:t>
            </w:r>
          </w:p>
          <w:p w14:paraId="0DA8F0BA" w14:textId="54058B57" w:rsidR="00E7261B" w:rsidRPr="00E85A24" w:rsidRDefault="00E7261B">
            <w:pPr>
              <w:rPr>
                <w:bCs/>
                <w:sz w:val="16"/>
                <w:szCs w:val="16"/>
              </w:rPr>
            </w:pPr>
            <w:r w:rsidRPr="005908F6">
              <w:rPr>
                <w:rFonts w:cs="Calibri"/>
                <w:color w:val="000000"/>
                <w:sz w:val="16"/>
                <w:szCs w:val="16"/>
              </w:rPr>
              <w:t xml:space="preserve">Strategic Planning, Integration and Control. </w:t>
            </w:r>
          </w:p>
        </w:tc>
        <w:tc>
          <w:tcPr>
            <w:tcW w:w="1417" w:type="dxa"/>
          </w:tcPr>
          <w:p w14:paraId="2527BB2E" w14:textId="77777777" w:rsidR="00E7261B" w:rsidRDefault="00E7261B">
            <w:pPr>
              <w:rPr>
                <w:sz w:val="16"/>
                <w:szCs w:val="16"/>
                <w:lang w:val="en-GB"/>
              </w:rPr>
            </w:pPr>
          </w:p>
        </w:tc>
        <w:tc>
          <w:tcPr>
            <w:tcW w:w="1262" w:type="dxa"/>
          </w:tcPr>
          <w:p w14:paraId="0044A29D" w14:textId="73BF5D92" w:rsidR="00E7261B" w:rsidRDefault="00E7261B">
            <w:pPr>
              <w:rPr>
                <w:sz w:val="16"/>
                <w:szCs w:val="16"/>
                <w:lang w:val="en-GB"/>
              </w:rPr>
            </w:pPr>
            <w:r w:rsidRPr="005908F6">
              <w:rPr>
                <w:sz w:val="16"/>
                <w:szCs w:val="16"/>
                <w:lang w:val="en-GB"/>
              </w:rPr>
              <w:t>From 2010/2050</w:t>
            </w:r>
          </w:p>
        </w:tc>
        <w:tc>
          <w:tcPr>
            <w:tcW w:w="1287" w:type="dxa"/>
          </w:tcPr>
          <w:p w14:paraId="641F1EC6" w14:textId="0F75A97F" w:rsidR="00E7261B" w:rsidRDefault="00E7261B">
            <w:pPr>
              <w:rPr>
                <w:sz w:val="16"/>
                <w:szCs w:val="16"/>
                <w:lang w:val="en-GB"/>
              </w:rPr>
            </w:pPr>
            <w:r w:rsidRPr="0062747E">
              <w:rPr>
                <w:sz w:val="16"/>
                <w:szCs w:val="16"/>
                <w:lang w:val="en-GB"/>
              </w:rPr>
              <w:t>major reviews are undertaken in 2019, 2029 and 2039</w:t>
            </w:r>
          </w:p>
        </w:tc>
        <w:tc>
          <w:tcPr>
            <w:tcW w:w="1265" w:type="dxa"/>
          </w:tcPr>
          <w:p w14:paraId="18EC858C" w14:textId="77777777" w:rsidR="00E7261B" w:rsidRDefault="00E7261B">
            <w:pPr>
              <w:rPr>
                <w:sz w:val="16"/>
                <w:szCs w:val="16"/>
                <w:lang w:val="en-GB"/>
              </w:rPr>
            </w:pPr>
          </w:p>
        </w:tc>
        <w:tc>
          <w:tcPr>
            <w:tcW w:w="1405" w:type="dxa"/>
          </w:tcPr>
          <w:p w14:paraId="44CC1823" w14:textId="77777777" w:rsidR="00E7261B" w:rsidRPr="00E85A24" w:rsidRDefault="00E7261B" w:rsidP="00E85A24">
            <w:pPr>
              <w:rPr>
                <w:sz w:val="16"/>
                <w:szCs w:val="16"/>
                <w:highlight w:val="yellow"/>
                <w:lang w:val="en-GB"/>
              </w:rPr>
            </w:pPr>
          </w:p>
        </w:tc>
      </w:tr>
      <w:tr w:rsidR="00DF0EA7" w:rsidRPr="005908F6" w14:paraId="7B3D2827" w14:textId="77777777" w:rsidTr="00DE09B1">
        <w:tc>
          <w:tcPr>
            <w:tcW w:w="1085" w:type="dxa"/>
          </w:tcPr>
          <w:p w14:paraId="49B7B5D5" w14:textId="1ECF5618" w:rsidR="00DF0EA7" w:rsidRPr="005908F6" w:rsidRDefault="00DF0EA7" w:rsidP="00DF0EA7">
            <w:pPr>
              <w:rPr>
                <w:sz w:val="16"/>
                <w:szCs w:val="16"/>
                <w:lang w:val="en-GB"/>
              </w:rPr>
            </w:pPr>
            <w:proofErr w:type="spellStart"/>
            <w:r>
              <w:rPr>
                <w:sz w:val="16"/>
                <w:szCs w:val="16"/>
                <w:lang w:val="en-GB"/>
              </w:rPr>
              <w:t>Alotou</w:t>
            </w:r>
            <w:proofErr w:type="spellEnd"/>
            <w:r>
              <w:rPr>
                <w:sz w:val="16"/>
                <w:szCs w:val="16"/>
                <w:lang w:val="en-GB"/>
              </w:rPr>
              <w:t xml:space="preserve"> Accord</w:t>
            </w:r>
          </w:p>
        </w:tc>
        <w:tc>
          <w:tcPr>
            <w:tcW w:w="1106" w:type="dxa"/>
          </w:tcPr>
          <w:p w14:paraId="27C78805" w14:textId="696D95DF" w:rsidR="00DF0EA7" w:rsidRPr="005908F6" w:rsidRDefault="0064474A" w:rsidP="00DF0EA7">
            <w:pPr>
              <w:pStyle w:val="Default"/>
              <w:rPr>
                <w:rFonts w:asciiTheme="minorHAnsi" w:hAnsiTheme="minorHAnsi"/>
                <w:sz w:val="16"/>
                <w:szCs w:val="16"/>
              </w:rPr>
            </w:pPr>
            <w:r>
              <w:rPr>
                <w:rFonts w:asciiTheme="minorHAnsi" w:hAnsiTheme="minorHAnsi"/>
                <w:sz w:val="16"/>
                <w:szCs w:val="16"/>
              </w:rPr>
              <w:t>Not specify</w:t>
            </w:r>
          </w:p>
        </w:tc>
        <w:tc>
          <w:tcPr>
            <w:tcW w:w="1054" w:type="dxa"/>
          </w:tcPr>
          <w:p w14:paraId="2CB9E0EA" w14:textId="3CDB57C5" w:rsidR="00DF0EA7" w:rsidRPr="005908F6" w:rsidRDefault="00106A1E">
            <w:pPr>
              <w:rPr>
                <w:sz w:val="16"/>
                <w:szCs w:val="16"/>
              </w:rPr>
            </w:pPr>
            <w:r>
              <w:rPr>
                <w:sz w:val="16"/>
                <w:szCs w:val="16"/>
              </w:rPr>
              <w:t>National department of Health</w:t>
            </w:r>
          </w:p>
        </w:tc>
        <w:tc>
          <w:tcPr>
            <w:tcW w:w="673" w:type="dxa"/>
          </w:tcPr>
          <w:p w14:paraId="71F63437" w14:textId="4A4CDD8E" w:rsidR="00DF0EA7" w:rsidRPr="005908F6" w:rsidRDefault="0064474A">
            <w:pPr>
              <w:rPr>
                <w:sz w:val="16"/>
                <w:szCs w:val="16"/>
                <w:lang w:val="en-GB"/>
              </w:rPr>
            </w:pPr>
            <w:r>
              <w:rPr>
                <w:sz w:val="16"/>
                <w:szCs w:val="16"/>
                <w:lang w:val="en-GB"/>
              </w:rPr>
              <w:t>Not specify</w:t>
            </w:r>
          </w:p>
        </w:tc>
        <w:tc>
          <w:tcPr>
            <w:tcW w:w="1112" w:type="dxa"/>
          </w:tcPr>
          <w:p w14:paraId="0D3E1F90" w14:textId="245EBA24" w:rsidR="00DF0EA7" w:rsidRPr="00B82008" w:rsidRDefault="0064474A" w:rsidP="00DF0EA7">
            <w:pPr>
              <w:widowControl w:val="0"/>
              <w:autoSpaceDE w:val="0"/>
              <w:autoSpaceDN w:val="0"/>
              <w:adjustRightInd w:val="0"/>
              <w:rPr>
                <w:rFonts w:cs="Arial Narrow"/>
                <w:color w:val="000000"/>
                <w:sz w:val="16"/>
                <w:szCs w:val="16"/>
              </w:rPr>
            </w:pPr>
            <w:r w:rsidRPr="0064474A">
              <w:rPr>
                <w:rFonts w:cs="Arial Narrow"/>
                <w:color w:val="000000"/>
                <w:sz w:val="16"/>
                <w:szCs w:val="16"/>
                <w:highlight w:val="yellow"/>
              </w:rPr>
              <w:t>Not specify</w:t>
            </w:r>
          </w:p>
        </w:tc>
        <w:tc>
          <w:tcPr>
            <w:tcW w:w="2284" w:type="dxa"/>
          </w:tcPr>
          <w:p w14:paraId="087AFB4F" w14:textId="77777777" w:rsidR="00DF0EA7" w:rsidRPr="005B29FA" w:rsidRDefault="005B29FA" w:rsidP="00DF0EA7">
            <w:pPr>
              <w:rPr>
                <w:bCs/>
                <w:sz w:val="16"/>
                <w:szCs w:val="16"/>
              </w:rPr>
            </w:pPr>
            <w:r w:rsidRPr="005B29FA">
              <w:rPr>
                <w:bCs/>
                <w:sz w:val="16"/>
                <w:szCs w:val="16"/>
              </w:rPr>
              <w:t>Free primary health care</w:t>
            </w:r>
          </w:p>
          <w:p w14:paraId="234D9B46" w14:textId="39A5C7B6" w:rsidR="005B29FA" w:rsidRPr="005908F6" w:rsidRDefault="005B29FA" w:rsidP="00DF0EA7">
            <w:pPr>
              <w:rPr>
                <w:bCs/>
                <w:sz w:val="16"/>
                <w:szCs w:val="16"/>
                <w:highlight w:val="yellow"/>
              </w:rPr>
            </w:pPr>
            <w:r w:rsidRPr="005B29FA">
              <w:rPr>
                <w:bCs/>
                <w:sz w:val="16"/>
                <w:szCs w:val="16"/>
              </w:rPr>
              <w:t>Subsidized specialist services</w:t>
            </w:r>
          </w:p>
        </w:tc>
        <w:tc>
          <w:tcPr>
            <w:tcW w:w="1417" w:type="dxa"/>
          </w:tcPr>
          <w:p w14:paraId="71BA25B2" w14:textId="77777777" w:rsidR="00DF0EA7" w:rsidRDefault="00423FF8">
            <w:pPr>
              <w:rPr>
                <w:sz w:val="16"/>
                <w:szCs w:val="16"/>
                <w:lang w:val="en-GB"/>
              </w:rPr>
            </w:pPr>
            <w:proofErr w:type="spellStart"/>
            <w:r w:rsidRPr="00423FF8">
              <w:rPr>
                <w:sz w:val="16"/>
                <w:szCs w:val="16"/>
                <w:lang w:val="en-GB"/>
              </w:rPr>
              <w:t>NDoH</w:t>
            </w:r>
            <w:proofErr w:type="spellEnd"/>
            <w:r w:rsidRPr="00423FF8">
              <w:rPr>
                <w:sz w:val="16"/>
                <w:szCs w:val="16"/>
                <w:lang w:val="en-GB"/>
              </w:rPr>
              <w:t xml:space="preserve"> Implementation Team</w:t>
            </w:r>
          </w:p>
          <w:p w14:paraId="734A9C9A" w14:textId="5A1D86DC" w:rsidR="008E72C3" w:rsidRDefault="008E72C3">
            <w:pPr>
              <w:rPr>
                <w:sz w:val="16"/>
                <w:szCs w:val="16"/>
                <w:lang w:val="en-GB"/>
              </w:rPr>
            </w:pPr>
            <w:r w:rsidRPr="008E72C3">
              <w:rPr>
                <w:sz w:val="16"/>
                <w:szCs w:val="16"/>
                <w:lang w:val="en-GB"/>
              </w:rPr>
              <w:t xml:space="preserve">joint responsibility by </w:t>
            </w:r>
            <w:proofErr w:type="spellStart"/>
            <w:r w:rsidRPr="008E72C3">
              <w:rPr>
                <w:sz w:val="16"/>
                <w:szCs w:val="16"/>
                <w:lang w:val="en-GB"/>
              </w:rPr>
              <w:t>NDoH</w:t>
            </w:r>
            <w:proofErr w:type="spellEnd"/>
            <w:r w:rsidRPr="008E72C3">
              <w:rPr>
                <w:sz w:val="16"/>
                <w:szCs w:val="16"/>
                <w:lang w:val="en-GB"/>
              </w:rPr>
              <w:t xml:space="preserve"> and the Departments of Treasury, Finance and Provincial and Local-level Government </w:t>
            </w:r>
            <w:r w:rsidRPr="008E72C3">
              <w:rPr>
                <w:sz w:val="16"/>
                <w:szCs w:val="16"/>
                <w:lang w:val="en-GB"/>
              </w:rPr>
              <w:lastRenderedPageBreak/>
              <w:t>Affairs.</w:t>
            </w:r>
            <w:r w:rsidR="005754FE">
              <w:rPr>
                <w:sz w:val="16"/>
                <w:szCs w:val="16"/>
                <w:lang w:val="en-GB"/>
              </w:rPr>
              <w:t xml:space="preserve"> </w:t>
            </w:r>
            <w:proofErr w:type="spellStart"/>
            <w:r w:rsidR="005754FE" w:rsidRPr="005754FE">
              <w:rPr>
                <w:sz w:val="16"/>
                <w:szCs w:val="16"/>
                <w:lang w:val="en-GB"/>
              </w:rPr>
              <w:t>NDoH</w:t>
            </w:r>
            <w:proofErr w:type="spellEnd"/>
            <w:r w:rsidR="005754FE" w:rsidRPr="005754FE">
              <w:rPr>
                <w:sz w:val="16"/>
                <w:szCs w:val="16"/>
                <w:lang w:val="en-GB"/>
              </w:rPr>
              <w:t xml:space="preserve"> in partnership with the Christian Health Services of PNG.</w:t>
            </w:r>
          </w:p>
        </w:tc>
        <w:tc>
          <w:tcPr>
            <w:tcW w:w="1262" w:type="dxa"/>
          </w:tcPr>
          <w:p w14:paraId="1066A76D" w14:textId="327DFC23" w:rsidR="00DF0EA7" w:rsidRPr="005908F6" w:rsidRDefault="0064474A">
            <w:pPr>
              <w:rPr>
                <w:sz w:val="16"/>
                <w:szCs w:val="16"/>
                <w:lang w:val="en-GB"/>
              </w:rPr>
            </w:pPr>
            <w:r>
              <w:rPr>
                <w:sz w:val="16"/>
                <w:szCs w:val="16"/>
                <w:lang w:val="en-GB"/>
              </w:rPr>
              <w:lastRenderedPageBreak/>
              <w:t>By 2013</w:t>
            </w:r>
          </w:p>
        </w:tc>
        <w:tc>
          <w:tcPr>
            <w:tcW w:w="1287" w:type="dxa"/>
          </w:tcPr>
          <w:p w14:paraId="4D31AE3A" w14:textId="145800D0" w:rsidR="00DF0EA7" w:rsidRPr="0062747E" w:rsidRDefault="0064474A">
            <w:pPr>
              <w:rPr>
                <w:sz w:val="16"/>
                <w:szCs w:val="16"/>
                <w:lang w:val="en-GB"/>
              </w:rPr>
            </w:pPr>
            <w:r>
              <w:rPr>
                <w:sz w:val="16"/>
                <w:szCs w:val="16"/>
                <w:lang w:val="en-GB"/>
              </w:rPr>
              <w:t>Not specify</w:t>
            </w:r>
          </w:p>
        </w:tc>
        <w:tc>
          <w:tcPr>
            <w:tcW w:w="1265" w:type="dxa"/>
          </w:tcPr>
          <w:p w14:paraId="05F5D8AA" w14:textId="1B55AABC" w:rsidR="00DF0EA7" w:rsidRDefault="0064474A">
            <w:pPr>
              <w:rPr>
                <w:sz w:val="16"/>
                <w:szCs w:val="16"/>
                <w:lang w:val="en-GB"/>
              </w:rPr>
            </w:pPr>
            <w:r>
              <w:rPr>
                <w:sz w:val="16"/>
                <w:szCs w:val="16"/>
                <w:lang w:val="en-GB"/>
              </w:rPr>
              <w:t>Not specify</w:t>
            </w:r>
          </w:p>
        </w:tc>
        <w:tc>
          <w:tcPr>
            <w:tcW w:w="1405" w:type="dxa"/>
          </w:tcPr>
          <w:p w14:paraId="4385B352" w14:textId="77777777" w:rsidR="00DF0EA7" w:rsidRPr="00E85A24" w:rsidRDefault="00DF0EA7" w:rsidP="00E85A24">
            <w:pPr>
              <w:rPr>
                <w:sz w:val="16"/>
                <w:szCs w:val="16"/>
                <w:highlight w:val="yellow"/>
                <w:lang w:val="en-GB"/>
              </w:rPr>
            </w:pPr>
          </w:p>
        </w:tc>
      </w:tr>
      <w:tr w:rsidR="00DF0EA7" w:rsidRPr="005908F6" w14:paraId="0A0C8ECF" w14:textId="77777777" w:rsidTr="00DE09B1">
        <w:tc>
          <w:tcPr>
            <w:tcW w:w="1085" w:type="dxa"/>
          </w:tcPr>
          <w:p w14:paraId="577BE4C4" w14:textId="7C2AB57F" w:rsidR="00DF0EA7" w:rsidRPr="005908F6" w:rsidRDefault="007A3BB0" w:rsidP="00DF0EA7">
            <w:pPr>
              <w:rPr>
                <w:sz w:val="16"/>
                <w:szCs w:val="16"/>
                <w:lang w:val="en-GB"/>
              </w:rPr>
            </w:pPr>
            <w:r>
              <w:rPr>
                <w:sz w:val="16"/>
                <w:szCs w:val="16"/>
                <w:lang w:val="en-GB"/>
              </w:rPr>
              <w:lastRenderedPageBreak/>
              <w:t>Health Gender Policy</w:t>
            </w:r>
          </w:p>
        </w:tc>
        <w:tc>
          <w:tcPr>
            <w:tcW w:w="1106" w:type="dxa"/>
          </w:tcPr>
          <w:p w14:paraId="47040733" w14:textId="260C3850" w:rsidR="00DF0EA7" w:rsidRPr="005908F6" w:rsidRDefault="007811CB" w:rsidP="00DF0EA7">
            <w:pPr>
              <w:pStyle w:val="Default"/>
              <w:rPr>
                <w:rFonts w:asciiTheme="minorHAnsi" w:hAnsiTheme="minorHAnsi"/>
                <w:sz w:val="16"/>
                <w:szCs w:val="16"/>
              </w:rPr>
            </w:pPr>
            <w:r>
              <w:rPr>
                <w:rFonts w:asciiTheme="minorHAnsi" w:hAnsiTheme="minorHAnsi"/>
                <w:sz w:val="16"/>
                <w:szCs w:val="16"/>
              </w:rPr>
              <w:t>Not specify</w:t>
            </w:r>
          </w:p>
        </w:tc>
        <w:tc>
          <w:tcPr>
            <w:tcW w:w="1054" w:type="dxa"/>
          </w:tcPr>
          <w:p w14:paraId="0094FAC2" w14:textId="5A140AFE" w:rsidR="00DF0EA7" w:rsidRPr="005908F6" w:rsidRDefault="00197095">
            <w:pPr>
              <w:rPr>
                <w:sz w:val="16"/>
                <w:szCs w:val="16"/>
              </w:rPr>
            </w:pPr>
            <w:r>
              <w:rPr>
                <w:sz w:val="16"/>
                <w:szCs w:val="16"/>
              </w:rPr>
              <w:t>National Department of Health</w:t>
            </w:r>
          </w:p>
        </w:tc>
        <w:tc>
          <w:tcPr>
            <w:tcW w:w="673" w:type="dxa"/>
          </w:tcPr>
          <w:p w14:paraId="6E64A609" w14:textId="0D81B543" w:rsidR="00DF0EA7" w:rsidRPr="005908F6" w:rsidRDefault="007A3BB0">
            <w:pPr>
              <w:rPr>
                <w:sz w:val="16"/>
                <w:szCs w:val="16"/>
                <w:lang w:val="en-GB"/>
              </w:rPr>
            </w:pPr>
            <w:r>
              <w:rPr>
                <w:sz w:val="16"/>
                <w:szCs w:val="16"/>
                <w:lang w:val="en-GB"/>
              </w:rPr>
              <w:t>2014</w:t>
            </w:r>
          </w:p>
        </w:tc>
        <w:tc>
          <w:tcPr>
            <w:tcW w:w="1112" w:type="dxa"/>
          </w:tcPr>
          <w:p w14:paraId="2642A501" w14:textId="3E4CDECD" w:rsidR="00DF0EA7" w:rsidRPr="00B82008" w:rsidRDefault="007811CB" w:rsidP="00DF0EA7">
            <w:pPr>
              <w:widowControl w:val="0"/>
              <w:autoSpaceDE w:val="0"/>
              <w:autoSpaceDN w:val="0"/>
              <w:adjustRightInd w:val="0"/>
              <w:rPr>
                <w:rFonts w:cs="Arial Narrow"/>
                <w:color w:val="000000"/>
                <w:sz w:val="16"/>
                <w:szCs w:val="16"/>
              </w:rPr>
            </w:pPr>
            <w:r>
              <w:rPr>
                <w:rFonts w:cs="Arial Narrow"/>
                <w:color w:val="000000"/>
                <w:sz w:val="16"/>
                <w:szCs w:val="16"/>
              </w:rPr>
              <w:t xml:space="preserve">None specify. States that indicators will be developed (by </w:t>
            </w:r>
            <w:proofErr w:type="gramStart"/>
            <w:r>
              <w:rPr>
                <w:rFonts w:cs="Arial Narrow"/>
                <w:color w:val="000000"/>
                <w:sz w:val="16"/>
                <w:szCs w:val="16"/>
              </w:rPr>
              <w:t>whom?,</w:t>
            </w:r>
            <w:proofErr w:type="gramEnd"/>
            <w:r>
              <w:rPr>
                <w:rFonts w:cs="Arial Narrow"/>
                <w:color w:val="000000"/>
                <w:sz w:val="16"/>
                <w:szCs w:val="16"/>
              </w:rPr>
              <w:t xml:space="preserve"> When?) pp 16</w:t>
            </w:r>
          </w:p>
        </w:tc>
        <w:tc>
          <w:tcPr>
            <w:tcW w:w="2284" w:type="dxa"/>
          </w:tcPr>
          <w:p w14:paraId="65C0CE6F" w14:textId="04CACC27" w:rsidR="00DF0EA7" w:rsidRPr="005908F6" w:rsidRDefault="00FE3618" w:rsidP="00DF0EA7">
            <w:pPr>
              <w:rPr>
                <w:bCs/>
                <w:sz w:val="16"/>
                <w:szCs w:val="16"/>
                <w:highlight w:val="yellow"/>
              </w:rPr>
            </w:pPr>
            <w:r w:rsidRPr="00FE3618">
              <w:rPr>
                <w:bCs/>
                <w:sz w:val="16"/>
                <w:szCs w:val="16"/>
              </w:rPr>
              <w:t>Heading 3.3 Policy response pages: 9-14</w:t>
            </w:r>
          </w:p>
        </w:tc>
        <w:tc>
          <w:tcPr>
            <w:tcW w:w="1417" w:type="dxa"/>
          </w:tcPr>
          <w:p w14:paraId="06F30297" w14:textId="77777777" w:rsidR="00DF0EA7" w:rsidRDefault="00EF46D5">
            <w:pPr>
              <w:rPr>
                <w:sz w:val="16"/>
                <w:szCs w:val="16"/>
                <w:lang w:val="en-GB"/>
              </w:rPr>
            </w:pPr>
            <w:r w:rsidRPr="00EF46D5">
              <w:rPr>
                <w:sz w:val="16"/>
                <w:szCs w:val="16"/>
                <w:lang w:val="en-GB"/>
              </w:rPr>
              <w:t xml:space="preserve">The Family Health Service Branch of the </w:t>
            </w:r>
            <w:proofErr w:type="spellStart"/>
            <w:r w:rsidRPr="00EF46D5">
              <w:rPr>
                <w:sz w:val="16"/>
                <w:szCs w:val="16"/>
                <w:lang w:val="en-GB"/>
              </w:rPr>
              <w:t>NDoH</w:t>
            </w:r>
            <w:proofErr w:type="spellEnd"/>
            <w:r w:rsidR="00E064CA">
              <w:rPr>
                <w:sz w:val="16"/>
                <w:szCs w:val="16"/>
                <w:lang w:val="en-GB"/>
              </w:rPr>
              <w:t xml:space="preserve"> </w:t>
            </w:r>
          </w:p>
          <w:p w14:paraId="33B70710" w14:textId="77777777" w:rsidR="001C0C69" w:rsidRDefault="001C0C69">
            <w:pPr>
              <w:rPr>
                <w:sz w:val="16"/>
                <w:szCs w:val="16"/>
                <w:lang w:val="en-GB"/>
              </w:rPr>
            </w:pPr>
          </w:p>
          <w:p w14:paraId="30BC6592" w14:textId="68178797" w:rsidR="001C0C69" w:rsidRDefault="001C0C69">
            <w:pPr>
              <w:rPr>
                <w:sz w:val="16"/>
                <w:szCs w:val="16"/>
                <w:lang w:val="en-GB"/>
              </w:rPr>
            </w:pPr>
            <w:r>
              <w:rPr>
                <w:sz w:val="16"/>
                <w:szCs w:val="16"/>
                <w:lang w:val="en-GB"/>
              </w:rPr>
              <w:t>Role and responsibilities: Annex 1 pp 16</w:t>
            </w:r>
          </w:p>
        </w:tc>
        <w:tc>
          <w:tcPr>
            <w:tcW w:w="1262" w:type="dxa"/>
          </w:tcPr>
          <w:p w14:paraId="4691656F" w14:textId="2924D755" w:rsidR="00DF0EA7" w:rsidRPr="005908F6" w:rsidRDefault="008A4983">
            <w:pPr>
              <w:rPr>
                <w:sz w:val="16"/>
                <w:szCs w:val="16"/>
                <w:lang w:val="en-GB"/>
              </w:rPr>
            </w:pPr>
            <w:r>
              <w:rPr>
                <w:sz w:val="16"/>
                <w:szCs w:val="16"/>
                <w:lang w:val="en-GB"/>
              </w:rPr>
              <w:t>2014-2020</w:t>
            </w:r>
          </w:p>
        </w:tc>
        <w:tc>
          <w:tcPr>
            <w:tcW w:w="1287" w:type="dxa"/>
          </w:tcPr>
          <w:p w14:paraId="52ED3388" w14:textId="68DD2576" w:rsidR="00DF0EA7" w:rsidRPr="0062747E" w:rsidRDefault="001C0C69">
            <w:pPr>
              <w:rPr>
                <w:sz w:val="16"/>
                <w:szCs w:val="16"/>
                <w:lang w:val="en-GB"/>
              </w:rPr>
            </w:pPr>
            <w:r w:rsidRPr="001C0C69">
              <w:rPr>
                <w:sz w:val="16"/>
                <w:szCs w:val="16"/>
                <w:lang w:val="en-GB"/>
              </w:rPr>
              <w:t xml:space="preserve">To effectively track gender and GBV activities, regular monitoring and evaluation mechanism is required to measure the impact of national response. The </w:t>
            </w:r>
            <w:proofErr w:type="spellStart"/>
            <w:r w:rsidRPr="001C0C69">
              <w:rPr>
                <w:sz w:val="16"/>
                <w:szCs w:val="16"/>
                <w:lang w:val="en-GB"/>
              </w:rPr>
              <w:t>NDoH</w:t>
            </w:r>
            <w:proofErr w:type="spellEnd"/>
            <w:r w:rsidRPr="001C0C69">
              <w:rPr>
                <w:sz w:val="16"/>
                <w:szCs w:val="16"/>
                <w:lang w:val="en-GB"/>
              </w:rPr>
              <w:t xml:space="preserve"> will ensure that National Health Information System captures GBV data and monitors the process, outcome and responsiveness of the programs as a cross-cutting issue.</w:t>
            </w:r>
          </w:p>
        </w:tc>
        <w:tc>
          <w:tcPr>
            <w:tcW w:w="1265" w:type="dxa"/>
          </w:tcPr>
          <w:p w14:paraId="70DECAEF" w14:textId="775AFD3B" w:rsidR="00DF0EA7" w:rsidRDefault="008A4983">
            <w:pPr>
              <w:rPr>
                <w:sz w:val="16"/>
                <w:szCs w:val="16"/>
                <w:lang w:val="en-GB"/>
              </w:rPr>
            </w:pPr>
            <w:r>
              <w:rPr>
                <w:sz w:val="16"/>
                <w:szCs w:val="16"/>
                <w:lang w:val="en-GB"/>
              </w:rPr>
              <w:t>E</w:t>
            </w:r>
            <w:r w:rsidRPr="008A4983">
              <w:rPr>
                <w:sz w:val="16"/>
                <w:szCs w:val="16"/>
                <w:lang w:val="en-GB"/>
              </w:rPr>
              <w:t>stimated cost are being integrated into the Sexual Reproductive Health Strategic Implementation Plan 2014-2020.</w:t>
            </w:r>
          </w:p>
        </w:tc>
        <w:tc>
          <w:tcPr>
            <w:tcW w:w="1405" w:type="dxa"/>
          </w:tcPr>
          <w:p w14:paraId="2E1C2D8F" w14:textId="77777777" w:rsidR="00DF0EA7" w:rsidRPr="00E85A24" w:rsidRDefault="00DF0EA7" w:rsidP="00E85A24">
            <w:pPr>
              <w:rPr>
                <w:sz w:val="16"/>
                <w:szCs w:val="16"/>
                <w:highlight w:val="yellow"/>
                <w:lang w:val="en-GB"/>
              </w:rPr>
            </w:pPr>
          </w:p>
        </w:tc>
      </w:tr>
      <w:tr w:rsidR="00E7261B" w:rsidRPr="005908F6" w14:paraId="7E4FF02B" w14:textId="77777777" w:rsidTr="00DE09B1">
        <w:tc>
          <w:tcPr>
            <w:tcW w:w="1085" w:type="dxa"/>
          </w:tcPr>
          <w:p w14:paraId="103E5DFA" w14:textId="5BBDAE2F" w:rsidR="00E7261B" w:rsidRPr="005908F6" w:rsidRDefault="00E7261B" w:rsidP="00752179">
            <w:pPr>
              <w:rPr>
                <w:sz w:val="16"/>
                <w:szCs w:val="16"/>
                <w:lang w:val="en-GB"/>
              </w:rPr>
            </w:pPr>
            <w:r>
              <w:rPr>
                <w:sz w:val="16"/>
                <w:szCs w:val="16"/>
                <w:lang w:val="en-GB"/>
              </w:rPr>
              <w:t>National youth and adolescent health policy</w:t>
            </w:r>
          </w:p>
        </w:tc>
        <w:tc>
          <w:tcPr>
            <w:tcW w:w="1106" w:type="dxa"/>
          </w:tcPr>
          <w:p w14:paraId="43A7E91B" w14:textId="04A3B45B" w:rsidR="00E7261B" w:rsidRPr="005908F6" w:rsidRDefault="00E7261B" w:rsidP="00F416D3">
            <w:pPr>
              <w:pStyle w:val="Default"/>
              <w:rPr>
                <w:rFonts w:asciiTheme="minorHAnsi" w:hAnsiTheme="minorHAnsi"/>
                <w:sz w:val="16"/>
                <w:szCs w:val="16"/>
              </w:rPr>
            </w:pPr>
            <w:r>
              <w:rPr>
                <w:rFonts w:asciiTheme="minorHAnsi" w:hAnsiTheme="minorHAnsi"/>
                <w:sz w:val="16"/>
                <w:szCs w:val="16"/>
              </w:rPr>
              <w:t>Y</w:t>
            </w:r>
            <w:r w:rsidRPr="00156FE1">
              <w:rPr>
                <w:rFonts w:asciiTheme="minorHAnsi" w:hAnsiTheme="minorHAnsi"/>
                <w:sz w:val="16"/>
                <w:szCs w:val="16"/>
              </w:rPr>
              <w:t xml:space="preserve">outh and adolescent health </w:t>
            </w:r>
            <w:r>
              <w:rPr>
                <w:rFonts w:asciiTheme="minorHAnsi" w:hAnsiTheme="minorHAnsi"/>
                <w:sz w:val="16"/>
                <w:szCs w:val="16"/>
              </w:rPr>
              <w:t xml:space="preserve">national </w:t>
            </w:r>
            <w:r w:rsidRPr="00156FE1">
              <w:rPr>
                <w:rFonts w:asciiTheme="minorHAnsi" w:hAnsiTheme="minorHAnsi"/>
                <w:sz w:val="16"/>
                <w:szCs w:val="16"/>
              </w:rPr>
              <w:t>policy</w:t>
            </w:r>
            <w:r>
              <w:rPr>
                <w:rFonts w:asciiTheme="minorHAnsi" w:hAnsiTheme="minorHAnsi"/>
                <w:sz w:val="16"/>
                <w:szCs w:val="16"/>
              </w:rPr>
              <w:t xml:space="preserve"> core group</w:t>
            </w:r>
          </w:p>
        </w:tc>
        <w:tc>
          <w:tcPr>
            <w:tcW w:w="1054" w:type="dxa"/>
          </w:tcPr>
          <w:p w14:paraId="1327F282" w14:textId="0A748555" w:rsidR="00E7261B" w:rsidRDefault="00E7261B">
            <w:pPr>
              <w:rPr>
                <w:sz w:val="16"/>
                <w:szCs w:val="16"/>
              </w:rPr>
            </w:pPr>
            <w:r>
              <w:rPr>
                <w:sz w:val="16"/>
                <w:szCs w:val="16"/>
              </w:rPr>
              <w:t>National Department of Health</w:t>
            </w:r>
          </w:p>
          <w:p w14:paraId="1BA68DDF" w14:textId="3A2D4335" w:rsidR="00E7261B" w:rsidRPr="005908F6" w:rsidRDefault="00E7261B">
            <w:pPr>
              <w:rPr>
                <w:sz w:val="16"/>
                <w:szCs w:val="16"/>
              </w:rPr>
            </w:pPr>
            <w:r>
              <w:rPr>
                <w:sz w:val="16"/>
                <w:szCs w:val="16"/>
              </w:rPr>
              <w:t>Technical support of UNFPA and WHO</w:t>
            </w:r>
          </w:p>
        </w:tc>
        <w:tc>
          <w:tcPr>
            <w:tcW w:w="673" w:type="dxa"/>
          </w:tcPr>
          <w:p w14:paraId="5F9D6E6A" w14:textId="2C665165" w:rsidR="00E7261B" w:rsidRPr="005908F6" w:rsidRDefault="00E7261B">
            <w:pPr>
              <w:rPr>
                <w:sz w:val="16"/>
                <w:szCs w:val="16"/>
                <w:lang w:val="en-GB"/>
              </w:rPr>
            </w:pPr>
            <w:r>
              <w:rPr>
                <w:sz w:val="16"/>
                <w:szCs w:val="16"/>
                <w:lang w:val="en-GB"/>
              </w:rPr>
              <w:t>2014</w:t>
            </w:r>
          </w:p>
        </w:tc>
        <w:tc>
          <w:tcPr>
            <w:tcW w:w="1112" w:type="dxa"/>
          </w:tcPr>
          <w:p w14:paraId="7245F347" w14:textId="0F8D17E3" w:rsidR="00E7261B" w:rsidRDefault="00E7261B" w:rsidP="00B82008">
            <w:pPr>
              <w:widowControl w:val="0"/>
              <w:autoSpaceDE w:val="0"/>
              <w:autoSpaceDN w:val="0"/>
              <w:adjustRightInd w:val="0"/>
              <w:rPr>
                <w:rFonts w:cs="Arial Narrow"/>
                <w:color w:val="000000"/>
                <w:sz w:val="16"/>
                <w:szCs w:val="16"/>
              </w:rPr>
            </w:pPr>
            <w:r>
              <w:rPr>
                <w:rFonts w:cs="Arial Narrow"/>
                <w:color w:val="000000"/>
                <w:sz w:val="16"/>
                <w:szCs w:val="16"/>
              </w:rPr>
              <w:t>Indicators table pp 27-28</w:t>
            </w:r>
          </w:p>
          <w:p w14:paraId="0092E169" w14:textId="77777777" w:rsidR="00E7261B" w:rsidRDefault="00E7261B" w:rsidP="00B82008">
            <w:pPr>
              <w:widowControl w:val="0"/>
              <w:autoSpaceDE w:val="0"/>
              <w:autoSpaceDN w:val="0"/>
              <w:adjustRightInd w:val="0"/>
              <w:rPr>
                <w:rFonts w:cs="Arial Narrow"/>
                <w:color w:val="000000"/>
                <w:sz w:val="16"/>
                <w:szCs w:val="16"/>
              </w:rPr>
            </w:pPr>
          </w:p>
          <w:p w14:paraId="30CC9F1D" w14:textId="77777777" w:rsidR="00E7261B" w:rsidRDefault="00E7261B" w:rsidP="00B82008">
            <w:pPr>
              <w:widowControl w:val="0"/>
              <w:autoSpaceDE w:val="0"/>
              <w:autoSpaceDN w:val="0"/>
              <w:adjustRightInd w:val="0"/>
              <w:rPr>
                <w:rFonts w:cs="Arial Narrow"/>
                <w:color w:val="000000"/>
                <w:sz w:val="16"/>
                <w:szCs w:val="16"/>
              </w:rPr>
            </w:pPr>
            <w:r>
              <w:rPr>
                <w:rFonts w:cs="Arial Narrow"/>
                <w:color w:val="000000"/>
                <w:sz w:val="16"/>
                <w:szCs w:val="16"/>
              </w:rPr>
              <w:t>Specific MNH:</w:t>
            </w:r>
          </w:p>
          <w:p w14:paraId="01481040" w14:textId="44A40AC4" w:rsidR="00E7261B" w:rsidRDefault="00E7261B" w:rsidP="00B82008">
            <w:pPr>
              <w:widowControl w:val="0"/>
              <w:autoSpaceDE w:val="0"/>
              <w:autoSpaceDN w:val="0"/>
              <w:adjustRightInd w:val="0"/>
              <w:rPr>
                <w:rFonts w:cs="Arial Narrow"/>
                <w:color w:val="000000"/>
                <w:sz w:val="16"/>
                <w:szCs w:val="16"/>
              </w:rPr>
            </w:pPr>
            <w:r>
              <w:rPr>
                <w:rFonts w:cs="Arial Narrow"/>
                <w:color w:val="000000"/>
                <w:sz w:val="16"/>
                <w:szCs w:val="16"/>
              </w:rPr>
              <w:t>% of adolescent pregnancies</w:t>
            </w:r>
          </w:p>
          <w:p w14:paraId="64CA2241" w14:textId="0CDB8F28" w:rsidR="00E7261B" w:rsidRDefault="00E7261B" w:rsidP="00B82008">
            <w:pPr>
              <w:widowControl w:val="0"/>
              <w:autoSpaceDE w:val="0"/>
              <w:autoSpaceDN w:val="0"/>
              <w:adjustRightInd w:val="0"/>
              <w:rPr>
                <w:rFonts w:cs="Arial Narrow"/>
                <w:color w:val="000000"/>
                <w:sz w:val="16"/>
                <w:szCs w:val="16"/>
              </w:rPr>
            </w:pPr>
            <w:r>
              <w:rPr>
                <w:rFonts w:cs="Arial Narrow"/>
                <w:color w:val="000000"/>
                <w:sz w:val="16"/>
                <w:szCs w:val="16"/>
              </w:rPr>
              <w:t>% of adolescent maternal mortality</w:t>
            </w:r>
          </w:p>
          <w:p w14:paraId="5E0F9AF7" w14:textId="44190978" w:rsidR="00E7261B" w:rsidRDefault="00E7261B" w:rsidP="00B82008">
            <w:pPr>
              <w:widowControl w:val="0"/>
              <w:autoSpaceDE w:val="0"/>
              <w:autoSpaceDN w:val="0"/>
              <w:adjustRightInd w:val="0"/>
              <w:rPr>
                <w:rFonts w:cs="Arial Narrow"/>
                <w:color w:val="000000"/>
                <w:sz w:val="16"/>
                <w:szCs w:val="16"/>
              </w:rPr>
            </w:pPr>
            <w:r>
              <w:rPr>
                <w:rFonts w:cs="Arial Narrow"/>
                <w:color w:val="000000"/>
                <w:sz w:val="16"/>
                <w:szCs w:val="16"/>
              </w:rPr>
              <w:t>% of reported referrals for unsafe abortion</w:t>
            </w:r>
          </w:p>
          <w:p w14:paraId="35A1C082" w14:textId="0CEE6606" w:rsidR="00E7261B" w:rsidRPr="00B82008" w:rsidRDefault="00E7261B" w:rsidP="00B82008">
            <w:pPr>
              <w:widowControl w:val="0"/>
              <w:autoSpaceDE w:val="0"/>
              <w:autoSpaceDN w:val="0"/>
              <w:adjustRightInd w:val="0"/>
              <w:rPr>
                <w:rFonts w:cs="Arial Narrow"/>
                <w:color w:val="000000"/>
                <w:sz w:val="16"/>
                <w:szCs w:val="16"/>
              </w:rPr>
            </w:pPr>
          </w:p>
        </w:tc>
        <w:tc>
          <w:tcPr>
            <w:tcW w:w="2284" w:type="dxa"/>
          </w:tcPr>
          <w:p w14:paraId="2978311C" w14:textId="29EFBC61" w:rsidR="00E7261B" w:rsidRPr="00E85A24" w:rsidRDefault="00E7261B">
            <w:pPr>
              <w:rPr>
                <w:bCs/>
                <w:sz w:val="16"/>
                <w:szCs w:val="16"/>
              </w:rPr>
            </w:pPr>
            <w:r w:rsidRPr="00E85A24">
              <w:rPr>
                <w:bCs/>
                <w:sz w:val="16"/>
                <w:szCs w:val="16"/>
              </w:rPr>
              <w:t>Heading 3.3 Policy response, Page 19-24:</w:t>
            </w:r>
          </w:p>
          <w:p w14:paraId="4A549548" w14:textId="77777777" w:rsidR="00E7261B" w:rsidRDefault="00E7261B">
            <w:pPr>
              <w:rPr>
                <w:bCs/>
                <w:sz w:val="16"/>
                <w:szCs w:val="16"/>
                <w:highlight w:val="yellow"/>
              </w:rPr>
            </w:pPr>
          </w:p>
          <w:p w14:paraId="19631990" w14:textId="7DA5114B" w:rsidR="00E7261B" w:rsidRPr="005908F6" w:rsidRDefault="00E7261B">
            <w:pPr>
              <w:rPr>
                <w:bCs/>
                <w:sz w:val="16"/>
                <w:szCs w:val="16"/>
                <w:highlight w:val="yellow"/>
              </w:rPr>
            </w:pPr>
            <w:r w:rsidRPr="00C860F0">
              <w:rPr>
                <w:bCs/>
                <w:sz w:val="16"/>
                <w:szCs w:val="16"/>
              </w:rPr>
              <w:t xml:space="preserve">Specific for maternal health 3.3.2 pp 19, </w:t>
            </w:r>
            <w:r>
              <w:rPr>
                <w:bCs/>
                <w:sz w:val="16"/>
                <w:szCs w:val="16"/>
              </w:rPr>
              <w:t xml:space="preserve">3.3.4 pp 20, </w:t>
            </w:r>
          </w:p>
        </w:tc>
        <w:tc>
          <w:tcPr>
            <w:tcW w:w="1417" w:type="dxa"/>
          </w:tcPr>
          <w:p w14:paraId="4AED3F79" w14:textId="0B416C3E" w:rsidR="00E7261B" w:rsidRDefault="00E7261B">
            <w:pPr>
              <w:rPr>
                <w:sz w:val="16"/>
                <w:szCs w:val="16"/>
                <w:lang w:val="en-GB"/>
              </w:rPr>
            </w:pPr>
            <w:proofErr w:type="spellStart"/>
            <w:r>
              <w:rPr>
                <w:sz w:val="16"/>
                <w:szCs w:val="16"/>
                <w:lang w:val="en-GB"/>
              </w:rPr>
              <w:t>NDoH</w:t>
            </w:r>
            <w:proofErr w:type="spellEnd"/>
            <w:r>
              <w:rPr>
                <w:sz w:val="16"/>
                <w:szCs w:val="16"/>
                <w:lang w:val="en-GB"/>
              </w:rPr>
              <w:t xml:space="preserve"> will be de lead agency for coordination and implementation, through its Family Health Services, division of Public Health.</w:t>
            </w:r>
          </w:p>
          <w:p w14:paraId="18C51BDC" w14:textId="3F9ED20E" w:rsidR="00E7261B" w:rsidRDefault="00E7261B">
            <w:pPr>
              <w:rPr>
                <w:sz w:val="16"/>
                <w:szCs w:val="16"/>
                <w:lang w:val="en-GB"/>
              </w:rPr>
            </w:pPr>
            <w:r>
              <w:rPr>
                <w:sz w:val="16"/>
                <w:szCs w:val="16"/>
                <w:lang w:val="en-GB"/>
              </w:rPr>
              <w:t>Annex 1 pp 29-32:</w:t>
            </w:r>
          </w:p>
          <w:p w14:paraId="5CCA92F9" w14:textId="77777777" w:rsidR="00E7261B" w:rsidRDefault="00E7261B">
            <w:pPr>
              <w:rPr>
                <w:sz w:val="16"/>
                <w:szCs w:val="16"/>
                <w:lang w:val="en-GB"/>
              </w:rPr>
            </w:pPr>
          </w:p>
          <w:p w14:paraId="09D87717" w14:textId="50A00EDE" w:rsidR="00E7261B" w:rsidRPr="005908F6" w:rsidRDefault="00E7261B">
            <w:pPr>
              <w:rPr>
                <w:sz w:val="16"/>
                <w:szCs w:val="16"/>
                <w:lang w:val="en-GB"/>
              </w:rPr>
            </w:pPr>
            <w:r>
              <w:rPr>
                <w:sz w:val="16"/>
                <w:szCs w:val="16"/>
                <w:lang w:val="en-GB"/>
              </w:rPr>
              <w:t>National, provincial, provincial hospital, provincial health authority, district, local level and NGO</w:t>
            </w:r>
          </w:p>
        </w:tc>
        <w:tc>
          <w:tcPr>
            <w:tcW w:w="1262" w:type="dxa"/>
          </w:tcPr>
          <w:p w14:paraId="505D75A9" w14:textId="18C8473C" w:rsidR="00E7261B" w:rsidRPr="005908F6" w:rsidRDefault="00E7261B">
            <w:pPr>
              <w:rPr>
                <w:sz w:val="16"/>
                <w:szCs w:val="16"/>
                <w:lang w:val="en-GB"/>
              </w:rPr>
            </w:pPr>
            <w:r>
              <w:rPr>
                <w:sz w:val="16"/>
                <w:szCs w:val="16"/>
                <w:lang w:val="en-GB"/>
              </w:rPr>
              <w:t>2014-2020</w:t>
            </w:r>
          </w:p>
        </w:tc>
        <w:tc>
          <w:tcPr>
            <w:tcW w:w="1287" w:type="dxa"/>
          </w:tcPr>
          <w:p w14:paraId="6B49CEC3" w14:textId="77777777" w:rsidR="00E7261B" w:rsidRDefault="00E7261B">
            <w:pPr>
              <w:rPr>
                <w:sz w:val="16"/>
                <w:szCs w:val="16"/>
                <w:lang w:val="en-GB"/>
              </w:rPr>
            </w:pPr>
            <w:r>
              <w:rPr>
                <w:sz w:val="16"/>
                <w:szCs w:val="16"/>
                <w:lang w:val="en-GB"/>
              </w:rPr>
              <w:t xml:space="preserve">Specific adolescent indicators will be integrated into the NHIS reporting system for routine capture of data. </w:t>
            </w:r>
          </w:p>
          <w:p w14:paraId="26F5AC93" w14:textId="77777777" w:rsidR="00E7261B" w:rsidRDefault="00E7261B">
            <w:pPr>
              <w:rPr>
                <w:sz w:val="16"/>
                <w:szCs w:val="16"/>
                <w:lang w:val="en-GB"/>
              </w:rPr>
            </w:pPr>
          </w:p>
          <w:p w14:paraId="2C77B91A" w14:textId="1C4F92F5" w:rsidR="00E7261B" w:rsidRPr="0062747E" w:rsidRDefault="00E7261B">
            <w:pPr>
              <w:rPr>
                <w:sz w:val="16"/>
                <w:szCs w:val="16"/>
                <w:lang w:val="en-GB"/>
              </w:rPr>
            </w:pPr>
            <w:r>
              <w:rPr>
                <w:sz w:val="16"/>
                <w:szCs w:val="16"/>
                <w:lang w:val="en-GB"/>
              </w:rPr>
              <w:t>No specific dates for the evaluation</w:t>
            </w:r>
          </w:p>
        </w:tc>
        <w:tc>
          <w:tcPr>
            <w:tcW w:w="1265" w:type="dxa"/>
          </w:tcPr>
          <w:p w14:paraId="0804D2B8" w14:textId="45291B9A" w:rsidR="00E7261B" w:rsidRPr="005908F6" w:rsidRDefault="00E7261B">
            <w:pPr>
              <w:rPr>
                <w:sz w:val="16"/>
                <w:szCs w:val="16"/>
                <w:lang w:val="en-GB"/>
              </w:rPr>
            </w:pPr>
            <w:r>
              <w:rPr>
                <w:sz w:val="16"/>
                <w:szCs w:val="16"/>
                <w:lang w:val="en-GB"/>
              </w:rPr>
              <w:t xml:space="preserve">Estimated cost of implementation 8.6 million kina over 7 years. </w:t>
            </w:r>
          </w:p>
        </w:tc>
        <w:tc>
          <w:tcPr>
            <w:tcW w:w="1405" w:type="dxa"/>
          </w:tcPr>
          <w:p w14:paraId="3C14A021" w14:textId="762BABB1" w:rsidR="00E7261B" w:rsidRPr="005908F6" w:rsidRDefault="00E7261B" w:rsidP="00E85A24">
            <w:pPr>
              <w:rPr>
                <w:sz w:val="16"/>
                <w:szCs w:val="16"/>
                <w:lang w:val="en-GB"/>
              </w:rPr>
            </w:pPr>
            <w:r w:rsidRPr="00E85A24">
              <w:rPr>
                <w:sz w:val="16"/>
                <w:szCs w:val="16"/>
                <w:highlight w:val="yellow"/>
                <w:lang w:val="en-GB"/>
              </w:rPr>
              <w:t>No recommendations on abortion.</w:t>
            </w:r>
          </w:p>
        </w:tc>
      </w:tr>
      <w:tr w:rsidR="00E7261B" w:rsidRPr="005908F6" w14:paraId="360CF7E4" w14:textId="77777777" w:rsidTr="00DE09B1">
        <w:trPr>
          <w:trHeight w:val="800"/>
        </w:trPr>
        <w:tc>
          <w:tcPr>
            <w:tcW w:w="1085" w:type="dxa"/>
          </w:tcPr>
          <w:p w14:paraId="5B5CF471" w14:textId="6B9AB608" w:rsidR="00E7261B" w:rsidRPr="005908F6" w:rsidRDefault="00E7261B" w:rsidP="00752179">
            <w:pPr>
              <w:rPr>
                <w:sz w:val="16"/>
                <w:szCs w:val="16"/>
                <w:lang w:val="en-GB"/>
              </w:rPr>
            </w:pPr>
            <w:r>
              <w:rPr>
                <w:sz w:val="16"/>
                <w:szCs w:val="16"/>
                <w:lang w:val="en-GB"/>
              </w:rPr>
              <w:t>National Sexual and Reproductive Policy</w:t>
            </w:r>
          </w:p>
        </w:tc>
        <w:tc>
          <w:tcPr>
            <w:tcW w:w="1106" w:type="dxa"/>
          </w:tcPr>
          <w:p w14:paraId="181A8BD7" w14:textId="27402857" w:rsidR="00E7261B" w:rsidRPr="005908F6" w:rsidRDefault="00E7261B" w:rsidP="00F416D3">
            <w:pPr>
              <w:pStyle w:val="Default"/>
              <w:rPr>
                <w:rFonts w:asciiTheme="minorHAnsi" w:hAnsiTheme="minorHAnsi"/>
                <w:sz w:val="16"/>
                <w:szCs w:val="16"/>
              </w:rPr>
            </w:pPr>
            <w:proofErr w:type="spellStart"/>
            <w:r w:rsidRPr="001E6F78">
              <w:rPr>
                <w:rFonts w:asciiTheme="minorHAnsi" w:hAnsiTheme="minorHAnsi"/>
                <w:sz w:val="16"/>
                <w:szCs w:val="16"/>
              </w:rPr>
              <w:t>NDoH</w:t>
            </w:r>
            <w:proofErr w:type="spellEnd"/>
            <w:r w:rsidRPr="001E6F78">
              <w:rPr>
                <w:rFonts w:asciiTheme="minorHAnsi" w:hAnsiTheme="minorHAnsi"/>
                <w:sz w:val="16"/>
                <w:szCs w:val="16"/>
              </w:rPr>
              <w:t xml:space="preserve"> Family Health Branch</w:t>
            </w:r>
          </w:p>
        </w:tc>
        <w:tc>
          <w:tcPr>
            <w:tcW w:w="1054" w:type="dxa"/>
          </w:tcPr>
          <w:p w14:paraId="70151DC7" w14:textId="65586055" w:rsidR="00E7261B" w:rsidRDefault="00E7261B" w:rsidP="008504B1">
            <w:pPr>
              <w:rPr>
                <w:sz w:val="16"/>
                <w:szCs w:val="16"/>
              </w:rPr>
            </w:pPr>
            <w:r>
              <w:rPr>
                <w:sz w:val="16"/>
                <w:szCs w:val="16"/>
              </w:rPr>
              <w:t>National Department of Health</w:t>
            </w:r>
          </w:p>
          <w:p w14:paraId="4D736316" w14:textId="1DEE9860" w:rsidR="00E7261B" w:rsidRPr="005908F6" w:rsidRDefault="00E7261B" w:rsidP="008504B1">
            <w:pPr>
              <w:rPr>
                <w:sz w:val="16"/>
                <w:szCs w:val="16"/>
              </w:rPr>
            </w:pPr>
          </w:p>
        </w:tc>
        <w:tc>
          <w:tcPr>
            <w:tcW w:w="673" w:type="dxa"/>
          </w:tcPr>
          <w:p w14:paraId="5EAD34BB" w14:textId="1E6C227B" w:rsidR="00E7261B" w:rsidRPr="005908F6" w:rsidRDefault="00E7261B">
            <w:pPr>
              <w:rPr>
                <w:sz w:val="16"/>
                <w:szCs w:val="16"/>
                <w:lang w:val="en-GB"/>
              </w:rPr>
            </w:pPr>
            <w:r>
              <w:rPr>
                <w:sz w:val="16"/>
                <w:szCs w:val="16"/>
                <w:lang w:val="en-GB"/>
              </w:rPr>
              <w:t>2013</w:t>
            </w:r>
          </w:p>
        </w:tc>
        <w:tc>
          <w:tcPr>
            <w:tcW w:w="1112" w:type="dxa"/>
          </w:tcPr>
          <w:p w14:paraId="4B8F6107" w14:textId="77777777" w:rsidR="00E7261B" w:rsidRDefault="00E7261B" w:rsidP="00B82008">
            <w:pPr>
              <w:widowControl w:val="0"/>
              <w:autoSpaceDE w:val="0"/>
              <w:autoSpaceDN w:val="0"/>
              <w:adjustRightInd w:val="0"/>
              <w:rPr>
                <w:rFonts w:cs="Arial Narrow"/>
                <w:color w:val="000000"/>
                <w:sz w:val="16"/>
                <w:szCs w:val="16"/>
              </w:rPr>
            </w:pPr>
            <w:r w:rsidRPr="00055A19">
              <w:rPr>
                <w:rFonts w:cs="Arial Narrow"/>
                <w:color w:val="000000"/>
                <w:sz w:val="16"/>
                <w:szCs w:val="16"/>
              </w:rPr>
              <w:t>the evaluation of Sexual and Reproductive Health shall be developed by the Technical Advisory Committee in collaboration with the Department of Health Planning and Research of the National Department of Health.</w:t>
            </w:r>
          </w:p>
          <w:p w14:paraId="568A1B4A" w14:textId="77777777" w:rsidR="00E7261B" w:rsidRDefault="00E7261B" w:rsidP="00B82008">
            <w:pPr>
              <w:widowControl w:val="0"/>
              <w:autoSpaceDE w:val="0"/>
              <w:autoSpaceDN w:val="0"/>
              <w:adjustRightInd w:val="0"/>
              <w:rPr>
                <w:rFonts w:cs="Arial Narrow"/>
                <w:color w:val="000000"/>
                <w:sz w:val="16"/>
                <w:szCs w:val="16"/>
              </w:rPr>
            </w:pPr>
          </w:p>
          <w:p w14:paraId="35CCDFCC" w14:textId="0B45C63E" w:rsidR="00E7261B" w:rsidRPr="00B82008" w:rsidRDefault="00E7261B" w:rsidP="00B82008">
            <w:pPr>
              <w:widowControl w:val="0"/>
              <w:autoSpaceDE w:val="0"/>
              <w:autoSpaceDN w:val="0"/>
              <w:adjustRightInd w:val="0"/>
              <w:rPr>
                <w:rFonts w:cs="Arial Narrow"/>
                <w:color w:val="000000"/>
                <w:sz w:val="16"/>
                <w:szCs w:val="16"/>
              </w:rPr>
            </w:pPr>
            <w:r w:rsidRPr="00055A19">
              <w:rPr>
                <w:rFonts w:cs="Arial Narrow"/>
                <w:color w:val="000000"/>
                <w:sz w:val="16"/>
                <w:szCs w:val="16"/>
                <w:highlight w:val="yellow"/>
              </w:rPr>
              <w:t>NONE specify in this policy</w:t>
            </w:r>
          </w:p>
        </w:tc>
        <w:tc>
          <w:tcPr>
            <w:tcW w:w="2284" w:type="dxa"/>
          </w:tcPr>
          <w:p w14:paraId="1B5EB6A0" w14:textId="77777777" w:rsidR="00E7261B" w:rsidRDefault="00E7261B">
            <w:pPr>
              <w:rPr>
                <w:bCs/>
                <w:sz w:val="16"/>
                <w:szCs w:val="16"/>
              </w:rPr>
            </w:pPr>
            <w:r w:rsidRPr="00102D4E">
              <w:rPr>
                <w:bCs/>
                <w:sz w:val="16"/>
                <w:szCs w:val="16"/>
              </w:rPr>
              <w:t>Statement pp VI in executive summary</w:t>
            </w:r>
          </w:p>
          <w:p w14:paraId="1B90DDBC" w14:textId="77777777" w:rsidR="00E7261B" w:rsidRDefault="00E7261B">
            <w:pPr>
              <w:rPr>
                <w:bCs/>
                <w:sz w:val="16"/>
                <w:szCs w:val="16"/>
              </w:rPr>
            </w:pPr>
          </w:p>
          <w:p w14:paraId="3F9A79EC" w14:textId="77777777" w:rsidR="00E7261B" w:rsidRDefault="00E7261B">
            <w:pPr>
              <w:rPr>
                <w:bCs/>
                <w:sz w:val="16"/>
                <w:szCs w:val="16"/>
              </w:rPr>
            </w:pPr>
            <w:r>
              <w:rPr>
                <w:bCs/>
                <w:sz w:val="16"/>
                <w:szCs w:val="16"/>
              </w:rPr>
              <w:t>Heading 3.2 Policy response pp11-14</w:t>
            </w:r>
          </w:p>
          <w:p w14:paraId="64526D63" w14:textId="77777777" w:rsidR="00E7261B" w:rsidRDefault="00E7261B">
            <w:pPr>
              <w:rPr>
                <w:bCs/>
                <w:sz w:val="16"/>
                <w:szCs w:val="16"/>
              </w:rPr>
            </w:pPr>
          </w:p>
          <w:p w14:paraId="0FB2643D" w14:textId="03730C5B" w:rsidR="00E7261B" w:rsidRPr="005908F6" w:rsidRDefault="00E7261B">
            <w:pPr>
              <w:rPr>
                <w:bCs/>
                <w:sz w:val="16"/>
                <w:szCs w:val="16"/>
                <w:highlight w:val="yellow"/>
              </w:rPr>
            </w:pPr>
            <w:r w:rsidRPr="0076663F">
              <w:rPr>
                <w:bCs/>
                <w:sz w:val="16"/>
                <w:szCs w:val="16"/>
                <w:highlight w:val="yellow"/>
              </w:rPr>
              <w:t>NO policy on safe abortion</w:t>
            </w:r>
          </w:p>
        </w:tc>
        <w:tc>
          <w:tcPr>
            <w:tcW w:w="1417" w:type="dxa"/>
          </w:tcPr>
          <w:p w14:paraId="39297938" w14:textId="77777777" w:rsidR="00E7261B" w:rsidRPr="003E1DB1" w:rsidRDefault="00E7261B" w:rsidP="003E1DB1">
            <w:pPr>
              <w:rPr>
                <w:sz w:val="16"/>
                <w:szCs w:val="16"/>
                <w:lang w:val="en-GB"/>
              </w:rPr>
            </w:pPr>
            <w:r w:rsidRPr="003E1DB1">
              <w:rPr>
                <w:sz w:val="16"/>
                <w:szCs w:val="16"/>
                <w:lang w:val="en-GB"/>
              </w:rPr>
              <w:t xml:space="preserve">The Public Health Division of the </w:t>
            </w:r>
            <w:proofErr w:type="spellStart"/>
            <w:r w:rsidRPr="003E1DB1">
              <w:rPr>
                <w:sz w:val="16"/>
                <w:szCs w:val="16"/>
                <w:lang w:val="en-GB"/>
              </w:rPr>
              <w:t>DoH</w:t>
            </w:r>
            <w:proofErr w:type="spellEnd"/>
            <w:r w:rsidRPr="003E1DB1">
              <w:rPr>
                <w:sz w:val="16"/>
                <w:szCs w:val="16"/>
                <w:lang w:val="en-GB"/>
              </w:rPr>
              <w:t xml:space="preserve"> will be responsible for coordination and developing</w:t>
            </w:r>
          </w:p>
          <w:p w14:paraId="071C3BF4" w14:textId="77777777" w:rsidR="00E7261B" w:rsidRPr="003E1DB1" w:rsidRDefault="00E7261B" w:rsidP="003E1DB1">
            <w:pPr>
              <w:rPr>
                <w:sz w:val="16"/>
                <w:szCs w:val="16"/>
                <w:lang w:val="en-GB"/>
              </w:rPr>
            </w:pPr>
            <w:r w:rsidRPr="003E1DB1">
              <w:rPr>
                <w:sz w:val="16"/>
                <w:szCs w:val="16"/>
                <w:lang w:val="en-GB"/>
              </w:rPr>
              <w:t xml:space="preserve">overarching partnerships agreements between the state and other relevant </w:t>
            </w:r>
            <w:proofErr w:type="gramStart"/>
            <w:r w:rsidRPr="003E1DB1">
              <w:rPr>
                <w:sz w:val="16"/>
                <w:szCs w:val="16"/>
                <w:lang w:val="en-GB"/>
              </w:rPr>
              <w:t>partners</w:t>
            </w:r>
            <w:proofErr w:type="gramEnd"/>
            <w:r w:rsidRPr="003E1DB1">
              <w:rPr>
                <w:sz w:val="16"/>
                <w:szCs w:val="16"/>
                <w:lang w:val="en-GB"/>
              </w:rPr>
              <w:t xml:space="preserve"> in</w:t>
            </w:r>
          </w:p>
          <w:p w14:paraId="3E01D4FC" w14:textId="77777777" w:rsidR="00E7261B" w:rsidRDefault="00E7261B" w:rsidP="003E1DB1">
            <w:pPr>
              <w:rPr>
                <w:sz w:val="16"/>
                <w:szCs w:val="16"/>
                <w:lang w:val="en-GB"/>
              </w:rPr>
            </w:pPr>
            <w:r w:rsidRPr="003E1DB1">
              <w:rPr>
                <w:sz w:val="16"/>
                <w:szCs w:val="16"/>
                <w:lang w:val="en-GB"/>
              </w:rPr>
              <w:t>implementation SHR services in PNG.</w:t>
            </w:r>
          </w:p>
          <w:p w14:paraId="2B38D75D" w14:textId="77777777" w:rsidR="00E7261B" w:rsidRPr="003E1DB1" w:rsidRDefault="00E7261B" w:rsidP="003E1DB1">
            <w:pPr>
              <w:rPr>
                <w:sz w:val="16"/>
                <w:szCs w:val="16"/>
                <w:lang w:val="en-GB"/>
              </w:rPr>
            </w:pPr>
            <w:r w:rsidRPr="003E1DB1">
              <w:rPr>
                <w:sz w:val="16"/>
                <w:szCs w:val="16"/>
                <w:lang w:val="en-GB"/>
              </w:rPr>
              <w:t>Provinces and the various partners operating in specific provinces will implement this policy</w:t>
            </w:r>
          </w:p>
          <w:p w14:paraId="3EAAC2C2" w14:textId="77777777" w:rsidR="00E7261B" w:rsidRPr="003E1DB1" w:rsidRDefault="00E7261B" w:rsidP="003E1DB1">
            <w:pPr>
              <w:rPr>
                <w:sz w:val="16"/>
                <w:szCs w:val="16"/>
                <w:lang w:val="en-GB"/>
              </w:rPr>
            </w:pPr>
            <w:r w:rsidRPr="003E1DB1">
              <w:rPr>
                <w:sz w:val="16"/>
                <w:szCs w:val="16"/>
                <w:lang w:val="en-GB"/>
              </w:rPr>
              <w:t>through the Province, Provincial Health Authority and Public Hospitals Service Planning</w:t>
            </w:r>
          </w:p>
          <w:p w14:paraId="49BC2471" w14:textId="37FE5A41" w:rsidR="00E7261B" w:rsidRPr="005908F6" w:rsidRDefault="00E7261B" w:rsidP="003E1DB1">
            <w:pPr>
              <w:rPr>
                <w:sz w:val="16"/>
                <w:szCs w:val="16"/>
                <w:lang w:val="en-GB"/>
              </w:rPr>
            </w:pPr>
            <w:r w:rsidRPr="003E1DB1">
              <w:rPr>
                <w:sz w:val="16"/>
                <w:szCs w:val="16"/>
                <w:lang w:val="en-GB"/>
              </w:rPr>
              <w:t>process</w:t>
            </w:r>
          </w:p>
        </w:tc>
        <w:tc>
          <w:tcPr>
            <w:tcW w:w="1262" w:type="dxa"/>
          </w:tcPr>
          <w:p w14:paraId="51CEEA4D" w14:textId="0BB21A0A" w:rsidR="00E7261B" w:rsidRPr="005908F6" w:rsidRDefault="00E7261B">
            <w:pPr>
              <w:rPr>
                <w:sz w:val="16"/>
                <w:szCs w:val="16"/>
                <w:lang w:val="en-GB"/>
              </w:rPr>
            </w:pPr>
            <w:r>
              <w:rPr>
                <w:sz w:val="16"/>
                <w:szCs w:val="16"/>
                <w:lang w:val="en-GB"/>
              </w:rPr>
              <w:t>2013-2020</w:t>
            </w:r>
          </w:p>
        </w:tc>
        <w:tc>
          <w:tcPr>
            <w:tcW w:w="1287" w:type="dxa"/>
          </w:tcPr>
          <w:p w14:paraId="09FF715B" w14:textId="77777777" w:rsidR="00E7261B" w:rsidRPr="0062747E" w:rsidRDefault="00E7261B">
            <w:pPr>
              <w:rPr>
                <w:sz w:val="16"/>
                <w:szCs w:val="16"/>
                <w:lang w:val="en-GB"/>
              </w:rPr>
            </w:pPr>
          </w:p>
        </w:tc>
        <w:tc>
          <w:tcPr>
            <w:tcW w:w="1265" w:type="dxa"/>
          </w:tcPr>
          <w:p w14:paraId="27AC5A52" w14:textId="6014EDBC" w:rsidR="00E7261B" w:rsidRPr="005908F6" w:rsidRDefault="00E7261B">
            <w:pPr>
              <w:rPr>
                <w:sz w:val="16"/>
                <w:szCs w:val="16"/>
                <w:lang w:val="en-GB"/>
              </w:rPr>
            </w:pPr>
            <w:r w:rsidRPr="00D4124B">
              <w:rPr>
                <w:sz w:val="16"/>
                <w:szCs w:val="16"/>
                <w:lang w:val="en-GB"/>
              </w:rPr>
              <w:t>Financial implication of the SRH policy implementation is captured in the NHP 2011-2020 and in the Ministerial Task Force 2009 Report discussion on budget</w:t>
            </w:r>
          </w:p>
        </w:tc>
        <w:tc>
          <w:tcPr>
            <w:tcW w:w="1405" w:type="dxa"/>
          </w:tcPr>
          <w:p w14:paraId="14757082" w14:textId="77777777" w:rsidR="00E7261B" w:rsidRDefault="00E7261B">
            <w:pPr>
              <w:rPr>
                <w:sz w:val="16"/>
                <w:szCs w:val="16"/>
                <w:lang w:val="en-GB"/>
              </w:rPr>
            </w:pPr>
            <w:r>
              <w:rPr>
                <w:sz w:val="16"/>
                <w:szCs w:val="16"/>
                <w:lang w:val="en-GB"/>
              </w:rPr>
              <w:t>Safe Abortion: not consistent recommendation only where the law permits???</w:t>
            </w:r>
          </w:p>
          <w:p w14:paraId="1A11C05A" w14:textId="31439A18" w:rsidR="00E7261B" w:rsidRPr="005908F6" w:rsidRDefault="00E7261B">
            <w:pPr>
              <w:rPr>
                <w:sz w:val="16"/>
                <w:szCs w:val="16"/>
                <w:lang w:val="en-GB"/>
              </w:rPr>
            </w:pPr>
            <w:r>
              <w:rPr>
                <w:sz w:val="16"/>
                <w:szCs w:val="16"/>
                <w:lang w:val="en-GB"/>
              </w:rPr>
              <w:t>Highest maternal mortality highlands region</w:t>
            </w:r>
          </w:p>
        </w:tc>
      </w:tr>
      <w:tr w:rsidR="00E7261B" w:rsidRPr="005908F6" w14:paraId="312D850A" w14:textId="77777777" w:rsidTr="00DE09B1">
        <w:tc>
          <w:tcPr>
            <w:tcW w:w="1085" w:type="dxa"/>
          </w:tcPr>
          <w:p w14:paraId="23417A4B" w14:textId="24441E7D" w:rsidR="00E7261B" w:rsidRPr="005908F6" w:rsidRDefault="00E7261B" w:rsidP="00752179">
            <w:pPr>
              <w:rPr>
                <w:sz w:val="16"/>
                <w:szCs w:val="16"/>
                <w:lang w:val="en-GB"/>
              </w:rPr>
            </w:pPr>
            <w:r w:rsidRPr="002A44C1">
              <w:rPr>
                <w:sz w:val="16"/>
                <w:szCs w:val="16"/>
                <w:lang w:val="en-GB"/>
              </w:rPr>
              <w:t>Ministerial Taskforce on Maternal Health</w:t>
            </w:r>
          </w:p>
        </w:tc>
        <w:tc>
          <w:tcPr>
            <w:tcW w:w="1106" w:type="dxa"/>
          </w:tcPr>
          <w:p w14:paraId="21FD4AF7" w14:textId="43579574" w:rsidR="00E7261B" w:rsidRPr="0010446D" w:rsidRDefault="00E7261B" w:rsidP="00F416D3">
            <w:pPr>
              <w:pStyle w:val="Default"/>
              <w:rPr>
                <w:rFonts w:asciiTheme="minorHAnsi" w:hAnsiTheme="minorHAnsi"/>
                <w:sz w:val="16"/>
                <w:szCs w:val="16"/>
              </w:rPr>
            </w:pPr>
            <w:proofErr w:type="spellStart"/>
            <w:r w:rsidRPr="0010446D">
              <w:rPr>
                <w:rFonts w:asciiTheme="minorHAnsi" w:hAnsiTheme="minorHAnsi" w:cs="Times New Roman"/>
                <w:sz w:val="16"/>
                <w:szCs w:val="16"/>
              </w:rPr>
              <w:t>Dr</w:t>
            </w:r>
            <w:proofErr w:type="spellEnd"/>
            <w:r w:rsidRPr="0010446D">
              <w:rPr>
                <w:rFonts w:asciiTheme="minorHAnsi" w:hAnsiTheme="minorHAnsi" w:cs="Times New Roman"/>
                <w:sz w:val="16"/>
                <w:szCs w:val="16"/>
              </w:rPr>
              <w:t xml:space="preserve"> L. </w:t>
            </w:r>
            <w:proofErr w:type="spellStart"/>
            <w:r w:rsidRPr="0010446D">
              <w:rPr>
                <w:rFonts w:asciiTheme="minorHAnsi" w:hAnsiTheme="minorHAnsi" w:cs="Times New Roman"/>
                <w:sz w:val="16"/>
                <w:szCs w:val="16"/>
              </w:rPr>
              <w:t>Augerea</w:t>
            </w:r>
            <w:proofErr w:type="spellEnd"/>
            <w:r w:rsidRPr="0010446D">
              <w:rPr>
                <w:rFonts w:asciiTheme="minorHAnsi" w:hAnsiTheme="minorHAnsi" w:cs="Times New Roman"/>
                <w:sz w:val="16"/>
                <w:szCs w:val="16"/>
              </w:rPr>
              <w:t xml:space="preserve">, Prof. G. </w:t>
            </w:r>
            <w:proofErr w:type="spellStart"/>
            <w:r w:rsidRPr="0010446D">
              <w:rPr>
                <w:rFonts w:asciiTheme="minorHAnsi" w:hAnsiTheme="minorHAnsi" w:cs="Times New Roman"/>
                <w:sz w:val="16"/>
                <w:szCs w:val="16"/>
              </w:rPr>
              <w:t>Mola</w:t>
            </w:r>
            <w:proofErr w:type="spellEnd"/>
          </w:p>
        </w:tc>
        <w:tc>
          <w:tcPr>
            <w:tcW w:w="1054" w:type="dxa"/>
          </w:tcPr>
          <w:p w14:paraId="0172989E" w14:textId="332BC94C" w:rsidR="00E7261B" w:rsidRDefault="00E7261B" w:rsidP="00B42743">
            <w:pPr>
              <w:rPr>
                <w:sz w:val="16"/>
                <w:szCs w:val="16"/>
              </w:rPr>
            </w:pPr>
            <w:r>
              <w:rPr>
                <w:sz w:val="16"/>
                <w:szCs w:val="16"/>
              </w:rPr>
              <w:t>National Department of Health</w:t>
            </w:r>
          </w:p>
          <w:p w14:paraId="0D31B6A8" w14:textId="77777777" w:rsidR="00E7261B" w:rsidRPr="005908F6" w:rsidRDefault="00E7261B">
            <w:pPr>
              <w:rPr>
                <w:sz w:val="16"/>
                <w:szCs w:val="16"/>
              </w:rPr>
            </w:pPr>
          </w:p>
        </w:tc>
        <w:tc>
          <w:tcPr>
            <w:tcW w:w="673" w:type="dxa"/>
          </w:tcPr>
          <w:p w14:paraId="4739051A" w14:textId="245588EB" w:rsidR="00E7261B" w:rsidRPr="005908F6" w:rsidRDefault="00E7261B">
            <w:pPr>
              <w:rPr>
                <w:sz w:val="16"/>
                <w:szCs w:val="16"/>
                <w:lang w:val="en-GB"/>
              </w:rPr>
            </w:pPr>
            <w:r>
              <w:rPr>
                <w:sz w:val="16"/>
                <w:szCs w:val="16"/>
                <w:lang w:val="en-GB"/>
              </w:rPr>
              <w:t>2009</w:t>
            </w:r>
          </w:p>
        </w:tc>
        <w:tc>
          <w:tcPr>
            <w:tcW w:w="1112" w:type="dxa"/>
          </w:tcPr>
          <w:p w14:paraId="71858784" w14:textId="4176BED3" w:rsidR="00E7261B" w:rsidRPr="00B82008" w:rsidRDefault="00E7261B" w:rsidP="00B82008">
            <w:pPr>
              <w:widowControl w:val="0"/>
              <w:autoSpaceDE w:val="0"/>
              <w:autoSpaceDN w:val="0"/>
              <w:adjustRightInd w:val="0"/>
              <w:rPr>
                <w:rFonts w:cs="Arial Narrow"/>
                <w:color w:val="000000"/>
                <w:sz w:val="16"/>
                <w:szCs w:val="16"/>
              </w:rPr>
            </w:pPr>
            <w:r>
              <w:rPr>
                <w:rFonts w:cs="Arial Narrow"/>
                <w:color w:val="000000"/>
                <w:sz w:val="16"/>
                <w:szCs w:val="16"/>
              </w:rPr>
              <w:t>Maternal mortality ratio</w:t>
            </w:r>
          </w:p>
        </w:tc>
        <w:tc>
          <w:tcPr>
            <w:tcW w:w="2284" w:type="dxa"/>
          </w:tcPr>
          <w:p w14:paraId="2AACC153" w14:textId="6FF9ADB0" w:rsidR="00E7261B" w:rsidRPr="005908F6" w:rsidRDefault="00E7261B">
            <w:pPr>
              <w:rPr>
                <w:bCs/>
                <w:sz w:val="16"/>
                <w:szCs w:val="16"/>
                <w:highlight w:val="yellow"/>
              </w:rPr>
            </w:pPr>
            <w:r w:rsidRPr="00EE5887">
              <w:rPr>
                <w:bCs/>
                <w:sz w:val="16"/>
                <w:szCs w:val="16"/>
              </w:rPr>
              <w:t xml:space="preserve">Recommendations </w:t>
            </w:r>
            <w:r>
              <w:rPr>
                <w:bCs/>
                <w:sz w:val="16"/>
                <w:szCs w:val="16"/>
              </w:rPr>
              <w:t>pp 22; 23; 35; 41; 42; 43</w:t>
            </w:r>
          </w:p>
        </w:tc>
        <w:tc>
          <w:tcPr>
            <w:tcW w:w="1417" w:type="dxa"/>
          </w:tcPr>
          <w:p w14:paraId="4081560F" w14:textId="79C75AF7" w:rsidR="00E7261B" w:rsidRPr="005908F6" w:rsidRDefault="00E7261B">
            <w:pPr>
              <w:rPr>
                <w:sz w:val="16"/>
                <w:szCs w:val="16"/>
                <w:lang w:val="en-GB"/>
              </w:rPr>
            </w:pPr>
            <w:r>
              <w:rPr>
                <w:sz w:val="16"/>
                <w:szCs w:val="16"/>
                <w:lang w:val="en-GB"/>
              </w:rPr>
              <w:t>Not specify</w:t>
            </w:r>
          </w:p>
        </w:tc>
        <w:tc>
          <w:tcPr>
            <w:tcW w:w="1262" w:type="dxa"/>
          </w:tcPr>
          <w:p w14:paraId="3CCF4D2C" w14:textId="77777777" w:rsidR="00E7261B" w:rsidRPr="005908F6" w:rsidRDefault="00E7261B">
            <w:pPr>
              <w:rPr>
                <w:sz w:val="16"/>
                <w:szCs w:val="16"/>
                <w:lang w:val="en-GB"/>
              </w:rPr>
            </w:pPr>
          </w:p>
        </w:tc>
        <w:tc>
          <w:tcPr>
            <w:tcW w:w="1287" w:type="dxa"/>
          </w:tcPr>
          <w:p w14:paraId="77D07503" w14:textId="393B2F53" w:rsidR="00E7261B" w:rsidRPr="0062747E" w:rsidRDefault="00E7261B">
            <w:pPr>
              <w:rPr>
                <w:sz w:val="16"/>
                <w:szCs w:val="16"/>
                <w:lang w:val="en-GB"/>
              </w:rPr>
            </w:pPr>
            <w:r>
              <w:rPr>
                <w:sz w:val="16"/>
                <w:szCs w:val="16"/>
                <w:lang w:val="en-GB"/>
              </w:rPr>
              <w:t>Not specify</w:t>
            </w:r>
          </w:p>
        </w:tc>
        <w:tc>
          <w:tcPr>
            <w:tcW w:w="1265" w:type="dxa"/>
          </w:tcPr>
          <w:p w14:paraId="1325E0BD" w14:textId="77777777" w:rsidR="00E7261B" w:rsidRPr="005908F6" w:rsidRDefault="00E7261B">
            <w:pPr>
              <w:rPr>
                <w:sz w:val="16"/>
                <w:szCs w:val="16"/>
                <w:lang w:val="en-GB"/>
              </w:rPr>
            </w:pPr>
          </w:p>
        </w:tc>
        <w:tc>
          <w:tcPr>
            <w:tcW w:w="1405" w:type="dxa"/>
          </w:tcPr>
          <w:p w14:paraId="2F2B74D3" w14:textId="77777777" w:rsidR="00E7261B" w:rsidRPr="005908F6" w:rsidRDefault="00E7261B">
            <w:pPr>
              <w:rPr>
                <w:sz w:val="16"/>
                <w:szCs w:val="16"/>
                <w:lang w:val="en-GB"/>
              </w:rPr>
            </w:pPr>
          </w:p>
        </w:tc>
      </w:tr>
      <w:tr w:rsidR="00E7261B" w:rsidRPr="005908F6" w14:paraId="275386A2" w14:textId="77777777" w:rsidTr="00DE09B1">
        <w:tc>
          <w:tcPr>
            <w:tcW w:w="1085" w:type="dxa"/>
          </w:tcPr>
          <w:p w14:paraId="0140BC1D" w14:textId="31BD17F9" w:rsidR="00E7261B" w:rsidRPr="00512475" w:rsidRDefault="00E7261B" w:rsidP="00752179">
            <w:pPr>
              <w:rPr>
                <w:sz w:val="16"/>
                <w:szCs w:val="16"/>
                <w:lang w:val="en-GB"/>
              </w:rPr>
            </w:pPr>
            <w:r w:rsidRPr="00512475">
              <w:rPr>
                <w:sz w:val="16"/>
                <w:szCs w:val="16"/>
                <w:lang w:val="en-GB"/>
              </w:rPr>
              <w:t xml:space="preserve">2011-2020 National Health Plan </w:t>
            </w:r>
          </w:p>
          <w:p w14:paraId="623A11E4" w14:textId="4DC71BBE" w:rsidR="00E7261B" w:rsidRPr="002A44C1" w:rsidRDefault="00E7261B" w:rsidP="00752179">
            <w:pPr>
              <w:rPr>
                <w:sz w:val="16"/>
                <w:szCs w:val="16"/>
                <w:lang w:val="en-GB"/>
              </w:rPr>
            </w:pPr>
          </w:p>
        </w:tc>
        <w:tc>
          <w:tcPr>
            <w:tcW w:w="1106" w:type="dxa"/>
          </w:tcPr>
          <w:p w14:paraId="68CD521C" w14:textId="77777777" w:rsidR="00E7261B" w:rsidRPr="005908F6" w:rsidRDefault="00E7261B" w:rsidP="00F416D3">
            <w:pPr>
              <w:pStyle w:val="Default"/>
              <w:rPr>
                <w:rFonts w:asciiTheme="minorHAnsi" w:hAnsiTheme="minorHAnsi"/>
                <w:sz w:val="16"/>
                <w:szCs w:val="16"/>
              </w:rPr>
            </w:pPr>
          </w:p>
        </w:tc>
        <w:tc>
          <w:tcPr>
            <w:tcW w:w="1054" w:type="dxa"/>
          </w:tcPr>
          <w:p w14:paraId="27D3E6CC" w14:textId="739C6D90" w:rsidR="00E7261B" w:rsidRDefault="00A36BEF" w:rsidP="00B42743">
            <w:pPr>
              <w:rPr>
                <w:sz w:val="16"/>
                <w:szCs w:val="16"/>
              </w:rPr>
            </w:pPr>
            <w:r>
              <w:rPr>
                <w:sz w:val="16"/>
                <w:szCs w:val="16"/>
              </w:rPr>
              <w:t>National Department of Health</w:t>
            </w:r>
          </w:p>
        </w:tc>
        <w:tc>
          <w:tcPr>
            <w:tcW w:w="673" w:type="dxa"/>
          </w:tcPr>
          <w:p w14:paraId="0749E5CC" w14:textId="53243202" w:rsidR="00E7261B" w:rsidRDefault="00A36BEF">
            <w:pPr>
              <w:rPr>
                <w:sz w:val="16"/>
                <w:szCs w:val="16"/>
                <w:lang w:val="en-GB"/>
              </w:rPr>
            </w:pPr>
            <w:r>
              <w:rPr>
                <w:sz w:val="16"/>
                <w:szCs w:val="16"/>
                <w:lang w:val="en-GB"/>
              </w:rPr>
              <w:t>2010</w:t>
            </w:r>
          </w:p>
        </w:tc>
        <w:tc>
          <w:tcPr>
            <w:tcW w:w="1112" w:type="dxa"/>
          </w:tcPr>
          <w:p w14:paraId="77C49665" w14:textId="77777777" w:rsidR="006D2542" w:rsidRDefault="006D2542" w:rsidP="006D2542">
            <w:pPr>
              <w:rPr>
                <w:sz w:val="16"/>
                <w:szCs w:val="16"/>
                <w:lang w:val="en-GB"/>
              </w:rPr>
            </w:pPr>
            <w:r>
              <w:rPr>
                <w:sz w:val="16"/>
                <w:szCs w:val="16"/>
                <w:lang w:val="en-GB"/>
              </w:rPr>
              <w:t xml:space="preserve">Impact indicators (pp53): </w:t>
            </w:r>
          </w:p>
          <w:p w14:paraId="5F2B906A" w14:textId="77777777" w:rsidR="006D2542" w:rsidRDefault="006D2542" w:rsidP="006D2542">
            <w:pPr>
              <w:widowControl w:val="0"/>
              <w:autoSpaceDE w:val="0"/>
              <w:autoSpaceDN w:val="0"/>
              <w:adjustRightInd w:val="0"/>
              <w:rPr>
                <w:rFonts w:cs="Arial Narrow"/>
                <w:color w:val="000000"/>
                <w:sz w:val="16"/>
                <w:szCs w:val="16"/>
              </w:rPr>
            </w:pPr>
            <w:r>
              <w:rPr>
                <w:sz w:val="16"/>
                <w:szCs w:val="16"/>
                <w:lang w:val="en-GB"/>
              </w:rPr>
              <w:t xml:space="preserve">MMR, NMR every 5 years, contraceptive prevalence </w:t>
            </w:r>
            <w:proofErr w:type="gramStart"/>
            <w:r>
              <w:rPr>
                <w:sz w:val="16"/>
                <w:szCs w:val="16"/>
                <w:lang w:val="en-GB"/>
              </w:rPr>
              <w:t>rate</w:t>
            </w:r>
            <w:proofErr w:type="gramEnd"/>
            <w:r>
              <w:rPr>
                <w:sz w:val="16"/>
                <w:szCs w:val="16"/>
                <w:lang w:val="en-GB"/>
              </w:rPr>
              <w:t xml:space="preserve"> every 5 years</w:t>
            </w:r>
            <w:r>
              <w:rPr>
                <w:rFonts w:cs="Arial Narrow"/>
                <w:color w:val="000000"/>
                <w:sz w:val="16"/>
                <w:szCs w:val="16"/>
              </w:rPr>
              <w:t xml:space="preserve"> </w:t>
            </w:r>
          </w:p>
          <w:p w14:paraId="55052B67" w14:textId="77777777" w:rsidR="002D4320" w:rsidRDefault="002D4320" w:rsidP="002D4320">
            <w:pPr>
              <w:widowControl w:val="0"/>
              <w:autoSpaceDE w:val="0"/>
              <w:autoSpaceDN w:val="0"/>
              <w:adjustRightInd w:val="0"/>
              <w:rPr>
                <w:rFonts w:cs="Arial Narrow"/>
                <w:color w:val="000000"/>
                <w:sz w:val="16"/>
                <w:szCs w:val="16"/>
              </w:rPr>
            </w:pPr>
          </w:p>
          <w:p w14:paraId="7C0DB7B9" w14:textId="1BE0565E" w:rsidR="0076148D" w:rsidRDefault="0076148D" w:rsidP="002D4320">
            <w:pPr>
              <w:widowControl w:val="0"/>
              <w:autoSpaceDE w:val="0"/>
              <w:autoSpaceDN w:val="0"/>
              <w:adjustRightInd w:val="0"/>
              <w:rPr>
                <w:rFonts w:cs="Arial Narrow"/>
                <w:color w:val="000000"/>
                <w:sz w:val="16"/>
                <w:szCs w:val="16"/>
              </w:rPr>
            </w:pPr>
            <w:r>
              <w:rPr>
                <w:rFonts w:cs="Arial Narrow"/>
                <w:color w:val="000000"/>
                <w:sz w:val="16"/>
                <w:szCs w:val="16"/>
              </w:rPr>
              <w:t>Specific indicators Annex 2: pp 62-63. Indicator number:</w:t>
            </w:r>
          </w:p>
          <w:p w14:paraId="518777A2" w14:textId="77777777" w:rsidR="0076148D" w:rsidRDefault="0076148D" w:rsidP="002D4320">
            <w:pPr>
              <w:widowControl w:val="0"/>
              <w:autoSpaceDE w:val="0"/>
              <w:autoSpaceDN w:val="0"/>
              <w:adjustRightInd w:val="0"/>
              <w:rPr>
                <w:rFonts w:cs="Arial Narrow"/>
                <w:color w:val="000000"/>
                <w:sz w:val="16"/>
                <w:szCs w:val="16"/>
              </w:rPr>
            </w:pPr>
            <w:r>
              <w:rPr>
                <w:rFonts w:cs="Arial Narrow"/>
                <w:color w:val="000000"/>
                <w:sz w:val="16"/>
                <w:szCs w:val="16"/>
              </w:rPr>
              <w:t>12. Neonatal health</w:t>
            </w:r>
          </w:p>
          <w:p w14:paraId="390173BD" w14:textId="0D01DD7D" w:rsidR="0076148D" w:rsidRPr="00B82008" w:rsidRDefault="0076148D" w:rsidP="002D4320">
            <w:pPr>
              <w:widowControl w:val="0"/>
              <w:autoSpaceDE w:val="0"/>
              <w:autoSpaceDN w:val="0"/>
              <w:adjustRightInd w:val="0"/>
              <w:rPr>
                <w:rFonts w:cs="Arial Narrow"/>
                <w:color w:val="000000"/>
                <w:sz w:val="16"/>
                <w:szCs w:val="16"/>
              </w:rPr>
            </w:pPr>
            <w:r>
              <w:rPr>
                <w:rFonts w:cs="Arial Narrow"/>
                <w:color w:val="000000"/>
                <w:sz w:val="16"/>
                <w:szCs w:val="16"/>
              </w:rPr>
              <w:t>13-16b: maternal health</w:t>
            </w:r>
          </w:p>
        </w:tc>
        <w:tc>
          <w:tcPr>
            <w:tcW w:w="2284" w:type="dxa"/>
          </w:tcPr>
          <w:p w14:paraId="422E77CF" w14:textId="77777777" w:rsidR="001173D1" w:rsidRPr="001173D1" w:rsidRDefault="001173D1">
            <w:pPr>
              <w:rPr>
                <w:bCs/>
                <w:sz w:val="16"/>
                <w:szCs w:val="16"/>
              </w:rPr>
            </w:pPr>
            <w:r w:rsidRPr="001173D1">
              <w:rPr>
                <w:bCs/>
                <w:sz w:val="16"/>
                <w:szCs w:val="16"/>
              </w:rPr>
              <w:t>NMH recommendations:</w:t>
            </w:r>
          </w:p>
          <w:p w14:paraId="6392088A" w14:textId="77777777" w:rsidR="00E7261B" w:rsidRDefault="001173D1" w:rsidP="001173D1">
            <w:pPr>
              <w:rPr>
                <w:bCs/>
                <w:sz w:val="16"/>
                <w:szCs w:val="16"/>
              </w:rPr>
            </w:pPr>
            <w:r>
              <w:rPr>
                <w:bCs/>
                <w:sz w:val="16"/>
                <w:szCs w:val="16"/>
              </w:rPr>
              <w:t xml:space="preserve">Key result area 4: Improve child survival, objectives </w:t>
            </w:r>
            <w:r w:rsidRPr="001173D1">
              <w:rPr>
                <w:bCs/>
                <w:sz w:val="16"/>
                <w:szCs w:val="16"/>
              </w:rPr>
              <w:t>4.3, 4.4 pp 25</w:t>
            </w:r>
          </w:p>
          <w:p w14:paraId="07C1EF15" w14:textId="745E8EB1" w:rsidR="001173D1" w:rsidRPr="005908F6" w:rsidRDefault="001173D1" w:rsidP="001173D1">
            <w:pPr>
              <w:rPr>
                <w:bCs/>
                <w:sz w:val="16"/>
                <w:szCs w:val="16"/>
                <w:highlight w:val="yellow"/>
              </w:rPr>
            </w:pPr>
            <w:r>
              <w:rPr>
                <w:bCs/>
                <w:sz w:val="16"/>
                <w:szCs w:val="16"/>
              </w:rPr>
              <w:t>Key result area 5: improve maternal health, objectives 5.1-5.4 pp 26</w:t>
            </w:r>
          </w:p>
        </w:tc>
        <w:tc>
          <w:tcPr>
            <w:tcW w:w="1417" w:type="dxa"/>
          </w:tcPr>
          <w:p w14:paraId="35FDAECE" w14:textId="63E08D20" w:rsidR="00E7261B" w:rsidRPr="005908F6" w:rsidRDefault="008D349C">
            <w:pPr>
              <w:rPr>
                <w:sz w:val="16"/>
                <w:szCs w:val="16"/>
                <w:lang w:val="en-GB"/>
              </w:rPr>
            </w:pPr>
            <w:r>
              <w:rPr>
                <w:sz w:val="16"/>
                <w:szCs w:val="16"/>
                <w:lang w:val="en-GB"/>
              </w:rPr>
              <w:t>Chapter 5: implementing the plan pp 33-37</w:t>
            </w:r>
          </w:p>
        </w:tc>
        <w:tc>
          <w:tcPr>
            <w:tcW w:w="1262" w:type="dxa"/>
          </w:tcPr>
          <w:p w14:paraId="6027D4D3" w14:textId="2E7BD5EC" w:rsidR="00E7261B" w:rsidRPr="005908F6" w:rsidRDefault="004F68E7">
            <w:pPr>
              <w:rPr>
                <w:sz w:val="16"/>
                <w:szCs w:val="16"/>
                <w:lang w:val="en-GB"/>
              </w:rPr>
            </w:pPr>
            <w:r>
              <w:rPr>
                <w:sz w:val="16"/>
                <w:szCs w:val="16"/>
                <w:lang w:val="en-GB"/>
              </w:rPr>
              <w:t>2011-205</w:t>
            </w:r>
            <w:r w:rsidR="00512475">
              <w:rPr>
                <w:sz w:val="16"/>
                <w:szCs w:val="16"/>
                <w:lang w:val="en-GB"/>
              </w:rPr>
              <w:t>0</w:t>
            </w:r>
          </w:p>
        </w:tc>
        <w:tc>
          <w:tcPr>
            <w:tcW w:w="1287" w:type="dxa"/>
          </w:tcPr>
          <w:p w14:paraId="731C8122" w14:textId="62BEE6FB" w:rsidR="00E7261B" w:rsidRPr="0062747E" w:rsidRDefault="008D349C">
            <w:pPr>
              <w:rPr>
                <w:sz w:val="16"/>
                <w:szCs w:val="16"/>
                <w:lang w:val="en-GB"/>
              </w:rPr>
            </w:pPr>
            <w:r>
              <w:rPr>
                <w:sz w:val="16"/>
                <w:szCs w:val="16"/>
                <w:lang w:val="en-GB"/>
              </w:rPr>
              <w:t xml:space="preserve">Review schedule </w:t>
            </w:r>
            <w:r w:rsidR="006D2542">
              <w:rPr>
                <w:sz w:val="16"/>
                <w:szCs w:val="16"/>
                <w:lang w:val="en-GB"/>
              </w:rPr>
              <w:t>figure 30</w:t>
            </w:r>
            <w:r>
              <w:rPr>
                <w:sz w:val="16"/>
                <w:szCs w:val="16"/>
                <w:lang w:val="en-GB"/>
              </w:rPr>
              <w:t>.</w:t>
            </w:r>
            <w:r w:rsidR="006D2542">
              <w:rPr>
                <w:sz w:val="16"/>
                <w:szCs w:val="16"/>
                <w:lang w:val="en-GB"/>
              </w:rPr>
              <w:t xml:space="preserve"> pp 53</w:t>
            </w:r>
          </w:p>
        </w:tc>
        <w:tc>
          <w:tcPr>
            <w:tcW w:w="1265" w:type="dxa"/>
          </w:tcPr>
          <w:p w14:paraId="2792F76E" w14:textId="557A35E1" w:rsidR="00E7261B" w:rsidRPr="005908F6" w:rsidRDefault="00F42701">
            <w:pPr>
              <w:rPr>
                <w:sz w:val="16"/>
                <w:szCs w:val="16"/>
                <w:lang w:val="en-GB"/>
              </w:rPr>
            </w:pPr>
            <w:r>
              <w:rPr>
                <w:sz w:val="16"/>
                <w:szCs w:val="16"/>
                <w:lang w:val="en-GB"/>
              </w:rPr>
              <w:t>Chapter 7, cost of the plan pp 45-</w:t>
            </w:r>
            <w:r w:rsidR="00081EAC">
              <w:rPr>
                <w:sz w:val="16"/>
                <w:szCs w:val="16"/>
                <w:lang w:val="en-GB"/>
              </w:rPr>
              <w:t>50</w:t>
            </w:r>
          </w:p>
        </w:tc>
        <w:tc>
          <w:tcPr>
            <w:tcW w:w="1405" w:type="dxa"/>
          </w:tcPr>
          <w:p w14:paraId="4C2AF706" w14:textId="4CFBD9FD" w:rsidR="00E7261B" w:rsidRPr="005908F6" w:rsidRDefault="00F311B3">
            <w:pPr>
              <w:rPr>
                <w:sz w:val="16"/>
                <w:szCs w:val="16"/>
                <w:lang w:val="en-GB"/>
              </w:rPr>
            </w:pPr>
            <w:r>
              <w:rPr>
                <w:sz w:val="16"/>
                <w:szCs w:val="16"/>
                <w:lang w:val="en-GB"/>
              </w:rPr>
              <w:t>No mention on safe abortion</w:t>
            </w:r>
          </w:p>
        </w:tc>
      </w:tr>
      <w:tr w:rsidR="00E7261B" w:rsidRPr="005908F6" w14:paraId="41A949BB" w14:textId="77777777" w:rsidTr="00DE09B1">
        <w:tc>
          <w:tcPr>
            <w:tcW w:w="1085" w:type="dxa"/>
          </w:tcPr>
          <w:p w14:paraId="206C5123" w14:textId="70447BC8" w:rsidR="00E7261B" w:rsidRPr="002A44C1" w:rsidRDefault="00DE09B1" w:rsidP="00752179">
            <w:pPr>
              <w:rPr>
                <w:sz w:val="16"/>
                <w:szCs w:val="16"/>
                <w:lang w:val="en-GB"/>
              </w:rPr>
            </w:pPr>
            <w:r>
              <w:rPr>
                <w:sz w:val="16"/>
                <w:szCs w:val="16"/>
                <w:lang w:val="en-GB"/>
              </w:rPr>
              <w:t>Integrated management of childhood illnesses policy 2014</w:t>
            </w:r>
          </w:p>
        </w:tc>
        <w:tc>
          <w:tcPr>
            <w:tcW w:w="1106" w:type="dxa"/>
          </w:tcPr>
          <w:p w14:paraId="76717A76" w14:textId="77777777" w:rsidR="00E7261B" w:rsidRPr="005908F6" w:rsidRDefault="00E7261B" w:rsidP="00F416D3">
            <w:pPr>
              <w:pStyle w:val="Default"/>
              <w:rPr>
                <w:rFonts w:asciiTheme="minorHAnsi" w:hAnsiTheme="minorHAnsi"/>
                <w:sz w:val="16"/>
                <w:szCs w:val="16"/>
              </w:rPr>
            </w:pPr>
          </w:p>
        </w:tc>
        <w:tc>
          <w:tcPr>
            <w:tcW w:w="1054" w:type="dxa"/>
          </w:tcPr>
          <w:p w14:paraId="7A73FD65" w14:textId="77777777" w:rsidR="00E7261B" w:rsidRDefault="00E7261B" w:rsidP="00B42743">
            <w:pPr>
              <w:rPr>
                <w:sz w:val="16"/>
                <w:szCs w:val="16"/>
              </w:rPr>
            </w:pPr>
          </w:p>
        </w:tc>
        <w:tc>
          <w:tcPr>
            <w:tcW w:w="673" w:type="dxa"/>
          </w:tcPr>
          <w:p w14:paraId="4ECD07B2" w14:textId="77777777" w:rsidR="00E7261B" w:rsidRDefault="00E7261B">
            <w:pPr>
              <w:rPr>
                <w:sz w:val="16"/>
                <w:szCs w:val="16"/>
                <w:lang w:val="en-GB"/>
              </w:rPr>
            </w:pPr>
          </w:p>
        </w:tc>
        <w:tc>
          <w:tcPr>
            <w:tcW w:w="1112" w:type="dxa"/>
          </w:tcPr>
          <w:p w14:paraId="2AAD292F" w14:textId="77777777" w:rsidR="00E7261B" w:rsidRPr="00B82008" w:rsidRDefault="00E7261B" w:rsidP="00B82008">
            <w:pPr>
              <w:widowControl w:val="0"/>
              <w:autoSpaceDE w:val="0"/>
              <w:autoSpaceDN w:val="0"/>
              <w:adjustRightInd w:val="0"/>
              <w:rPr>
                <w:rFonts w:cs="Arial Narrow"/>
                <w:color w:val="000000"/>
                <w:sz w:val="16"/>
                <w:szCs w:val="16"/>
              </w:rPr>
            </w:pPr>
          </w:p>
        </w:tc>
        <w:tc>
          <w:tcPr>
            <w:tcW w:w="2284" w:type="dxa"/>
          </w:tcPr>
          <w:p w14:paraId="5011AAAB" w14:textId="77777777" w:rsidR="00E7261B" w:rsidRPr="005908F6" w:rsidRDefault="00E7261B">
            <w:pPr>
              <w:rPr>
                <w:bCs/>
                <w:sz w:val="16"/>
                <w:szCs w:val="16"/>
                <w:highlight w:val="yellow"/>
              </w:rPr>
            </w:pPr>
          </w:p>
        </w:tc>
        <w:tc>
          <w:tcPr>
            <w:tcW w:w="1417" w:type="dxa"/>
          </w:tcPr>
          <w:p w14:paraId="50CD3D9C" w14:textId="1E96C460" w:rsidR="00E7261B" w:rsidRPr="005908F6" w:rsidRDefault="00570E15">
            <w:pPr>
              <w:rPr>
                <w:sz w:val="16"/>
                <w:szCs w:val="16"/>
                <w:lang w:val="en-GB"/>
              </w:rPr>
            </w:pPr>
            <w:r>
              <w:rPr>
                <w:sz w:val="16"/>
                <w:szCs w:val="16"/>
                <w:lang w:val="en-GB"/>
              </w:rPr>
              <w:t xml:space="preserve">Annex 1 pp </w:t>
            </w:r>
            <w:bookmarkStart w:id="0" w:name="_GoBack"/>
            <w:bookmarkEnd w:id="0"/>
            <w:r>
              <w:rPr>
                <w:sz w:val="16"/>
                <w:szCs w:val="16"/>
                <w:lang w:val="en-GB"/>
              </w:rPr>
              <w:t>22-23</w:t>
            </w:r>
          </w:p>
        </w:tc>
        <w:tc>
          <w:tcPr>
            <w:tcW w:w="1262" w:type="dxa"/>
          </w:tcPr>
          <w:p w14:paraId="6CC15B31" w14:textId="4C0589EB" w:rsidR="00E7261B" w:rsidRPr="005908F6" w:rsidRDefault="00570E15">
            <w:pPr>
              <w:rPr>
                <w:sz w:val="16"/>
                <w:szCs w:val="16"/>
                <w:lang w:val="en-GB"/>
              </w:rPr>
            </w:pPr>
            <w:r>
              <w:rPr>
                <w:sz w:val="16"/>
                <w:szCs w:val="16"/>
                <w:lang w:val="en-GB"/>
              </w:rPr>
              <w:t>Annex 2 pp 24. Annual evaluation</w:t>
            </w:r>
          </w:p>
        </w:tc>
        <w:tc>
          <w:tcPr>
            <w:tcW w:w="1287" w:type="dxa"/>
          </w:tcPr>
          <w:p w14:paraId="50D4589E" w14:textId="77777777" w:rsidR="00E7261B" w:rsidRPr="0062747E" w:rsidRDefault="00E7261B">
            <w:pPr>
              <w:rPr>
                <w:sz w:val="16"/>
                <w:szCs w:val="16"/>
                <w:lang w:val="en-GB"/>
              </w:rPr>
            </w:pPr>
          </w:p>
        </w:tc>
        <w:tc>
          <w:tcPr>
            <w:tcW w:w="1265" w:type="dxa"/>
          </w:tcPr>
          <w:p w14:paraId="7D587BF0" w14:textId="77777777" w:rsidR="00E7261B" w:rsidRPr="005908F6" w:rsidRDefault="00E7261B">
            <w:pPr>
              <w:rPr>
                <w:sz w:val="16"/>
                <w:szCs w:val="16"/>
                <w:lang w:val="en-GB"/>
              </w:rPr>
            </w:pPr>
          </w:p>
        </w:tc>
        <w:tc>
          <w:tcPr>
            <w:tcW w:w="1405" w:type="dxa"/>
          </w:tcPr>
          <w:p w14:paraId="46979E86" w14:textId="77777777" w:rsidR="00E7261B" w:rsidRPr="005908F6" w:rsidRDefault="00E7261B">
            <w:pPr>
              <w:rPr>
                <w:sz w:val="16"/>
                <w:szCs w:val="16"/>
                <w:lang w:val="en-GB"/>
              </w:rPr>
            </w:pPr>
          </w:p>
        </w:tc>
      </w:tr>
      <w:tr w:rsidR="00DE09B1" w:rsidRPr="005908F6" w14:paraId="0E711B65" w14:textId="77777777" w:rsidTr="00DE09B1">
        <w:tc>
          <w:tcPr>
            <w:tcW w:w="1085" w:type="dxa"/>
          </w:tcPr>
          <w:p w14:paraId="747CDAB7" w14:textId="36401A88" w:rsidR="00DE09B1" w:rsidRPr="005908F6" w:rsidRDefault="00DE09B1">
            <w:pPr>
              <w:rPr>
                <w:sz w:val="16"/>
                <w:szCs w:val="16"/>
                <w:lang w:val="en-GB"/>
              </w:rPr>
            </w:pPr>
            <w:r w:rsidRPr="005908F6">
              <w:rPr>
                <w:sz w:val="16"/>
                <w:szCs w:val="16"/>
                <w:lang w:val="en-GB"/>
              </w:rPr>
              <w:t>Newborn Health Policy</w:t>
            </w:r>
          </w:p>
        </w:tc>
        <w:tc>
          <w:tcPr>
            <w:tcW w:w="1106" w:type="dxa"/>
          </w:tcPr>
          <w:p w14:paraId="1C5DD6DC" w14:textId="5446951E" w:rsidR="00DE09B1" w:rsidRPr="005908F6" w:rsidRDefault="00DE09B1">
            <w:pPr>
              <w:rPr>
                <w:sz w:val="16"/>
                <w:szCs w:val="16"/>
                <w:lang w:val="en-GB"/>
              </w:rPr>
            </w:pPr>
            <w:r w:rsidRPr="005908F6">
              <w:rPr>
                <w:sz w:val="16"/>
                <w:szCs w:val="16"/>
                <w:lang w:val="en-GB"/>
              </w:rPr>
              <w:t>Ministry of Health</w:t>
            </w:r>
          </w:p>
        </w:tc>
        <w:tc>
          <w:tcPr>
            <w:tcW w:w="1054" w:type="dxa"/>
          </w:tcPr>
          <w:p w14:paraId="0FEF4DA8" w14:textId="39CD98BF" w:rsidR="00DE09B1" w:rsidRPr="005908F6" w:rsidRDefault="00DE09B1">
            <w:pPr>
              <w:rPr>
                <w:sz w:val="16"/>
                <w:szCs w:val="16"/>
                <w:lang w:val="en-GB"/>
              </w:rPr>
            </w:pPr>
            <w:r>
              <w:rPr>
                <w:sz w:val="16"/>
                <w:szCs w:val="16"/>
                <w:lang w:val="en-GB"/>
              </w:rPr>
              <w:t>National department of health</w:t>
            </w:r>
          </w:p>
        </w:tc>
        <w:tc>
          <w:tcPr>
            <w:tcW w:w="673" w:type="dxa"/>
          </w:tcPr>
          <w:p w14:paraId="02AD1662" w14:textId="6693F3D0" w:rsidR="00DE09B1" w:rsidRPr="005908F6" w:rsidRDefault="00DE09B1">
            <w:pPr>
              <w:rPr>
                <w:sz w:val="16"/>
                <w:szCs w:val="16"/>
                <w:lang w:val="en-GB"/>
              </w:rPr>
            </w:pPr>
            <w:r w:rsidRPr="005908F6">
              <w:rPr>
                <w:sz w:val="16"/>
                <w:szCs w:val="16"/>
                <w:lang w:val="en-GB"/>
              </w:rPr>
              <w:t>2014</w:t>
            </w:r>
          </w:p>
        </w:tc>
        <w:tc>
          <w:tcPr>
            <w:tcW w:w="1112" w:type="dxa"/>
          </w:tcPr>
          <w:p w14:paraId="6A6E1D82" w14:textId="77777777" w:rsidR="00DE09B1" w:rsidRDefault="00DE09B1" w:rsidP="00C01F28">
            <w:pPr>
              <w:widowControl w:val="0"/>
              <w:autoSpaceDE w:val="0"/>
              <w:autoSpaceDN w:val="0"/>
              <w:adjustRightInd w:val="0"/>
              <w:rPr>
                <w:sz w:val="16"/>
                <w:szCs w:val="16"/>
              </w:rPr>
            </w:pPr>
            <w:r>
              <w:rPr>
                <w:sz w:val="16"/>
                <w:szCs w:val="16"/>
              </w:rPr>
              <w:t>N</w:t>
            </w:r>
            <w:r w:rsidRPr="00B82008">
              <w:rPr>
                <w:sz w:val="16"/>
                <w:szCs w:val="16"/>
              </w:rPr>
              <w:t xml:space="preserve">ewborn mortality </w:t>
            </w:r>
          </w:p>
          <w:p w14:paraId="251627F6" w14:textId="247BF58C" w:rsidR="00DE09B1" w:rsidRPr="00B82008" w:rsidRDefault="00DE09B1" w:rsidP="00C01F28">
            <w:pPr>
              <w:widowControl w:val="0"/>
              <w:autoSpaceDE w:val="0"/>
              <w:autoSpaceDN w:val="0"/>
              <w:adjustRightInd w:val="0"/>
              <w:rPr>
                <w:sz w:val="16"/>
                <w:szCs w:val="16"/>
              </w:rPr>
            </w:pPr>
            <w:r>
              <w:rPr>
                <w:sz w:val="16"/>
                <w:szCs w:val="16"/>
              </w:rPr>
              <w:t xml:space="preserve">It </w:t>
            </w:r>
            <w:r w:rsidRPr="00B82008">
              <w:rPr>
                <w:sz w:val="16"/>
                <w:szCs w:val="16"/>
              </w:rPr>
              <w:t>will be assessed b</w:t>
            </w:r>
            <w:r>
              <w:rPr>
                <w:sz w:val="16"/>
                <w:szCs w:val="16"/>
              </w:rPr>
              <w:t xml:space="preserve">y DHS </w:t>
            </w:r>
            <w:r w:rsidRPr="00B82008">
              <w:rPr>
                <w:sz w:val="16"/>
                <w:szCs w:val="16"/>
              </w:rPr>
              <w:t xml:space="preserve">conducted every 5 years and by analysis of reports and data on newborn deaths and case fatality rates from health facilities </w:t>
            </w:r>
          </w:p>
          <w:p w14:paraId="1EFCA4A2" w14:textId="77777777" w:rsidR="00DE09B1" w:rsidRDefault="00DE09B1">
            <w:pPr>
              <w:rPr>
                <w:sz w:val="16"/>
                <w:szCs w:val="16"/>
                <w:lang w:val="en-GB"/>
              </w:rPr>
            </w:pPr>
          </w:p>
          <w:p w14:paraId="7FFAB608" w14:textId="5D448E8D" w:rsidR="00DE09B1" w:rsidRPr="005908F6" w:rsidRDefault="00DE09B1">
            <w:pPr>
              <w:rPr>
                <w:sz w:val="16"/>
                <w:szCs w:val="16"/>
                <w:lang w:val="en-GB"/>
              </w:rPr>
            </w:pPr>
            <w:r>
              <w:rPr>
                <w:sz w:val="16"/>
                <w:szCs w:val="16"/>
                <w:lang w:val="en-GB"/>
              </w:rPr>
              <w:t>Mentioned a table of specific indicators for each strategy but is not visualised in the document (p37)</w:t>
            </w:r>
          </w:p>
        </w:tc>
        <w:tc>
          <w:tcPr>
            <w:tcW w:w="2284" w:type="dxa"/>
          </w:tcPr>
          <w:p w14:paraId="6A82D72F" w14:textId="1886C841" w:rsidR="00DE09B1" w:rsidRPr="005908F6" w:rsidRDefault="00DE09B1" w:rsidP="003E1DB1">
            <w:pPr>
              <w:widowControl w:val="0"/>
              <w:autoSpaceDE w:val="0"/>
              <w:autoSpaceDN w:val="0"/>
              <w:adjustRightInd w:val="0"/>
              <w:rPr>
                <w:sz w:val="16"/>
                <w:szCs w:val="16"/>
                <w:lang w:val="en-GB"/>
              </w:rPr>
            </w:pPr>
            <w:r>
              <w:rPr>
                <w:sz w:val="16"/>
                <w:szCs w:val="16"/>
              </w:rPr>
              <w:t xml:space="preserve">Heading 3.2 analysis of issues and policies strategies pp 12-31 </w:t>
            </w:r>
          </w:p>
        </w:tc>
        <w:tc>
          <w:tcPr>
            <w:tcW w:w="1417" w:type="dxa"/>
          </w:tcPr>
          <w:p w14:paraId="37AFAAC8" w14:textId="77777777" w:rsidR="00DE09B1" w:rsidRDefault="00DE09B1">
            <w:pPr>
              <w:rPr>
                <w:sz w:val="16"/>
                <w:szCs w:val="16"/>
                <w:lang w:val="en-GB"/>
              </w:rPr>
            </w:pPr>
            <w:r w:rsidRPr="006C7E21">
              <w:rPr>
                <w:sz w:val="16"/>
                <w:szCs w:val="16"/>
                <w:lang w:val="en-GB"/>
              </w:rPr>
              <w:t>all health professionals at all levels of the health system from the community</w:t>
            </w:r>
            <w:r>
              <w:rPr>
                <w:sz w:val="16"/>
                <w:szCs w:val="16"/>
                <w:lang w:val="en-GB"/>
              </w:rPr>
              <w:t xml:space="preserve"> </w:t>
            </w:r>
            <w:r w:rsidRPr="006C7E21">
              <w:rPr>
                <w:sz w:val="16"/>
                <w:szCs w:val="16"/>
                <w:lang w:val="en-GB"/>
              </w:rPr>
              <w:t>or primary health care level up to referral institutions such as provincial,</w:t>
            </w:r>
            <w:r>
              <w:rPr>
                <w:sz w:val="16"/>
                <w:szCs w:val="16"/>
                <w:lang w:val="en-GB"/>
              </w:rPr>
              <w:t xml:space="preserve"> regional or national referral hospitals. </w:t>
            </w:r>
          </w:p>
          <w:p w14:paraId="69379731" w14:textId="77777777" w:rsidR="00DE09B1" w:rsidRDefault="00DE09B1">
            <w:pPr>
              <w:rPr>
                <w:sz w:val="16"/>
                <w:szCs w:val="16"/>
                <w:lang w:val="en-GB"/>
              </w:rPr>
            </w:pPr>
          </w:p>
          <w:p w14:paraId="55B819BF" w14:textId="77777777" w:rsidR="00DE09B1" w:rsidRDefault="00DE09B1">
            <w:pPr>
              <w:rPr>
                <w:sz w:val="16"/>
                <w:szCs w:val="16"/>
                <w:lang w:val="en-GB"/>
              </w:rPr>
            </w:pPr>
            <w:r w:rsidRPr="006427C4">
              <w:rPr>
                <w:sz w:val="16"/>
                <w:szCs w:val="16"/>
                <w:lang w:val="en-GB"/>
              </w:rPr>
              <w:t>This Policy will be in use at all levels of health system in PNG including government and non-government health services as well as faith-based organizations, private sector, development partners and other stakeholders involved in provision of neonatal health services</w:t>
            </w:r>
            <w:r>
              <w:rPr>
                <w:sz w:val="16"/>
                <w:szCs w:val="16"/>
                <w:lang w:val="en-GB"/>
              </w:rPr>
              <w:t>.</w:t>
            </w:r>
          </w:p>
          <w:p w14:paraId="12C09E90" w14:textId="77777777" w:rsidR="00DE09B1" w:rsidRDefault="00DE09B1">
            <w:pPr>
              <w:rPr>
                <w:sz w:val="16"/>
                <w:szCs w:val="16"/>
                <w:lang w:val="en-GB"/>
              </w:rPr>
            </w:pPr>
          </w:p>
          <w:p w14:paraId="388605E9" w14:textId="6635C72E" w:rsidR="00DE09B1" w:rsidRPr="005908F6" w:rsidRDefault="00DE09B1">
            <w:pPr>
              <w:rPr>
                <w:sz w:val="16"/>
                <w:szCs w:val="16"/>
                <w:lang w:val="en-GB"/>
              </w:rPr>
            </w:pPr>
            <w:r>
              <w:rPr>
                <w:sz w:val="16"/>
                <w:szCs w:val="16"/>
                <w:lang w:val="en-GB"/>
              </w:rPr>
              <w:t>Annex one give detail of the implementation actors, but it does not specific of who is responsible on the national and provincial level.</w:t>
            </w:r>
          </w:p>
        </w:tc>
        <w:tc>
          <w:tcPr>
            <w:tcW w:w="1262" w:type="dxa"/>
          </w:tcPr>
          <w:p w14:paraId="10DA0E9E" w14:textId="56C12BF3" w:rsidR="00DE09B1" w:rsidRDefault="00DE09B1">
            <w:pPr>
              <w:rPr>
                <w:sz w:val="16"/>
                <w:szCs w:val="16"/>
                <w:lang w:val="en-GB"/>
              </w:rPr>
            </w:pPr>
            <w:r>
              <w:rPr>
                <w:sz w:val="16"/>
                <w:szCs w:val="16"/>
                <w:lang w:val="en-GB"/>
              </w:rPr>
              <w:t xml:space="preserve">5 years implementing plan. </w:t>
            </w:r>
          </w:p>
          <w:p w14:paraId="089D7B56" w14:textId="4BBFFE77" w:rsidR="00DE09B1" w:rsidRPr="005908F6" w:rsidRDefault="00DE09B1">
            <w:pPr>
              <w:rPr>
                <w:sz w:val="16"/>
                <w:szCs w:val="16"/>
                <w:lang w:val="en-GB"/>
              </w:rPr>
            </w:pPr>
            <w:r>
              <w:rPr>
                <w:sz w:val="16"/>
                <w:szCs w:val="16"/>
                <w:lang w:val="en-GB"/>
              </w:rPr>
              <w:t>Not specify from which year to which year</w:t>
            </w:r>
          </w:p>
        </w:tc>
        <w:tc>
          <w:tcPr>
            <w:tcW w:w="1287" w:type="dxa"/>
          </w:tcPr>
          <w:p w14:paraId="5F46C322" w14:textId="1259670C" w:rsidR="00DE09B1" w:rsidRPr="005908F6" w:rsidRDefault="00DE09B1">
            <w:pPr>
              <w:rPr>
                <w:sz w:val="16"/>
                <w:szCs w:val="16"/>
                <w:lang w:val="en-GB"/>
              </w:rPr>
            </w:pPr>
            <w:r w:rsidRPr="00D642F2">
              <w:rPr>
                <w:sz w:val="16"/>
                <w:szCs w:val="16"/>
                <w:lang w:val="en-GB"/>
              </w:rPr>
              <w:t>The implementation of activities will be measured by process indicators such as inputs and output indicators. Input indicators will measure utilization of resources required for implementation of activities under each strategy. Output indicators will measure direct results of implemented activities.</w:t>
            </w:r>
          </w:p>
        </w:tc>
        <w:tc>
          <w:tcPr>
            <w:tcW w:w="1265" w:type="dxa"/>
          </w:tcPr>
          <w:p w14:paraId="4C819520" w14:textId="37A20FD9" w:rsidR="00DE09B1" w:rsidRPr="005908F6" w:rsidRDefault="00DE09B1">
            <w:pPr>
              <w:rPr>
                <w:sz w:val="16"/>
                <w:szCs w:val="16"/>
                <w:lang w:val="en-GB"/>
              </w:rPr>
            </w:pPr>
          </w:p>
        </w:tc>
        <w:tc>
          <w:tcPr>
            <w:tcW w:w="1405" w:type="dxa"/>
          </w:tcPr>
          <w:p w14:paraId="2ACD11F0" w14:textId="77777777" w:rsidR="00DE09B1" w:rsidRDefault="00DE09B1">
            <w:pPr>
              <w:rPr>
                <w:sz w:val="16"/>
                <w:szCs w:val="16"/>
                <w:lang w:val="en-GB"/>
              </w:rPr>
            </w:pPr>
            <w:r>
              <w:rPr>
                <w:sz w:val="16"/>
                <w:szCs w:val="16"/>
                <w:lang w:val="en-GB"/>
              </w:rPr>
              <w:t>No specific indictors for each recommendations</w:t>
            </w:r>
          </w:p>
          <w:p w14:paraId="1835F197" w14:textId="77777777" w:rsidR="00DE09B1" w:rsidRDefault="00DE09B1">
            <w:pPr>
              <w:rPr>
                <w:sz w:val="16"/>
                <w:szCs w:val="16"/>
                <w:lang w:val="en-GB"/>
              </w:rPr>
            </w:pPr>
          </w:p>
          <w:p w14:paraId="6881F9AE" w14:textId="77777777" w:rsidR="00DE09B1" w:rsidRDefault="00DE09B1">
            <w:pPr>
              <w:rPr>
                <w:sz w:val="16"/>
                <w:szCs w:val="16"/>
                <w:lang w:val="en-GB"/>
              </w:rPr>
            </w:pPr>
          </w:p>
          <w:p w14:paraId="1C9154DB" w14:textId="5D548185" w:rsidR="00DE09B1" w:rsidRPr="005908F6" w:rsidRDefault="00DE09B1">
            <w:pPr>
              <w:rPr>
                <w:sz w:val="16"/>
                <w:szCs w:val="16"/>
                <w:lang w:val="en-GB"/>
              </w:rPr>
            </w:pPr>
            <w:r>
              <w:rPr>
                <w:sz w:val="16"/>
                <w:szCs w:val="16"/>
                <w:lang w:val="en-GB"/>
              </w:rPr>
              <w:t>No specific mention on who is implementing the recommendations</w:t>
            </w:r>
          </w:p>
        </w:tc>
      </w:tr>
    </w:tbl>
    <w:p w14:paraId="2434B042" w14:textId="1F920CCB" w:rsidR="00403118" w:rsidRPr="00403118" w:rsidRDefault="00403118">
      <w:pPr>
        <w:rPr>
          <w:lang w:val="en-GB"/>
        </w:rPr>
      </w:pPr>
    </w:p>
    <w:sectPr w:rsidR="00403118" w:rsidRPr="00403118" w:rsidSect="009F6C0E">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Narrow">
    <w:altName w:val="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02750"/>
    <w:multiLevelType w:val="hybridMultilevel"/>
    <w:tmpl w:val="D03E9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B6F64"/>
    <w:multiLevelType w:val="hybridMultilevel"/>
    <w:tmpl w:val="CD003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B84BCC"/>
    <w:multiLevelType w:val="hybridMultilevel"/>
    <w:tmpl w:val="4A9A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118"/>
    <w:rsid w:val="00022574"/>
    <w:rsid w:val="00055A19"/>
    <w:rsid w:val="00081EAC"/>
    <w:rsid w:val="000901DE"/>
    <w:rsid w:val="000E763D"/>
    <w:rsid w:val="00102D4E"/>
    <w:rsid w:val="0010446D"/>
    <w:rsid w:val="00106A1E"/>
    <w:rsid w:val="001173D1"/>
    <w:rsid w:val="00156FE1"/>
    <w:rsid w:val="00160CC3"/>
    <w:rsid w:val="00186AE2"/>
    <w:rsid w:val="001917CF"/>
    <w:rsid w:val="001967AC"/>
    <w:rsid w:val="00197095"/>
    <w:rsid w:val="001A5EA6"/>
    <w:rsid w:val="001C0C69"/>
    <w:rsid w:val="001D4989"/>
    <w:rsid w:val="001E6F78"/>
    <w:rsid w:val="002156E4"/>
    <w:rsid w:val="0022621C"/>
    <w:rsid w:val="00241182"/>
    <w:rsid w:val="002A44C1"/>
    <w:rsid w:val="002D4320"/>
    <w:rsid w:val="002E5BCD"/>
    <w:rsid w:val="002E710F"/>
    <w:rsid w:val="002F00D8"/>
    <w:rsid w:val="0034064C"/>
    <w:rsid w:val="0034228F"/>
    <w:rsid w:val="003802DB"/>
    <w:rsid w:val="003A6A52"/>
    <w:rsid w:val="003C0D52"/>
    <w:rsid w:val="003E1DB1"/>
    <w:rsid w:val="00403118"/>
    <w:rsid w:val="00412246"/>
    <w:rsid w:val="00423FF8"/>
    <w:rsid w:val="004A3C5F"/>
    <w:rsid w:val="004A4B24"/>
    <w:rsid w:val="004C42BD"/>
    <w:rsid w:val="004D2C78"/>
    <w:rsid w:val="004E3CBB"/>
    <w:rsid w:val="004F3BB2"/>
    <w:rsid w:val="004F40D8"/>
    <w:rsid w:val="004F50E3"/>
    <w:rsid w:val="004F68E7"/>
    <w:rsid w:val="00512475"/>
    <w:rsid w:val="00517537"/>
    <w:rsid w:val="00554E73"/>
    <w:rsid w:val="005560F9"/>
    <w:rsid w:val="00570E15"/>
    <w:rsid w:val="005754FE"/>
    <w:rsid w:val="0057554C"/>
    <w:rsid w:val="00584CF5"/>
    <w:rsid w:val="005908F6"/>
    <w:rsid w:val="005A5F96"/>
    <w:rsid w:val="005B29FA"/>
    <w:rsid w:val="005F0CFD"/>
    <w:rsid w:val="005F2A7D"/>
    <w:rsid w:val="0062747E"/>
    <w:rsid w:val="006427C4"/>
    <w:rsid w:val="0064474A"/>
    <w:rsid w:val="00651A60"/>
    <w:rsid w:val="006603CC"/>
    <w:rsid w:val="006672AB"/>
    <w:rsid w:val="006A73DD"/>
    <w:rsid w:val="006C7E21"/>
    <w:rsid w:val="006D2542"/>
    <w:rsid w:val="00705A93"/>
    <w:rsid w:val="00715DEB"/>
    <w:rsid w:val="00752179"/>
    <w:rsid w:val="0076148D"/>
    <w:rsid w:val="007642BF"/>
    <w:rsid w:val="0076663F"/>
    <w:rsid w:val="007811CB"/>
    <w:rsid w:val="007909A1"/>
    <w:rsid w:val="007A3BB0"/>
    <w:rsid w:val="007F747E"/>
    <w:rsid w:val="008504B1"/>
    <w:rsid w:val="00862FAE"/>
    <w:rsid w:val="008A4983"/>
    <w:rsid w:val="008D349C"/>
    <w:rsid w:val="008E27CC"/>
    <w:rsid w:val="008E72C3"/>
    <w:rsid w:val="008F0286"/>
    <w:rsid w:val="009127BC"/>
    <w:rsid w:val="009300DC"/>
    <w:rsid w:val="00940054"/>
    <w:rsid w:val="009D32E8"/>
    <w:rsid w:val="009D7AF1"/>
    <w:rsid w:val="009E5E0C"/>
    <w:rsid w:val="009F6C0E"/>
    <w:rsid w:val="00A26EA4"/>
    <w:rsid w:val="00A36BEF"/>
    <w:rsid w:val="00A51B72"/>
    <w:rsid w:val="00A55585"/>
    <w:rsid w:val="00A6348F"/>
    <w:rsid w:val="00A7627A"/>
    <w:rsid w:val="00A83FA3"/>
    <w:rsid w:val="00AC7768"/>
    <w:rsid w:val="00B42743"/>
    <w:rsid w:val="00B66C39"/>
    <w:rsid w:val="00B67078"/>
    <w:rsid w:val="00B70594"/>
    <w:rsid w:val="00B82008"/>
    <w:rsid w:val="00BC50B1"/>
    <w:rsid w:val="00BC6028"/>
    <w:rsid w:val="00C01F28"/>
    <w:rsid w:val="00C139D3"/>
    <w:rsid w:val="00C21927"/>
    <w:rsid w:val="00C860F0"/>
    <w:rsid w:val="00CB2543"/>
    <w:rsid w:val="00CB7995"/>
    <w:rsid w:val="00CC793B"/>
    <w:rsid w:val="00D128A5"/>
    <w:rsid w:val="00D4124B"/>
    <w:rsid w:val="00D502E3"/>
    <w:rsid w:val="00D642F2"/>
    <w:rsid w:val="00D70441"/>
    <w:rsid w:val="00DE09B1"/>
    <w:rsid w:val="00DE6E3C"/>
    <w:rsid w:val="00DF0EA7"/>
    <w:rsid w:val="00E06017"/>
    <w:rsid w:val="00E064CA"/>
    <w:rsid w:val="00E12F86"/>
    <w:rsid w:val="00E343C1"/>
    <w:rsid w:val="00E46270"/>
    <w:rsid w:val="00E7261B"/>
    <w:rsid w:val="00E85A24"/>
    <w:rsid w:val="00EC74DA"/>
    <w:rsid w:val="00ED0F57"/>
    <w:rsid w:val="00EE242C"/>
    <w:rsid w:val="00EE5887"/>
    <w:rsid w:val="00EF46D5"/>
    <w:rsid w:val="00EF76A2"/>
    <w:rsid w:val="00F311B3"/>
    <w:rsid w:val="00F416D3"/>
    <w:rsid w:val="00F42701"/>
    <w:rsid w:val="00FA2275"/>
    <w:rsid w:val="00FB14BC"/>
    <w:rsid w:val="00FB395B"/>
    <w:rsid w:val="00FE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DF6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31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416D3"/>
    <w:pPr>
      <w:widowControl w:val="0"/>
      <w:autoSpaceDE w:val="0"/>
      <w:autoSpaceDN w:val="0"/>
      <w:adjustRightInd w:val="0"/>
    </w:pPr>
    <w:rPr>
      <w:rFonts w:ascii="Tahoma" w:hAnsi="Tahoma" w:cs="Tahoma"/>
      <w:color w:val="000000"/>
    </w:rPr>
  </w:style>
  <w:style w:type="paragraph" w:styleId="ListParagraph">
    <w:name w:val="List Paragraph"/>
    <w:basedOn w:val="Normal"/>
    <w:uiPriority w:val="34"/>
    <w:qFormat/>
    <w:rsid w:val="00A55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5</Pages>
  <Words>1029</Words>
  <Characters>5871</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janet</dc:creator>
  <cp:keywords/>
  <dc:description/>
  <cp:lastModifiedBy>sophie janet</cp:lastModifiedBy>
  <cp:revision>8</cp:revision>
  <dcterms:created xsi:type="dcterms:W3CDTF">2018-04-23T12:09:00Z</dcterms:created>
  <dcterms:modified xsi:type="dcterms:W3CDTF">2018-05-29T22:15:00Z</dcterms:modified>
</cp:coreProperties>
</file>