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6C6" w:rsidRDefault="00A72152">
      <w:pPr>
        <w:pStyle w:val="Ttulo1"/>
      </w:pPr>
      <w:r>
        <w:t>Índice de Evitación por Inseguridad (IEI): construcción y resultados</w:t>
      </w:r>
    </w:p>
    <w:p w:rsidR="009F26C6" w:rsidRDefault="00A72152">
      <w:r>
        <w:t xml:space="preserve">Oct 1, 2026 · </w:t>
      </w:r>
      <w:bookmarkStart w:id="0" w:name="_GoBack"/>
      <w:bookmarkEnd w:id="0"/>
    </w:p>
    <w:p w:rsidR="009F26C6" w:rsidRDefault="00A72152">
      <w:pPr>
        <w:pStyle w:val="Ttulo2"/>
      </w:pPr>
      <w:r>
        <w:t>Resumen ejecutivo</w:t>
      </w:r>
    </w:p>
    <w:p w:rsidR="009F26C6" w:rsidRDefault="00A72152">
      <w:r>
        <w:t>El Índice de Evitación por Inseguridad (IEI) bajó de 62,4 a 54,0 puntos entre 2023-2024 y 2025-2026 (−8,4 puntos, p &lt; 0,001), pero la evitación sigue siendo casi general: el 85,1% de las personas redujo al menos una actividad por inseguridad en 2025-2026.</w:t>
      </w:r>
    </w:p>
    <w:p w:rsidR="009F26C6" w:rsidRDefault="00A72152">
      <w:r>
        <w:t>El IEI mide qué proporción de sus actividades cotidianas una persona redujo por inseguridad, en una escala de 0 a 100. Se construye con los seis ítems del módulo de cambios de hábitos de la Encuesta de Victimización y Percepción de Inseguridad (EVPI): sali</w:t>
      </w:r>
      <w:r>
        <w:t>r de noche, visitar espacios recreativos, dejar salir solos a los hijos menores, visitar lugares turísticos, asistir a eventos y caminar por el barrio.</w:t>
      </w:r>
    </w:p>
    <w:p w:rsidR="009F26C6" w:rsidRDefault="00A72152">
      <w:pPr>
        <w:pStyle w:val="Prrafodelista"/>
        <w:numPr>
          <w:ilvl w:val="0"/>
          <w:numId w:val="2"/>
        </w:numPr>
      </w:pPr>
      <w:r>
        <w:rPr>
          <w:b/>
        </w:rPr>
        <w:t>Es un índice válido y estable entre olas.</w:t>
      </w:r>
      <w:r>
        <w:t xml:space="preserve"> Los seis ítems miden una sola dimensión (primer autovalor 3,75</w:t>
      </w:r>
      <w:r>
        <w:t>; segundo 0,71), con α ordinal de 0,88 y estructura factorial prácticamente idéntica en ambas olas (congruencia de Tucker 0,998).</w:t>
      </w:r>
    </w:p>
    <w:p w:rsidR="009F26C6" w:rsidRDefault="00A72152">
      <w:pPr>
        <w:pStyle w:val="Prrafodelista"/>
        <w:numPr>
          <w:ilvl w:val="0"/>
          <w:numId w:val="2"/>
        </w:numPr>
      </w:pPr>
      <w:r>
        <w:rPr>
          <w:b/>
        </w:rPr>
        <w:t>La caída es real, pero un ítem la amplifica.</w:t>
      </w:r>
      <w:r>
        <w:t xml:space="preserve"> Caminar por el barrio (CH_6) cae más que el resto para un mismo nivel de evitació</w:t>
      </w:r>
      <w:r>
        <w:t>n y coincide con un cambio en la proporción de "no aplica" (16% → 2%). Sin ese ítem, la caída es de 5,9 puntos.</w:t>
      </w:r>
    </w:p>
    <w:p w:rsidR="009F26C6" w:rsidRDefault="00A72152">
      <w:pPr>
        <w:pStyle w:val="Prrafodelista"/>
        <w:numPr>
          <w:ilvl w:val="0"/>
          <w:numId w:val="2"/>
        </w:numPr>
      </w:pPr>
      <w:r>
        <w:rPr>
          <w:b/>
        </w:rPr>
        <w:t>No se explica por cambios en la muestra.</w:t>
      </w:r>
      <w:r>
        <w:t xml:space="preserve"> La descomposición Oaxaca-Blinder atribuye a la composición solo −0,3 de los −8,4 puntos.</w:t>
      </w:r>
    </w:p>
    <w:p w:rsidR="009F26C6" w:rsidRDefault="00A72152">
      <w:pPr>
        <w:pStyle w:val="Prrafodelista"/>
        <w:numPr>
          <w:ilvl w:val="0"/>
          <w:numId w:val="2"/>
        </w:numPr>
      </w:pPr>
      <w:r>
        <w:rPr>
          <w:b/>
        </w:rPr>
        <w:t>La caída se co</w:t>
      </w:r>
      <w:r>
        <w:rPr>
          <w:b/>
        </w:rPr>
        <w:t>ncentra en contextos menos expuestos.</w:t>
      </w:r>
      <w:r>
        <w:t xml:space="preserve"> Baja 10,6 puntos entre quienes no fueron víctimas y 2,9 (no significativo) entre las víctimas; 11,4 en barrios con 0-2 problemas y 3,4 (no significativo) en barrios con 6-9.</w:t>
      </w:r>
    </w:p>
    <w:p w:rsidR="009F26C6" w:rsidRDefault="00A72152">
      <w:pPr>
        <w:pStyle w:val="Prrafodelista"/>
        <w:numPr>
          <w:ilvl w:val="0"/>
          <w:numId w:val="2"/>
        </w:numPr>
      </w:pPr>
      <w:r>
        <w:rPr>
          <w:b/>
        </w:rPr>
        <w:t>La percepción pesa más que la victimización.</w:t>
      </w:r>
      <w:r>
        <w:t xml:space="preserve"> Sentirse inseguro en el barrio suma 14,2 puntos al índice y creer que la delincuencia aumentó, 12,4; haber sido víctima no aumenta la evitación una vez controlada la percepción.</w:t>
      </w:r>
    </w:p>
    <w:p w:rsidR="009F26C6" w:rsidRDefault="00A72152">
      <w:pPr>
        <w:pStyle w:val="Prrafodelista"/>
        <w:numPr>
          <w:ilvl w:val="0"/>
          <w:numId w:val="2"/>
        </w:numPr>
      </w:pPr>
      <w:r>
        <w:rPr>
          <w:b/>
        </w:rPr>
        <w:t>Los determinantes cambiaron entre olas.</w:t>
      </w:r>
      <w:r>
        <w:t xml:space="preserve"> En 2025-2026 pesan más el desorden de</w:t>
      </w:r>
      <w:r>
        <w:t>l barrio y ser mujer, y deja de importar no conocer a la Policía (χ</w:t>
      </w:r>
      <w:proofErr w:type="gramStart"/>
      <w:r>
        <w:t>²(</w:t>
      </w:r>
      <w:proofErr w:type="gramEnd"/>
      <w:r>
        <w:t>32) = 96,8, p &lt; 0,001).</w:t>
      </w:r>
    </w:p>
    <w:p w:rsidR="009F26C6" w:rsidRDefault="00A72152">
      <w:pPr>
        <w:pStyle w:val="Ttulo2"/>
      </w:pPr>
      <w:r>
        <w:t>Fuente de datos y población</w:t>
      </w:r>
    </w:p>
    <w:p w:rsidR="009F26C6" w:rsidRDefault="00A72152">
      <w:r>
        <w:t>El índice se calcula para 8.005 de las 9.121 personas encuestadas en las dos olas de la EVPI del Observatorio Metropolitano de Segurida</w:t>
      </w:r>
      <w:r>
        <w:t xml:space="preserve">d Ciudadana y Gestión de Riesgos (archivo </w:t>
      </w:r>
      <w:r>
        <w:rPr>
          <w:rStyle w:val="CodeChar"/>
        </w:rPr>
        <w:t>EVPI_2024_2026_VF_1.xlsx</w:t>
      </w:r>
      <w:r>
        <w:t>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9F26C6">
        <w:trPr>
          <w:tblHeader/>
        </w:trPr>
        <w:tc>
          <w:tcPr>
            <w:tcW w:w="2340" w:type="dxa"/>
            <w:shd w:val="clear" w:color="auto" w:fill="F2F2F2"/>
          </w:tcPr>
          <w:p w:rsidR="009F26C6" w:rsidRDefault="00A72152">
            <w:r>
              <w:t>Ola</w:t>
            </w:r>
          </w:p>
        </w:tc>
        <w:tc>
          <w:tcPr>
            <w:tcW w:w="2340" w:type="dxa"/>
            <w:shd w:val="clear" w:color="auto" w:fill="F2F2F2"/>
          </w:tcPr>
          <w:p w:rsidR="009F26C6" w:rsidRDefault="00A72152">
            <w:r>
              <w:t>Encuestas</w:t>
            </w:r>
          </w:p>
        </w:tc>
        <w:tc>
          <w:tcPr>
            <w:tcW w:w="2340" w:type="dxa"/>
            <w:shd w:val="clear" w:color="auto" w:fill="F2F2F2"/>
          </w:tcPr>
          <w:p w:rsidR="009F26C6" w:rsidRDefault="00A72152">
            <w:r>
              <w:t>Con índice</w:t>
            </w:r>
          </w:p>
        </w:tc>
        <w:tc>
          <w:tcPr>
            <w:tcW w:w="2340" w:type="dxa"/>
            <w:shd w:val="clear" w:color="auto" w:fill="F2F2F2"/>
          </w:tcPr>
          <w:p w:rsidR="009F26C6" w:rsidRDefault="00A72152">
            <w:r>
              <w:t>Ítems aplicables (promedio)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2023-2024</w:t>
            </w:r>
          </w:p>
        </w:tc>
        <w:tc>
          <w:tcPr>
            <w:tcW w:w="2340" w:type="dxa"/>
          </w:tcPr>
          <w:p w:rsidR="009F26C6" w:rsidRDefault="00A72152">
            <w:r>
              <w:t>4.545</w:t>
            </w:r>
          </w:p>
        </w:tc>
        <w:tc>
          <w:tcPr>
            <w:tcW w:w="2340" w:type="dxa"/>
          </w:tcPr>
          <w:p w:rsidR="009F26C6" w:rsidRDefault="00A72152">
            <w:r>
              <w:t>3.822</w:t>
            </w:r>
          </w:p>
        </w:tc>
        <w:tc>
          <w:tcPr>
            <w:tcW w:w="2340" w:type="dxa"/>
          </w:tcPr>
          <w:p w:rsidR="009F26C6" w:rsidRDefault="00A72152">
            <w:r>
              <w:t>4,3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2025-2026</w:t>
            </w:r>
          </w:p>
        </w:tc>
        <w:tc>
          <w:tcPr>
            <w:tcW w:w="2340" w:type="dxa"/>
          </w:tcPr>
          <w:p w:rsidR="009F26C6" w:rsidRDefault="00A72152">
            <w:r>
              <w:t>4.576</w:t>
            </w:r>
          </w:p>
        </w:tc>
        <w:tc>
          <w:tcPr>
            <w:tcW w:w="2340" w:type="dxa"/>
          </w:tcPr>
          <w:p w:rsidR="009F26C6" w:rsidRDefault="00A72152">
            <w:r>
              <w:t>4.183</w:t>
            </w:r>
          </w:p>
        </w:tc>
        <w:tc>
          <w:tcPr>
            <w:tcW w:w="2340" w:type="dxa"/>
          </w:tcPr>
          <w:p w:rsidR="009F26C6" w:rsidRDefault="00A72152">
            <w:r>
              <w:t>4,8</w:t>
            </w:r>
          </w:p>
        </w:tc>
      </w:tr>
    </w:tbl>
    <w:p w:rsidR="009F26C6" w:rsidRDefault="00A72152">
      <w:r>
        <w:t xml:space="preserve">Todas las estimaciones usan el factor de expansión </w:t>
      </w:r>
      <w:r>
        <w:rPr>
          <w:rStyle w:val="CodeChar"/>
        </w:rPr>
        <w:t>peso_az_estrato</w:t>
      </w:r>
      <w:r>
        <w:t xml:space="preserve">, normalizado a media 1. No se corrige por conglomerados ni estratos del diseño muestral en la especificación principal; la sección de </w:t>
      </w:r>
      <w:r>
        <w:lastRenderedPageBreak/>
        <w:t>robustez repite las pruebas clave con errores agrupados por sector censal. La comparación territorial usa las 10 administ</w:t>
      </w:r>
      <w:r>
        <w:t>raciones zonales del Distrito Metropolitano de Quito (DMQ).</w:t>
      </w:r>
    </w:p>
    <w:p w:rsidR="009F26C6" w:rsidRDefault="00A72152">
      <w:pPr>
        <w:pStyle w:val="Ttulo2"/>
      </w:pPr>
      <w:r>
        <w:t>Construcción del índice</w:t>
      </w:r>
    </w:p>
    <w:p w:rsidR="009F26C6" w:rsidRDefault="00A72152">
      <w:r>
        <w:t>El IEI es el porcentaje de las actividades que aplican a la persona que esta redujo por inseguridad. Va de 0 (no redujo ninguna) a 100 (redujo todas).</w:t>
      </w:r>
    </w:p>
    <w:p w:rsidR="009F26C6" w:rsidRDefault="00A72152">
      <w:pPr>
        <w:pStyle w:val="Ttulo3"/>
      </w:pPr>
      <w:r>
        <w:t>Ítems</w:t>
      </w:r>
    </w:p>
    <w:p w:rsidR="009F26C6" w:rsidRDefault="00A72152">
      <w:r>
        <w:t>El módulo pregu</w:t>
      </w:r>
      <w:r>
        <w:t>nta si, a causa de la inseguridad, cambió la frecuencia con la que realiza seis actividades. Las respuestas posibles son aumentó, se mantuvo, disminuyó, Ns/Nc y no aplica.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9F26C6">
        <w:trPr>
          <w:tblHeader/>
        </w:trPr>
        <w:tc>
          <w:tcPr>
            <w:tcW w:w="4680" w:type="dxa"/>
            <w:shd w:val="clear" w:color="auto" w:fill="F2F2F2"/>
          </w:tcPr>
          <w:p w:rsidR="009F26C6" w:rsidRDefault="00A72152">
            <w:r>
              <w:t>Código</w:t>
            </w:r>
          </w:p>
        </w:tc>
        <w:tc>
          <w:tcPr>
            <w:tcW w:w="4680" w:type="dxa"/>
            <w:shd w:val="clear" w:color="auto" w:fill="F2F2F2"/>
          </w:tcPr>
          <w:p w:rsidR="009F26C6" w:rsidRDefault="00A72152">
            <w:r>
              <w:t>Actividad</w:t>
            </w:r>
          </w:p>
        </w:tc>
      </w:tr>
      <w:tr w:rsidR="009F26C6">
        <w:tc>
          <w:tcPr>
            <w:tcW w:w="4680" w:type="dxa"/>
          </w:tcPr>
          <w:p w:rsidR="009F26C6" w:rsidRDefault="00A72152">
            <w:r>
              <w:t>CH_1</w:t>
            </w:r>
          </w:p>
        </w:tc>
        <w:tc>
          <w:tcPr>
            <w:tcW w:w="4680" w:type="dxa"/>
          </w:tcPr>
          <w:p w:rsidR="009F26C6" w:rsidRDefault="00A72152">
            <w:r>
              <w:t>Salir de noche</w:t>
            </w:r>
          </w:p>
        </w:tc>
      </w:tr>
      <w:tr w:rsidR="009F26C6">
        <w:tc>
          <w:tcPr>
            <w:tcW w:w="4680" w:type="dxa"/>
          </w:tcPr>
          <w:p w:rsidR="009F26C6" w:rsidRDefault="00A72152">
            <w:r>
              <w:t>CH_2</w:t>
            </w:r>
          </w:p>
        </w:tc>
        <w:tc>
          <w:tcPr>
            <w:tcW w:w="4680" w:type="dxa"/>
          </w:tcPr>
          <w:p w:rsidR="009F26C6" w:rsidRDefault="00A72152">
            <w:r>
              <w:t>Visitar espacios recreativos públicos (canchas, parques, plazas)</w:t>
            </w:r>
          </w:p>
        </w:tc>
      </w:tr>
      <w:tr w:rsidR="009F26C6">
        <w:tc>
          <w:tcPr>
            <w:tcW w:w="4680" w:type="dxa"/>
          </w:tcPr>
          <w:p w:rsidR="009F26C6" w:rsidRDefault="00A72152">
            <w:r>
              <w:t>CH_3</w:t>
            </w:r>
          </w:p>
        </w:tc>
        <w:tc>
          <w:tcPr>
            <w:tcW w:w="4680" w:type="dxa"/>
          </w:tcPr>
          <w:p w:rsidR="009F26C6" w:rsidRDefault="00A72152">
            <w:r>
              <w:t>Permitir que los hijos menores salgan solos a canchas, parques y plazas</w:t>
            </w:r>
          </w:p>
        </w:tc>
      </w:tr>
      <w:tr w:rsidR="009F26C6">
        <w:tc>
          <w:tcPr>
            <w:tcW w:w="4680" w:type="dxa"/>
          </w:tcPr>
          <w:p w:rsidR="009F26C6" w:rsidRDefault="00A72152">
            <w:r>
              <w:t>CH_4</w:t>
            </w:r>
          </w:p>
        </w:tc>
        <w:tc>
          <w:tcPr>
            <w:tcW w:w="4680" w:type="dxa"/>
          </w:tcPr>
          <w:p w:rsidR="009F26C6" w:rsidRDefault="00A72152">
            <w:r>
              <w:t>Visitar lugares turísticos</w:t>
            </w:r>
          </w:p>
        </w:tc>
      </w:tr>
      <w:tr w:rsidR="009F26C6">
        <w:tc>
          <w:tcPr>
            <w:tcW w:w="4680" w:type="dxa"/>
          </w:tcPr>
          <w:p w:rsidR="009F26C6" w:rsidRDefault="00A72152">
            <w:r>
              <w:t>CH_5</w:t>
            </w:r>
          </w:p>
        </w:tc>
        <w:tc>
          <w:tcPr>
            <w:tcW w:w="4680" w:type="dxa"/>
          </w:tcPr>
          <w:p w:rsidR="009F26C6" w:rsidRDefault="00A72152">
            <w:r>
              <w:t>Asistir a eventos culturales y deportivos</w:t>
            </w:r>
          </w:p>
        </w:tc>
      </w:tr>
      <w:tr w:rsidR="009F26C6">
        <w:tc>
          <w:tcPr>
            <w:tcW w:w="4680" w:type="dxa"/>
          </w:tcPr>
          <w:p w:rsidR="009F26C6" w:rsidRDefault="00A72152">
            <w:r>
              <w:t>CH_6</w:t>
            </w:r>
          </w:p>
        </w:tc>
        <w:tc>
          <w:tcPr>
            <w:tcW w:w="4680" w:type="dxa"/>
          </w:tcPr>
          <w:p w:rsidR="009F26C6" w:rsidRDefault="00A72152">
            <w:r>
              <w:t>Caminar por su barrio</w:t>
            </w:r>
          </w:p>
        </w:tc>
      </w:tr>
    </w:tbl>
    <w:p w:rsidR="009F26C6" w:rsidRDefault="00A72152">
      <w:pPr>
        <w:pStyle w:val="Ttulo3"/>
      </w:pPr>
      <w:r>
        <w:t>Codificación</w:t>
      </w:r>
    </w:p>
    <w:p w:rsidR="009F26C6" w:rsidRDefault="00A72152">
      <w:pPr>
        <w:pStyle w:val="Prrafodelista"/>
        <w:numPr>
          <w:ilvl w:val="0"/>
          <w:numId w:val="3"/>
        </w:numPr>
      </w:pPr>
      <w:r>
        <w:t>Cada ítem vale 1 si la actividad disminuyó y 0 si aumentó o se mantuvo.</w:t>
      </w:r>
    </w:p>
    <w:p w:rsidR="009F26C6" w:rsidRDefault="00A72152">
      <w:pPr>
        <w:pStyle w:val="Prrafodelista"/>
        <w:numPr>
          <w:ilvl w:val="0"/>
          <w:numId w:val="3"/>
        </w:numPr>
      </w:pPr>
      <w:r>
        <w:t>"No aplica" y Ns/Nc quedan como faltantes. "No aplica" indica que la persona no realiza la actividad o, en CH_3, que no tiene hijos menores; por eso no se codifica como 0.</w:t>
      </w:r>
    </w:p>
    <w:p w:rsidR="009F26C6" w:rsidRDefault="00A72152">
      <w:pPr>
        <w:pStyle w:val="Prrafodelista"/>
        <w:numPr>
          <w:ilvl w:val="0"/>
          <w:numId w:val="3"/>
        </w:numPr>
      </w:pPr>
      <w:r>
        <w:t>El índice se calcula si la persona responde al menos 3 de los 6 ítems.</w:t>
      </w:r>
    </w:p>
    <w:p w:rsidR="009F26C6" w:rsidRDefault="00A72152">
      <w:pPr>
        <w:pStyle w:val="Code"/>
      </w:pPr>
      <w:bookmarkStart w:id="1" w:name="bongo_lang_latex_1"/>
      <w:bookmarkEnd w:id="1"/>
      <w:r>
        <w:t>\mathrm{IEI}_i = 100 \times \</w:t>
      </w:r>
      <w:proofErr w:type="gramStart"/>
      <w:r>
        <w:t>frac{</w:t>
      </w:r>
      <w:proofErr w:type="gramEnd"/>
      <w:r>
        <w:t>\sum_{j \in A_i} \mathbb{1}[\text{disminuyó}_{ij}]}{|A_i|}, \qquad |A_i| \geq 3</w:t>
      </w:r>
    </w:p>
    <w:p w:rsidR="009F26C6" w:rsidRDefault="00A72152">
      <w:r>
        <w:t>Donde A_i es el conjunto de ítems aplicables a la persona i. Usar el p</w:t>
      </w:r>
      <w:r>
        <w:t>romedio de los ítems aplicables evita castigar a quien no realiza una actividad: una persona sin hijos menores no queda con un índice más bajo por ese motivo.</w:t>
      </w:r>
    </w:p>
    <w:p w:rsidR="009F26C6" w:rsidRDefault="00A72152">
      <w:pPr>
        <w:pStyle w:val="Ttulo3"/>
      </w:pPr>
      <w:r>
        <w:t>Versiones alternativas</w:t>
      </w:r>
    </w:p>
    <w:p w:rsidR="009F26C6" w:rsidRDefault="00A72152">
      <w:r>
        <w:t>Se construyen cinco versiones para verificar que los resultados no dependen de una decisión de codificación. Todas se correlacionan entre 0,91 y 0,99 con la versión principal.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9F26C6">
        <w:trPr>
          <w:tblHeader/>
        </w:trPr>
        <w:tc>
          <w:tcPr>
            <w:tcW w:w="3120" w:type="dxa"/>
            <w:shd w:val="clear" w:color="auto" w:fill="F2F2F2"/>
          </w:tcPr>
          <w:p w:rsidR="009F26C6" w:rsidRDefault="00A72152">
            <w:r>
              <w:t>Versión</w:t>
            </w:r>
          </w:p>
        </w:tc>
        <w:tc>
          <w:tcPr>
            <w:tcW w:w="3120" w:type="dxa"/>
            <w:shd w:val="clear" w:color="auto" w:fill="F2F2F2"/>
          </w:tcPr>
          <w:p w:rsidR="009F26C6" w:rsidRDefault="00A72152">
            <w:r>
              <w:t>Definición</w:t>
            </w:r>
          </w:p>
        </w:tc>
        <w:tc>
          <w:tcPr>
            <w:tcW w:w="3120" w:type="dxa"/>
            <w:shd w:val="clear" w:color="auto" w:fill="F2F2F2"/>
          </w:tcPr>
          <w:p w:rsidR="009F26C6" w:rsidRDefault="00A72152">
            <w:r>
              <w:t>Correlación con la principal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t>Sin CH_6</w:t>
            </w:r>
          </w:p>
        </w:tc>
        <w:tc>
          <w:tcPr>
            <w:tcW w:w="3120" w:type="dxa"/>
          </w:tcPr>
          <w:p w:rsidR="009F26C6" w:rsidRDefault="00A72152">
            <w:r>
              <w:t>Los cinco ítems restan</w:t>
            </w:r>
            <w:r>
              <w:t>tes, mínimo 3</w:t>
            </w:r>
          </w:p>
        </w:tc>
        <w:tc>
          <w:tcPr>
            <w:tcW w:w="3120" w:type="dxa"/>
          </w:tcPr>
          <w:p w:rsidR="009F26C6" w:rsidRDefault="00A72152">
            <w:r>
              <w:t>0,97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lastRenderedPageBreak/>
              <w:t>Núcleo de 4 ítems</w:t>
            </w:r>
          </w:p>
        </w:tc>
        <w:tc>
          <w:tcPr>
            <w:tcW w:w="3120" w:type="dxa"/>
          </w:tcPr>
          <w:p w:rsidR="009F26C6" w:rsidRDefault="00A72152">
            <w:r>
              <w:t>CH_1, CH_2, CH_4 y CH_5, mínimo 3</w:t>
            </w:r>
          </w:p>
        </w:tc>
        <w:tc>
          <w:tcPr>
            <w:tcW w:w="3120" w:type="dxa"/>
          </w:tcPr>
          <w:p w:rsidR="009F26C6" w:rsidRDefault="00A72152">
            <w:r>
              <w:t>0,96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t>Ordinal</w:t>
            </w:r>
          </w:p>
        </w:tc>
        <w:tc>
          <w:tcPr>
            <w:tcW w:w="3120" w:type="dxa"/>
          </w:tcPr>
          <w:p w:rsidR="009F26C6" w:rsidRDefault="00A72152">
            <w:r>
              <w:t>Aumentó = −1, se mantuvo = 0, disminuyó = +1; promedio reescalado a 0-100</w:t>
            </w:r>
          </w:p>
        </w:tc>
        <w:tc>
          <w:tcPr>
            <w:tcW w:w="3120" w:type="dxa"/>
          </w:tcPr>
          <w:p w:rsidR="009F26C6" w:rsidRDefault="00A72152">
            <w:r>
              <w:t>0,95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t>IRT 2PL</w:t>
            </w:r>
          </w:p>
        </w:tc>
        <w:tc>
          <w:tcPr>
            <w:tcW w:w="3120" w:type="dxa"/>
          </w:tcPr>
          <w:p w:rsidR="009F26C6" w:rsidRDefault="00A72152">
            <w:r>
              <w:t>Puntaje esperado a posteriori (EAP) de un modelo logístico de dos parámetros, en d</w:t>
            </w:r>
            <w:r>
              <w:t>esviaciones estándar</w:t>
            </w:r>
          </w:p>
        </w:tc>
        <w:tc>
          <w:tcPr>
            <w:tcW w:w="3120" w:type="dxa"/>
          </w:tcPr>
          <w:p w:rsidR="009F26C6" w:rsidRDefault="00A72152">
            <w:r>
              <w:t>0,99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t>Alguna evitación</w:t>
            </w:r>
          </w:p>
        </w:tc>
        <w:tc>
          <w:tcPr>
            <w:tcW w:w="3120" w:type="dxa"/>
          </w:tcPr>
          <w:p w:rsidR="009F26C6" w:rsidRDefault="00A72152">
            <w:r>
              <w:t>1 si redujo al menos una actividad</w:t>
            </w:r>
          </w:p>
        </w:tc>
        <w:tc>
          <w:tcPr>
            <w:tcW w:w="3120" w:type="dxa"/>
          </w:tcPr>
          <w:p w:rsidR="009F26C6" w:rsidRDefault="00A72152">
            <w:r>
              <w:t>—</w:t>
            </w:r>
          </w:p>
        </w:tc>
      </w:tr>
    </w:tbl>
    <w:p w:rsidR="009F26C6" w:rsidRDefault="00A72152">
      <w:pPr>
        <w:pStyle w:val="Ttulo2"/>
      </w:pPr>
      <w:r>
        <w:t>Validación psicométrica</w:t>
      </w:r>
    </w:p>
    <w:p w:rsidR="009F26C6" w:rsidRDefault="00A72152">
      <w:r>
        <w:t>Los seis ítems forman una escala unidimensional, confiable y con la misma estructura en ambas olas; solo CH_6 muestra un comportamiento distinto entre olas.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9F26C6">
        <w:trPr>
          <w:tblHeader/>
        </w:trPr>
        <w:tc>
          <w:tcPr>
            <w:tcW w:w="3120" w:type="dxa"/>
            <w:shd w:val="clear" w:color="auto" w:fill="F2F2F2"/>
          </w:tcPr>
          <w:p w:rsidR="009F26C6" w:rsidRDefault="00A72152">
            <w:r>
              <w:t>Prueba</w:t>
            </w:r>
          </w:p>
        </w:tc>
        <w:tc>
          <w:tcPr>
            <w:tcW w:w="3120" w:type="dxa"/>
            <w:shd w:val="clear" w:color="auto" w:fill="F2F2F2"/>
          </w:tcPr>
          <w:p w:rsidR="009F26C6" w:rsidRDefault="00A72152">
            <w:r>
              <w:t>Resultado</w:t>
            </w:r>
          </w:p>
        </w:tc>
        <w:tc>
          <w:tcPr>
            <w:tcW w:w="3120" w:type="dxa"/>
            <w:shd w:val="clear" w:color="auto" w:fill="F2F2F2"/>
          </w:tcPr>
          <w:p w:rsidR="009F26C6" w:rsidRDefault="00A72152">
            <w:r>
              <w:t>Lectura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t>Autovalores de la matriz tetracórica</w:t>
            </w:r>
          </w:p>
        </w:tc>
        <w:tc>
          <w:tcPr>
            <w:tcW w:w="3120" w:type="dxa"/>
          </w:tcPr>
          <w:p w:rsidR="009F26C6" w:rsidRDefault="00A72152">
            <w:r>
              <w:t>3,75 / 0,71 / 0,49</w:t>
            </w:r>
          </w:p>
        </w:tc>
        <w:tc>
          <w:tcPr>
            <w:tcW w:w="3120" w:type="dxa"/>
          </w:tcPr>
          <w:p w:rsidR="009F26C6" w:rsidRDefault="00A72152">
            <w:r>
              <w:t>Un solo factor do</w:t>
            </w:r>
            <w:r>
              <w:t>mina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t>Cargas factoriales (1 factor)</w:t>
            </w:r>
          </w:p>
        </w:tc>
        <w:tc>
          <w:tcPr>
            <w:tcW w:w="3120" w:type="dxa"/>
          </w:tcPr>
          <w:p w:rsidR="009F26C6" w:rsidRDefault="00A72152">
            <w:r>
              <w:t>0,65 a 0,85</w:t>
            </w:r>
          </w:p>
        </w:tc>
        <w:tc>
          <w:tcPr>
            <w:tcW w:w="3120" w:type="dxa"/>
          </w:tcPr>
          <w:p w:rsidR="009F26C6" w:rsidRDefault="00A72152">
            <w:r>
              <w:t>Todos los ítems contribuyen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t>α ordinal</w:t>
            </w:r>
          </w:p>
        </w:tc>
        <w:tc>
          <w:tcPr>
            <w:tcW w:w="3120" w:type="dxa"/>
          </w:tcPr>
          <w:p w:rsidR="009F26C6" w:rsidRDefault="00A72152">
            <w:r>
              <w:t>0,88 (0,88 en cada ola)</w:t>
            </w:r>
          </w:p>
        </w:tc>
        <w:tc>
          <w:tcPr>
            <w:tcW w:w="3120" w:type="dxa"/>
          </w:tcPr>
          <w:p w:rsidR="009F26C6" w:rsidRDefault="00A72152">
            <w:r>
              <w:t>Alta consistencia interna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t>KR-20, 5 ítems sin CH_3, casos completos (n = 5.122)</w:t>
            </w:r>
          </w:p>
        </w:tc>
        <w:tc>
          <w:tcPr>
            <w:tcW w:w="3120" w:type="dxa"/>
          </w:tcPr>
          <w:p w:rsidR="009F26C6" w:rsidRDefault="00A72152">
            <w:r>
              <w:t>0,74</w:t>
            </w:r>
          </w:p>
        </w:tc>
        <w:tc>
          <w:tcPr>
            <w:tcW w:w="3120" w:type="dxa"/>
          </w:tcPr>
          <w:p w:rsidR="009F26C6" w:rsidRDefault="00A72152">
            <w:r>
              <w:t>Aceptable sobre ítems binarios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t>Congruencia de Tucker entre olas</w:t>
            </w:r>
          </w:p>
        </w:tc>
        <w:tc>
          <w:tcPr>
            <w:tcW w:w="3120" w:type="dxa"/>
          </w:tcPr>
          <w:p w:rsidR="009F26C6" w:rsidRDefault="00A72152">
            <w:r>
              <w:t>0,998</w:t>
            </w:r>
          </w:p>
        </w:tc>
        <w:tc>
          <w:tcPr>
            <w:tcW w:w="3120" w:type="dxa"/>
          </w:tcPr>
          <w:p w:rsidR="009F26C6" w:rsidRDefault="00A72152">
            <w:r>
              <w:t>Estructura invariante</w:t>
            </w:r>
          </w:p>
        </w:tc>
      </w:tr>
    </w:tbl>
    <w:p w:rsidR="009F26C6" w:rsidRDefault="00A72152">
      <w:r>
        <w:t>Las correlaciones tetracóricas se estiman por máxima verosimilitud con pesos, par a par. Las cargas se obtienen por factorización de ejes principales iterada. El α ordinal se calcula sobre la ma</w:t>
      </w:r>
      <w:r>
        <w:t>triz tetracórica.</w:t>
      </w:r>
    </w:p>
    <w:p w:rsidR="009F26C6" w:rsidRDefault="00A72152">
      <w:pPr>
        <w:pStyle w:val="Ttulo3"/>
      </w:pPr>
      <w:r>
        <w:t>Parámetros por ítem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F26C6">
        <w:trPr>
          <w:tblHeader/>
        </w:trPr>
        <w:tc>
          <w:tcPr>
            <w:tcW w:w="1560" w:type="dxa"/>
            <w:shd w:val="clear" w:color="auto" w:fill="F2F2F2"/>
          </w:tcPr>
          <w:p w:rsidR="009F26C6" w:rsidRDefault="00A72152">
            <w:r>
              <w:t>Ítem</w:t>
            </w:r>
          </w:p>
        </w:tc>
        <w:tc>
          <w:tcPr>
            <w:tcW w:w="1560" w:type="dxa"/>
            <w:shd w:val="clear" w:color="auto" w:fill="F2F2F2"/>
          </w:tcPr>
          <w:p w:rsidR="009F26C6" w:rsidRDefault="00A72152">
            <w:r>
              <w:t>Carga 2023-2024</w:t>
            </w:r>
          </w:p>
        </w:tc>
        <w:tc>
          <w:tcPr>
            <w:tcW w:w="1560" w:type="dxa"/>
            <w:shd w:val="clear" w:color="auto" w:fill="F2F2F2"/>
          </w:tcPr>
          <w:p w:rsidR="009F26C6" w:rsidRDefault="00A72152">
            <w:r>
              <w:t>Carga 2025-2026</w:t>
            </w:r>
          </w:p>
        </w:tc>
        <w:tc>
          <w:tcPr>
            <w:tcW w:w="1560" w:type="dxa"/>
            <w:shd w:val="clear" w:color="auto" w:fill="F2F2F2"/>
          </w:tcPr>
          <w:p w:rsidR="009F26C6" w:rsidRDefault="00A72152">
            <w:r>
              <w:t>Discriminación IRT (a)</w:t>
            </w:r>
          </w:p>
        </w:tc>
        <w:tc>
          <w:tcPr>
            <w:tcW w:w="1560" w:type="dxa"/>
            <w:shd w:val="clear" w:color="auto" w:fill="F2F2F2"/>
          </w:tcPr>
          <w:p w:rsidR="009F26C6" w:rsidRDefault="00A72152">
            <w:r>
              <w:t>Dificultad IRT (b)</w:t>
            </w:r>
          </w:p>
        </w:tc>
        <w:tc>
          <w:tcPr>
            <w:tcW w:w="1560" w:type="dxa"/>
            <w:shd w:val="clear" w:color="auto" w:fill="F2F2F2"/>
          </w:tcPr>
          <w:p w:rsidR="009F26C6" w:rsidRDefault="00A72152">
            <w:r>
              <w:t>DIF por ola (OR)</w:t>
            </w:r>
          </w:p>
        </w:tc>
      </w:tr>
      <w:tr w:rsidR="009F26C6">
        <w:tc>
          <w:tcPr>
            <w:tcW w:w="1560" w:type="dxa"/>
          </w:tcPr>
          <w:p w:rsidR="009F26C6" w:rsidRDefault="00A72152">
            <w:r>
              <w:t>CH_1 Salir de noche</w:t>
            </w:r>
          </w:p>
        </w:tc>
        <w:tc>
          <w:tcPr>
            <w:tcW w:w="1560" w:type="dxa"/>
          </w:tcPr>
          <w:p w:rsidR="009F26C6" w:rsidRDefault="00A72152">
            <w:r>
              <w:t>0,59</w:t>
            </w:r>
          </w:p>
        </w:tc>
        <w:tc>
          <w:tcPr>
            <w:tcW w:w="1560" w:type="dxa"/>
          </w:tcPr>
          <w:p w:rsidR="009F26C6" w:rsidRDefault="00A72152">
            <w:r>
              <w:t>0,70</w:t>
            </w:r>
          </w:p>
        </w:tc>
        <w:tc>
          <w:tcPr>
            <w:tcW w:w="1560" w:type="dxa"/>
          </w:tcPr>
          <w:p w:rsidR="009F26C6" w:rsidRDefault="00A72152">
            <w:r>
              <w:t>1,36</w:t>
            </w:r>
          </w:p>
        </w:tc>
        <w:tc>
          <w:tcPr>
            <w:tcW w:w="1560" w:type="dxa"/>
          </w:tcPr>
          <w:p w:rsidR="009F26C6" w:rsidRDefault="00A72152">
            <w:r>
              <w:t>−</w:t>
            </w:r>
            <w:r>
              <w:t>0,60</w:t>
            </w:r>
          </w:p>
        </w:tc>
        <w:tc>
          <w:tcPr>
            <w:tcW w:w="1560" w:type="dxa"/>
          </w:tcPr>
          <w:p w:rsidR="009F26C6" w:rsidRDefault="00A72152">
            <w:r>
              <w:t>0,94</w:t>
            </w:r>
          </w:p>
        </w:tc>
      </w:tr>
      <w:tr w:rsidR="009F26C6">
        <w:tc>
          <w:tcPr>
            <w:tcW w:w="1560" w:type="dxa"/>
          </w:tcPr>
          <w:p w:rsidR="009F26C6" w:rsidRDefault="00A72152">
            <w:r>
              <w:t>CH_2 Espacios recreativos</w:t>
            </w:r>
          </w:p>
        </w:tc>
        <w:tc>
          <w:tcPr>
            <w:tcW w:w="1560" w:type="dxa"/>
          </w:tcPr>
          <w:p w:rsidR="009F26C6" w:rsidRDefault="00A72152">
            <w:r>
              <w:t>0,85</w:t>
            </w:r>
          </w:p>
        </w:tc>
        <w:tc>
          <w:tcPr>
            <w:tcW w:w="1560" w:type="dxa"/>
          </w:tcPr>
          <w:p w:rsidR="009F26C6" w:rsidRDefault="00A72152">
            <w:r>
              <w:t>0,85</w:t>
            </w:r>
          </w:p>
        </w:tc>
        <w:tc>
          <w:tcPr>
            <w:tcW w:w="1560" w:type="dxa"/>
          </w:tcPr>
          <w:p w:rsidR="009F26C6" w:rsidRDefault="00A72152">
            <w:r>
              <w:t>2,53</w:t>
            </w:r>
          </w:p>
        </w:tc>
        <w:tc>
          <w:tcPr>
            <w:tcW w:w="1560" w:type="dxa"/>
          </w:tcPr>
          <w:p w:rsidR="009F26C6" w:rsidRDefault="00A72152">
            <w:r>
              <w:t>−</w:t>
            </w:r>
            <w:r>
              <w:t>0,08</w:t>
            </w:r>
          </w:p>
        </w:tc>
        <w:tc>
          <w:tcPr>
            <w:tcW w:w="1560" w:type="dxa"/>
          </w:tcPr>
          <w:p w:rsidR="009F26C6" w:rsidRDefault="00A72152">
            <w:r>
              <w:t>0,89</w:t>
            </w:r>
          </w:p>
        </w:tc>
      </w:tr>
      <w:tr w:rsidR="009F26C6">
        <w:tc>
          <w:tcPr>
            <w:tcW w:w="1560" w:type="dxa"/>
          </w:tcPr>
          <w:p w:rsidR="009F26C6" w:rsidRDefault="00A72152">
            <w:r>
              <w:lastRenderedPageBreak/>
              <w:t>CH_3 Hijos menores solos</w:t>
            </w:r>
          </w:p>
        </w:tc>
        <w:tc>
          <w:tcPr>
            <w:tcW w:w="1560" w:type="dxa"/>
          </w:tcPr>
          <w:p w:rsidR="009F26C6" w:rsidRDefault="00A72152">
            <w:r>
              <w:t>0,80</w:t>
            </w:r>
          </w:p>
        </w:tc>
        <w:tc>
          <w:tcPr>
            <w:tcW w:w="1560" w:type="dxa"/>
          </w:tcPr>
          <w:p w:rsidR="009F26C6" w:rsidRDefault="00A72152">
            <w:r>
              <w:t>0,74</w:t>
            </w:r>
          </w:p>
        </w:tc>
        <w:tc>
          <w:tcPr>
            <w:tcW w:w="1560" w:type="dxa"/>
          </w:tcPr>
          <w:p w:rsidR="009F26C6" w:rsidRDefault="00A72152">
            <w:r>
              <w:t>2,01</w:t>
            </w:r>
          </w:p>
        </w:tc>
        <w:tc>
          <w:tcPr>
            <w:tcW w:w="1560" w:type="dxa"/>
          </w:tcPr>
          <w:p w:rsidR="009F26C6" w:rsidRDefault="00A72152">
            <w:r>
              <w:t>−</w:t>
            </w:r>
            <w:r>
              <w:t>0,83</w:t>
            </w:r>
          </w:p>
        </w:tc>
        <w:tc>
          <w:tcPr>
            <w:tcW w:w="1560" w:type="dxa"/>
          </w:tcPr>
          <w:p w:rsidR="009F26C6" w:rsidRDefault="00A72152">
            <w:r>
              <w:t>0,89</w:t>
            </w:r>
          </w:p>
        </w:tc>
      </w:tr>
      <w:tr w:rsidR="009F26C6">
        <w:tc>
          <w:tcPr>
            <w:tcW w:w="1560" w:type="dxa"/>
          </w:tcPr>
          <w:p w:rsidR="009F26C6" w:rsidRDefault="00A72152">
            <w:r>
              <w:t>CH_4 Lugares turísticos</w:t>
            </w:r>
          </w:p>
        </w:tc>
        <w:tc>
          <w:tcPr>
            <w:tcW w:w="1560" w:type="dxa"/>
          </w:tcPr>
          <w:p w:rsidR="009F26C6" w:rsidRDefault="00A72152">
            <w:r>
              <w:t>0,75</w:t>
            </w:r>
          </w:p>
        </w:tc>
        <w:tc>
          <w:tcPr>
            <w:tcW w:w="1560" w:type="dxa"/>
          </w:tcPr>
          <w:p w:rsidR="009F26C6" w:rsidRDefault="00A72152">
            <w:r>
              <w:t>0,72</w:t>
            </w:r>
          </w:p>
        </w:tc>
        <w:tc>
          <w:tcPr>
            <w:tcW w:w="1560" w:type="dxa"/>
          </w:tcPr>
          <w:p w:rsidR="009F26C6" w:rsidRDefault="00A72152">
            <w:r>
              <w:t>1,91</w:t>
            </w:r>
          </w:p>
        </w:tc>
        <w:tc>
          <w:tcPr>
            <w:tcW w:w="1560" w:type="dxa"/>
          </w:tcPr>
          <w:p w:rsidR="009F26C6" w:rsidRDefault="00A72152">
            <w:r>
              <w:t>−</w:t>
            </w:r>
            <w:r>
              <w:t>0,19</w:t>
            </w:r>
          </w:p>
        </w:tc>
        <w:tc>
          <w:tcPr>
            <w:tcW w:w="1560" w:type="dxa"/>
          </w:tcPr>
          <w:p w:rsidR="009F26C6" w:rsidRDefault="00A72152">
            <w:r>
              <w:t>1,12</w:t>
            </w:r>
          </w:p>
        </w:tc>
      </w:tr>
      <w:tr w:rsidR="009F26C6">
        <w:tc>
          <w:tcPr>
            <w:tcW w:w="1560" w:type="dxa"/>
          </w:tcPr>
          <w:p w:rsidR="009F26C6" w:rsidRDefault="00A72152">
            <w:r>
              <w:t>CH_5 Eventos culturales y deportivos</w:t>
            </w:r>
          </w:p>
        </w:tc>
        <w:tc>
          <w:tcPr>
            <w:tcW w:w="1560" w:type="dxa"/>
          </w:tcPr>
          <w:p w:rsidR="009F26C6" w:rsidRDefault="00A72152">
            <w:r>
              <w:t>0,73</w:t>
            </w:r>
          </w:p>
        </w:tc>
        <w:tc>
          <w:tcPr>
            <w:tcW w:w="1560" w:type="dxa"/>
          </w:tcPr>
          <w:p w:rsidR="009F26C6" w:rsidRDefault="00A72152">
            <w:r>
              <w:t>0,75</w:t>
            </w:r>
          </w:p>
        </w:tc>
        <w:tc>
          <w:tcPr>
            <w:tcW w:w="1560" w:type="dxa"/>
          </w:tcPr>
          <w:p w:rsidR="009F26C6" w:rsidRDefault="00A72152">
            <w:r>
              <w:t>2,17</w:t>
            </w:r>
          </w:p>
        </w:tc>
        <w:tc>
          <w:tcPr>
            <w:tcW w:w="1560" w:type="dxa"/>
          </w:tcPr>
          <w:p w:rsidR="009F26C6" w:rsidRDefault="00A72152">
            <w:r>
              <w:t>−</w:t>
            </w:r>
            <w:r>
              <w:t>0,34</w:t>
            </w:r>
          </w:p>
        </w:tc>
        <w:tc>
          <w:tcPr>
            <w:tcW w:w="1560" w:type="dxa"/>
          </w:tcPr>
          <w:p w:rsidR="009F26C6" w:rsidRDefault="00A72152">
            <w:r>
              <w:t>1,11</w:t>
            </w:r>
          </w:p>
        </w:tc>
      </w:tr>
      <w:tr w:rsidR="009F26C6">
        <w:tc>
          <w:tcPr>
            <w:tcW w:w="1560" w:type="dxa"/>
          </w:tcPr>
          <w:p w:rsidR="009F26C6" w:rsidRDefault="00A72152">
            <w:r>
              <w:t>CH_6 Caminar por su barrio</w:t>
            </w:r>
          </w:p>
        </w:tc>
        <w:tc>
          <w:tcPr>
            <w:tcW w:w="1560" w:type="dxa"/>
          </w:tcPr>
          <w:p w:rsidR="009F26C6" w:rsidRDefault="00A72152">
            <w:r>
              <w:t>0,70</w:t>
            </w:r>
          </w:p>
        </w:tc>
        <w:tc>
          <w:tcPr>
            <w:tcW w:w="1560" w:type="dxa"/>
          </w:tcPr>
          <w:p w:rsidR="009F26C6" w:rsidRDefault="00A72152">
            <w:r>
              <w:t>0,70</w:t>
            </w:r>
          </w:p>
        </w:tc>
        <w:tc>
          <w:tcPr>
            <w:tcW w:w="1560" w:type="dxa"/>
          </w:tcPr>
          <w:p w:rsidR="009F26C6" w:rsidRDefault="00A72152">
            <w:r>
              <w:t>1,64</w:t>
            </w:r>
          </w:p>
        </w:tc>
        <w:tc>
          <w:tcPr>
            <w:tcW w:w="1560" w:type="dxa"/>
          </w:tcPr>
          <w:p w:rsidR="009F26C6" w:rsidRDefault="00A72152">
            <w:r>
              <w:t>0,21</w:t>
            </w:r>
          </w:p>
        </w:tc>
        <w:tc>
          <w:tcPr>
            <w:tcW w:w="1560" w:type="dxa"/>
          </w:tcPr>
          <w:p w:rsidR="009F26C6" w:rsidRDefault="00A72152">
            <w:r>
              <w:rPr>
                <w:b/>
              </w:rPr>
              <w:t>0,50</w:t>
            </w:r>
          </w:p>
        </w:tc>
      </w:tr>
    </w:tbl>
    <w:p w:rsidR="009F26C6" w:rsidRDefault="00A72152">
      <w:r>
        <w:t xml:space="preserve">El modelo IRT de dos parámetros (2PL) se estima por máxima verosimilitud marginal sin pesos. La discriminación indica cuánto separa cada ítem </w:t>
      </w:r>
      <w:proofErr w:type="gramStart"/>
      <w:r>
        <w:t>a personas</w:t>
      </w:r>
      <w:proofErr w:type="gramEnd"/>
      <w:r>
        <w:t xml:space="preserve"> con más y menos evitación; espacios recreativos (CH_2) es el ítem más informativo. La dificultad indica</w:t>
      </w:r>
      <w:r>
        <w:t xml:space="preserve"> el nivel de evitación en que la mitad reduce la actividad: dejar salir solos a los hijos (CH_3) y salir de noche (CH_1) son las primeras actividades que se recortan.</w:t>
      </w:r>
    </w:p>
    <w:p w:rsidR="009F26C6" w:rsidRDefault="00A72152">
      <w:pPr>
        <w:pStyle w:val="Ttulo3"/>
      </w:pPr>
      <w:r>
        <w:t>Funcionamiento diferencial entre olas</w:t>
      </w:r>
    </w:p>
    <w:p w:rsidR="009F26C6" w:rsidRDefault="00A72152">
      <w:r>
        <w:t>Para cada ítem se estima un logit del ítem sobre el</w:t>
      </w:r>
      <w:r>
        <w:t xml:space="preserve"> puntaje en los demás ítems y la ola. Un odds ratio (OR) de la ola distinto de 1 indica que, para un mismo nivel de evitación, el ítem se responde distinto en cada ola.</w:t>
      </w:r>
    </w:p>
    <w:p w:rsidR="009F26C6" w:rsidRDefault="00A72152">
      <w:pPr>
        <w:pStyle w:val="Prrafodelista"/>
        <w:numPr>
          <w:ilvl w:val="0"/>
          <w:numId w:val="4"/>
        </w:numPr>
      </w:pPr>
      <w:r>
        <w:rPr>
          <w:b/>
        </w:rPr>
        <w:t>CH_6 tiene DIF uniforme fuerte</w:t>
      </w:r>
      <w:r>
        <w:t xml:space="preserve"> (OR = 0,50, p &lt; 0,001): en 2025-2026 la probabilidad de </w:t>
      </w:r>
      <w:r>
        <w:t>reportar menos caminata cae a la mitad para un mismo nivel de evitación. Coincide con la caída de "no aplica" en ese ítem (16,2% → 2,2%), que sugiere un cambio en cómo se aplicó la pregunta.</w:t>
      </w:r>
    </w:p>
    <w:p w:rsidR="009F26C6" w:rsidRDefault="00A72152">
      <w:pPr>
        <w:pStyle w:val="Prrafodelista"/>
        <w:numPr>
          <w:ilvl w:val="0"/>
          <w:numId w:val="4"/>
        </w:numPr>
      </w:pPr>
      <w:r>
        <w:rPr>
          <w:b/>
        </w:rPr>
        <w:t>CH_1 tiene DIF no uniforme</w:t>
      </w:r>
      <w:r>
        <w:t xml:space="preserve"> (p = 0,004): su discriminación sube de</w:t>
      </w:r>
      <w:r>
        <w:t xml:space="preserve"> 1,06 a 1,68 entre olas, sin cambio de nivel.</w:t>
      </w:r>
    </w:p>
    <w:p w:rsidR="009F26C6" w:rsidRDefault="00A72152">
      <w:pPr>
        <w:pStyle w:val="Prrafodelista"/>
        <w:numPr>
          <w:ilvl w:val="0"/>
          <w:numId w:val="4"/>
        </w:numPr>
      </w:pPr>
      <w:r>
        <w:t>Los otros cuatro ítems no muestran DIF significativo.</w:t>
      </w:r>
    </w:p>
    <w:p w:rsidR="009F26C6" w:rsidRDefault="00A72152">
      <w:r>
        <w:t>Por esto, todo resultado sobre el cambio entre olas se reporta también con la versión sin CH_6.</w:t>
      </w:r>
    </w:p>
    <w:p w:rsidR="009F26C6" w:rsidRDefault="00A72152">
      <w:pPr>
        <w:pStyle w:val="Ttulo2"/>
      </w:pPr>
      <w:r>
        <w:t>Resultados descriptivos</w:t>
      </w:r>
    </w:p>
    <w:p w:rsidR="009F26C6" w:rsidRDefault="00A72152">
      <w:r>
        <w:t>Las seis actividades se redujeron me</w:t>
      </w:r>
      <w:r>
        <w:t>nos en 2025-2026 que en 2023-2024, y el índice promedio cayó 8,4 puntos; la caída más fuerte es la de caminar por el barrio (55,6% → 38,2%).</w:t>
      </w:r>
    </w:p>
    <w:p w:rsidR="009F26C6" w:rsidRDefault="00A72152">
      <w:pPr>
        <w:pStyle w:val="Ttulo3"/>
      </w:pPr>
      <w:r>
        <w:lastRenderedPageBreak/>
        <w:t>Actividades</w:t>
      </w:r>
    </w:p>
    <w:p w:rsidR="009F26C6" w:rsidRDefault="00A72152">
      <w:r>
        <w:rPr>
          <w:noProof/>
          <w:lang w:val="es-EC"/>
        </w:rPr>
        <w:drawing>
          <wp:inline distT="0" distB="0" distL="0" distR="0">
            <wp:extent cx="5486400" cy="1991360"/>
            <wp:effectExtent l="0" t="0" r="0" b="0"/>
            <wp:docPr id="1" name="image1" descr="Porcentaje que redujo cada actividad por ola y cargas factoriales por ol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orcentaje que redujo cada actividad por ola y cargas factoriales por ol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6C6" w:rsidRDefault="00A72152">
      <w:r>
        <w:t>Las actividades más recortadas siguen siendo dejar salir solos a los hijos menores (71,8% en 2025-2026) y salir de noche (63,1%). La proporción de "no aplica" bajó en todos los ítems, más en caminar por el barrio (16,2% → 2,2%) y en eventos (34,7% → 25,9%)</w:t>
      </w:r>
      <w:r>
        <w:t>, lo que cambia la base sobre la que se calcula cada porcentaje.</w:t>
      </w:r>
    </w:p>
    <w:p w:rsidR="009F26C6" w:rsidRDefault="00A72152">
      <w:pPr>
        <w:pStyle w:val="Ttulo3"/>
      </w:pPr>
      <w:r>
        <w:t>Distribución y cambio por grupo</w:t>
      </w:r>
    </w:p>
    <w:p w:rsidR="009F26C6" w:rsidRDefault="00A72152">
      <w:r>
        <w:rPr>
          <w:noProof/>
          <w:lang w:val="es-EC"/>
        </w:rPr>
        <w:drawing>
          <wp:inline distT="0" distB="0" distL="0" distR="0">
            <wp:extent cx="5486400" cy="2377440"/>
            <wp:effectExtent l="0" t="0" r="0" b="0"/>
            <wp:docPr id="2" name="image2" descr="Distribución del índice por ola y cambio del índice por victimización, problemas del barrio y administración zon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istribución del índice por ola y cambio del índice por victimización, problemas del barrio y administración z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6C6" w:rsidRDefault="00A72152">
      <w:r>
        <w:t xml:space="preserve">El cambio de la media viene de los extremos. La proporción con índice 100 (redujo todas sus actividades) bajó de 29,2% a 20,4%, y la proporción con índice 0 </w:t>
      </w:r>
      <w:r>
        <w:t>subió de 8,5% a 14,9%. Los tramos intermedios casi no se movieron.</w:t>
      </w:r>
    </w:p>
    <w:p w:rsidR="009F26C6" w:rsidRDefault="00A72152">
      <w:r>
        <w:t>La caída no fue pareja:</w:t>
      </w:r>
    </w:p>
    <w:p w:rsidR="009F26C6" w:rsidRDefault="00A72152">
      <w:pPr>
        <w:pStyle w:val="Prrafodelista"/>
        <w:numPr>
          <w:ilvl w:val="0"/>
          <w:numId w:val="5"/>
        </w:numPr>
      </w:pPr>
      <w:r>
        <w:rPr>
          <w:b/>
        </w:rPr>
        <w:t>Victimización.</w:t>
      </w:r>
      <w:r>
        <w:t xml:space="preserve"> Quienes no fueron víctimas en los últimos 12 meses bajaron 10,6 puntos (63,0 → 52,4); las víctimas, 2,9 puntos (60,5 → 57,6, no significativo). En 202</w:t>
      </w:r>
      <w:r>
        <w:t>5-2026 las víctimas evitan más que las no víctimas, lo contrario de 2023-2024.</w:t>
      </w:r>
    </w:p>
    <w:p w:rsidR="009F26C6" w:rsidRDefault="00A72152">
      <w:pPr>
        <w:pStyle w:val="Prrafodelista"/>
        <w:numPr>
          <w:ilvl w:val="0"/>
          <w:numId w:val="5"/>
        </w:numPr>
      </w:pPr>
      <w:r>
        <w:rPr>
          <w:b/>
        </w:rPr>
        <w:t>Problemas en el barrio.</w:t>
      </w:r>
      <w:r>
        <w:t xml:space="preserve"> Con 0-2 problemas el índice bajó 11,4 puntos (58,2 → 46,8); con 6-9 problemas, 3,4 (66,0 → 62,6, p = 0,08). La brecha entre barrios con poco y mucho deso</w:t>
      </w:r>
      <w:r>
        <w:t>rden se amplió de 7,8 a 15,8 puntos.</w:t>
      </w:r>
    </w:p>
    <w:p w:rsidR="009F26C6" w:rsidRDefault="00A72152">
      <w:pPr>
        <w:pStyle w:val="Prrafodelista"/>
        <w:numPr>
          <w:ilvl w:val="0"/>
          <w:numId w:val="5"/>
        </w:numPr>
      </w:pPr>
      <w:r>
        <w:rPr>
          <w:b/>
        </w:rPr>
        <w:lastRenderedPageBreak/>
        <w:t>Sexo.</w:t>
      </w:r>
      <w:r>
        <w:t xml:space="preserve"> Los hombres bajaron 10,4 puntos y las mujeres 6,8; la brecha de género se amplió de 2,3 a 5,8 puntos.</w:t>
      </w:r>
    </w:p>
    <w:p w:rsidR="009F26C6" w:rsidRDefault="00A72152">
      <w:pPr>
        <w:pStyle w:val="Prrafodelista"/>
        <w:numPr>
          <w:ilvl w:val="0"/>
          <w:numId w:val="5"/>
        </w:numPr>
      </w:pPr>
      <w:r>
        <w:rPr>
          <w:b/>
        </w:rPr>
        <w:t>Administraciones zonales.</w:t>
      </w:r>
      <w:r>
        <w:t xml:space="preserve"> Las mayores caídas son La Mariscal (−15,8), Manuela Sáenz (−14,2) y Calderón (−11,7).</w:t>
      </w:r>
      <w:r>
        <w:t xml:space="preserve"> Los Chillos (+0,9), Tumbaco (−3,4), Quitumbe (−5,9) y Choco Andino (−6,0) no tienen cambios significativos.</w:t>
      </w:r>
    </w:p>
    <w:p w:rsidR="009F26C6" w:rsidRDefault="00A72152">
      <w:pPr>
        <w:pStyle w:val="Ttulo2"/>
      </w:pPr>
      <w:r>
        <w:t>Determinantes del índice</w:t>
      </w:r>
    </w:p>
    <w:p w:rsidR="009F26C6" w:rsidRDefault="00A72152">
      <w:r>
        <w:t>La evitación depende sobre todo de la percepción de inseguridad y de la confianza en la Policía, no de la victimización di</w:t>
      </w:r>
      <w:r>
        <w:t>recta; y el cambio entre olas no se explica por diferencias en quién fue encuestado.</w:t>
      </w:r>
    </w:p>
    <w:p w:rsidR="009F26C6" w:rsidRDefault="00A72152">
      <w:pPr>
        <w:pStyle w:val="Ttulo3"/>
      </w:pPr>
      <w:r>
        <w:t>Especificación</w:t>
      </w:r>
    </w:p>
    <w:p w:rsidR="009F26C6" w:rsidRDefault="00A72152">
      <w:r>
        <w:t xml:space="preserve">Regresión lineal ponderada del IEI (0-100) con errores robustos HC1, equivalente a </w:t>
      </w:r>
      <w:r>
        <w:rPr>
          <w:rStyle w:val="CodeChar"/>
        </w:rPr>
        <w:t>regress iei x [pw=peso], robust</w:t>
      </w:r>
      <w:r>
        <w:t xml:space="preserve"> en Stata. Los coeficientes se leen en puntos del índice. Se agregan bloques de covariables en cuatro modelos; todos incluyen la ola y efectos fijos de administración zonal (referencia: Eloy Alfaro).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9F26C6">
        <w:trPr>
          <w:tblHeader/>
        </w:trPr>
        <w:tc>
          <w:tcPr>
            <w:tcW w:w="2340" w:type="dxa"/>
            <w:shd w:val="clear" w:color="auto" w:fill="F2F2F2"/>
          </w:tcPr>
          <w:p w:rsidR="009F26C6" w:rsidRDefault="00A72152">
            <w:r>
              <w:t>Modelo</w:t>
            </w:r>
          </w:p>
        </w:tc>
        <w:tc>
          <w:tcPr>
            <w:tcW w:w="2340" w:type="dxa"/>
            <w:shd w:val="clear" w:color="auto" w:fill="F2F2F2"/>
          </w:tcPr>
          <w:p w:rsidR="009F26C6" w:rsidRDefault="00A72152">
            <w:r>
              <w:t>Bloque agregado</w:t>
            </w:r>
          </w:p>
        </w:tc>
        <w:tc>
          <w:tcPr>
            <w:tcW w:w="2340" w:type="dxa"/>
            <w:shd w:val="clear" w:color="auto" w:fill="F2F2F2"/>
          </w:tcPr>
          <w:p w:rsidR="009F26C6" w:rsidRDefault="00A72152">
            <w:r>
              <w:t>R²</w:t>
            </w:r>
          </w:p>
        </w:tc>
        <w:tc>
          <w:tcPr>
            <w:tcW w:w="2340" w:type="dxa"/>
            <w:shd w:val="clear" w:color="auto" w:fill="F2F2F2"/>
          </w:tcPr>
          <w:p w:rsidR="009F26C6" w:rsidRDefault="00A72152">
            <w:r>
              <w:t>Coeficiente de la ola 2025-202</w:t>
            </w:r>
            <w:r>
              <w:t>6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M1</w:t>
            </w:r>
          </w:p>
        </w:tc>
        <w:tc>
          <w:tcPr>
            <w:tcW w:w="2340" w:type="dxa"/>
          </w:tcPr>
          <w:p w:rsidR="009F26C6" w:rsidRDefault="00A72152">
            <w:r>
              <w:t>Sexo, edad, educación, NSE, ingreso, trabajo, discapacidad, nacionalidad, estado civil</w:t>
            </w:r>
          </w:p>
        </w:tc>
        <w:tc>
          <w:tcPr>
            <w:tcW w:w="2340" w:type="dxa"/>
          </w:tcPr>
          <w:p w:rsidR="009F26C6" w:rsidRDefault="00A72152">
            <w:r>
              <w:t>0,039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8,1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M2</w:t>
            </w:r>
          </w:p>
        </w:tc>
        <w:tc>
          <w:tcPr>
            <w:tcW w:w="2340" w:type="dxa"/>
          </w:tcPr>
          <w:p w:rsidR="009F26C6" w:rsidRDefault="00A72152">
            <w:r>
              <w:t>Años en el barrio, relación con vecinos, orgullo del barrio, deseo de quedarse, participación</w:t>
            </w:r>
          </w:p>
        </w:tc>
        <w:tc>
          <w:tcPr>
            <w:tcW w:w="2340" w:type="dxa"/>
          </w:tcPr>
          <w:p w:rsidR="009F26C6" w:rsidRDefault="00A72152">
            <w:r>
              <w:t>0,047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7,9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M3</w:t>
            </w:r>
          </w:p>
        </w:tc>
        <w:tc>
          <w:tcPr>
            <w:tcW w:w="2340" w:type="dxa"/>
          </w:tcPr>
          <w:p w:rsidR="009F26C6" w:rsidRDefault="00A72152">
            <w:r>
              <w:t>Victimización (robo con violencia, otro</w:t>
            </w:r>
            <w:r>
              <w:t>s delitos, robo a la vivienda), problemas del barrio, civiles armados, confianza en la Policía</w:t>
            </w:r>
          </w:p>
        </w:tc>
        <w:tc>
          <w:tcPr>
            <w:tcW w:w="2340" w:type="dxa"/>
          </w:tcPr>
          <w:p w:rsidR="009F26C6" w:rsidRDefault="00A72152">
            <w:r>
              <w:t>0,081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8,0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M4</w:t>
            </w:r>
          </w:p>
        </w:tc>
        <w:tc>
          <w:tcPr>
            <w:tcW w:w="2340" w:type="dxa"/>
          </w:tcPr>
          <w:p w:rsidR="009F26C6" w:rsidRDefault="00A72152">
            <w:r>
              <w:t>Sentirse inseguro en el barrio, creer que la delincuencia aumentó</w:t>
            </w:r>
          </w:p>
        </w:tc>
        <w:tc>
          <w:tcPr>
            <w:tcW w:w="2340" w:type="dxa"/>
          </w:tcPr>
          <w:p w:rsidR="009F26C6" w:rsidRDefault="00A72152">
            <w:r>
              <w:t>0,158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8,1</w:t>
            </w:r>
          </w:p>
        </w:tc>
      </w:tr>
    </w:tbl>
    <w:p w:rsidR="009F26C6" w:rsidRDefault="00A72152">
      <w:r>
        <w:t>El coeficiente de la ola casi no cambia al agregar covariables: la caída no se debe a diferencias en las características observadas de las personas.</w:t>
      </w:r>
    </w:p>
    <w:p w:rsidR="009F26C6" w:rsidRDefault="00A72152">
      <w:pPr>
        <w:pStyle w:val="Ttulo3"/>
      </w:pPr>
      <w:r>
        <w:lastRenderedPageBreak/>
        <w:t>Resultados</w:t>
      </w:r>
    </w:p>
    <w:p w:rsidR="009F26C6" w:rsidRDefault="00A72152">
      <w:r>
        <w:rPr>
          <w:noProof/>
          <w:lang w:val="es-EC"/>
        </w:rPr>
        <w:drawing>
          <wp:inline distT="0" distB="0" distL="0" distR="0">
            <wp:extent cx="5486400" cy="4431323"/>
            <wp:effectExtent l="0" t="0" r="0" b="0"/>
            <wp:docPr id="3" name="image3" descr="Coeficientes del modelo M4 para ambas olas juntas y por separa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Coeficientes del modelo M4 para ambas olas juntas y por separad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6C6" w:rsidRDefault="00A72152">
      <w:r>
        <w:t>En el modelo completo (M4), con ambas olas:</w:t>
      </w:r>
    </w:p>
    <w:p w:rsidR="009F26C6" w:rsidRDefault="00A72152">
      <w:pPr>
        <w:pStyle w:val="Prrafodelista"/>
        <w:numPr>
          <w:ilvl w:val="0"/>
          <w:numId w:val="6"/>
        </w:numPr>
      </w:pPr>
      <w:r>
        <w:rPr>
          <w:b/>
        </w:rPr>
        <w:t>Percepción.</w:t>
      </w:r>
      <w:r>
        <w:t xml:space="preserve"> Sentirse inseguro en el barrio suma 14</w:t>
      </w:r>
      <w:r>
        <w:t>,2 puntos y creer que la delincuencia aumentó en el barrio, 12,4. Son los dos factores más fuertes.</w:t>
      </w:r>
    </w:p>
    <w:p w:rsidR="009F26C6" w:rsidRDefault="00A72152">
      <w:pPr>
        <w:pStyle w:val="Prrafodelista"/>
        <w:numPr>
          <w:ilvl w:val="0"/>
          <w:numId w:val="6"/>
        </w:numPr>
      </w:pPr>
      <w:r>
        <w:rPr>
          <w:b/>
        </w:rPr>
        <w:t>Policía.</w:t>
      </w:r>
      <w:r>
        <w:t xml:space="preserve"> No confiar en la Policía suma 8,1 puntos y no conocer sus funciones, 4,9.</w:t>
      </w:r>
    </w:p>
    <w:p w:rsidR="009F26C6" w:rsidRDefault="00A72152">
      <w:pPr>
        <w:pStyle w:val="Prrafodelista"/>
        <w:numPr>
          <w:ilvl w:val="0"/>
          <w:numId w:val="6"/>
        </w:numPr>
      </w:pPr>
      <w:r>
        <w:rPr>
          <w:b/>
        </w:rPr>
        <w:t>Perfil.</w:t>
      </w:r>
      <w:r>
        <w:t xml:space="preserve"> Ser mujer suma 3,3 puntos; tener 41 años o más, entre 3,0 y 4,9; el NSE alto, 3,9 frente al bajo; y sentir poco orgullo del barrio, 3,1.</w:t>
      </w:r>
    </w:p>
    <w:p w:rsidR="009F26C6" w:rsidRDefault="00A72152">
      <w:pPr>
        <w:pStyle w:val="Prrafodelista"/>
        <w:numPr>
          <w:ilvl w:val="0"/>
          <w:numId w:val="6"/>
        </w:numPr>
      </w:pPr>
      <w:r>
        <w:rPr>
          <w:b/>
        </w:rPr>
        <w:t>Victimización.</w:t>
      </w:r>
      <w:r>
        <w:t xml:space="preserve"> Haber sido víctima de robo con violencia no aumenta el índice (+1,0, n.s.), y haber sido víctima de otr</w:t>
      </w:r>
      <w:r>
        <w:t>os delitos personales lo reduce levemente (−2,6, p = 0,02).</w:t>
      </w:r>
    </w:p>
    <w:p w:rsidR="009F26C6" w:rsidRDefault="00A72152">
      <w:pPr>
        <w:pStyle w:val="Ttulo3"/>
      </w:pPr>
      <w:r>
        <w:t>Cambios entre olas</w:t>
      </w:r>
    </w:p>
    <w:p w:rsidR="009F26C6" w:rsidRDefault="00A72152">
      <w:r>
        <w:t>Los determinantes no son los mismos en ambas olas: la prueba de Wald conjunta de las interacciones ola × covariable da χ</w:t>
      </w:r>
      <w:proofErr w:type="gramStart"/>
      <w:r>
        <w:t>²(</w:t>
      </w:r>
      <w:proofErr w:type="gramEnd"/>
      <w:r>
        <w:t xml:space="preserve">32) = 96,8, p &lt; 0,001 (sin efectos fijos de zona). Los </w:t>
      </w:r>
      <w:r>
        <w:t>cambios significativos son: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F26C6">
        <w:trPr>
          <w:tblHeader/>
        </w:trPr>
        <w:tc>
          <w:tcPr>
            <w:tcW w:w="1872" w:type="dxa"/>
            <w:shd w:val="clear" w:color="auto" w:fill="F2F2F2"/>
          </w:tcPr>
          <w:p w:rsidR="009F26C6" w:rsidRDefault="00A72152">
            <w:r>
              <w:t>Factor</w:t>
            </w:r>
          </w:p>
        </w:tc>
        <w:tc>
          <w:tcPr>
            <w:tcW w:w="1872" w:type="dxa"/>
            <w:shd w:val="clear" w:color="auto" w:fill="F2F2F2"/>
          </w:tcPr>
          <w:p w:rsidR="009F26C6" w:rsidRDefault="00A72152">
            <w:r>
              <w:t>2023-2024</w:t>
            </w:r>
          </w:p>
        </w:tc>
        <w:tc>
          <w:tcPr>
            <w:tcW w:w="1872" w:type="dxa"/>
            <w:shd w:val="clear" w:color="auto" w:fill="F2F2F2"/>
          </w:tcPr>
          <w:p w:rsidR="009F26C6" w:rsidRDefault="00A72152">
            <w:r>
              <w:t>2025-2026</w:t>
            </w:r>
          </w:p>
        </w:tc>
        <w:tc>
          <w:tcPr>
            <w:tcW w:w="1872" w:type="dxa"/>
            <w:shd w:val="clear" w:color="auto" w:fill="F2F2F2"/>
          </w:tcPr>
          <w:p w:rsidR="009F26C6" w:rsidRDefault="00A72152">
            <w:r>
              <w:t>Diferencia</w:t>
            </w:r>
          </w:p>
        </w:tc>
        <w:tc>
          <w:tcPr>
            <w:tcW w:w="1872" w:type="dxa"/>
            <w:shd w:val="clear" w:color="auto" w:fill="F2F2F2"/>
          </w:tcPr>
          <w:p w:rsidR="009F26C6" w:rsidRDefault="00A72152">
            <w:r>
              <w:t>p</w:t>
            </w:r>
          </w:p>
        </w:tc>
      </w:tr>
      <w:tr w:rsidR="009F26C6">
        <w:tc>
          <w:tcPr>
            <w:tcW w:w="1872" w:type="dxa"/>
          </w:tcPr>
          <w:p w:rsidR="009F26C6" w:rsidRDefault="00A72152">
            <w:r>
              <w:t>Problemas en el barrio (por problema)</w:t>
            </w:r>
          </w:p>
        </w:tc>
        <w:tc>
          <w:tcPr>
            <w:tcW w:w="1872" w:type="dxa"/>
          </w:tcPr>
          <w:p w:rsidR="009F26C6" w:rsidRDefault="00A72152">
            <w:r>
              <w:t>−</w:t>
            </w:r>
            <w:r>
              <w:t>0,6</w:t>
            </w:r>
          </w:p>
        </w:tc>
        <w:tc>
          <w:tcPr>
            <w:tcW w:w="1872" w:type="dxa"/>
          </w:tcPr>
          <w:p w:rsidR="009F26C6" w:rsidRDefault="00A72152">
            <w:r>
              <w:t>+1,1</w:t>
            </w:r>
          </w:p>
        </w:tc>
        <w:tc>
          <w:tcPr>
            <w:tcW w:w="1872" w:type="dxa"/>
          </w:tcPr>
          <w:p w:rsidR="009F26C6" w:rsidRDefault="00A72152">
            <w:r>
              <w:t>+1,7</w:t>
            </w:r>
          </w:p>
        </w:tc>
        <w:tc>
          <w:tcPr>
            <w:tcW w:w="1872" w:type="dxa"/>
          </w:tcPr>
          <w:p w:rsidR="009F26C6" w:rsidRDefault="00A72152">
            <w:r>
              <w:t>&lt; 0,001</w:t>
            </w:r>
          </w:p>
        </w:tc>
      </w:tr>
      <w:tr w:rsidR="009F26C6">
        <w:tc>
          <w:tcPr>
            <w:tcW w:w="1872" w:type="dxa"/>
          </w:tcPr>
          <w:p w:rsidR="009F26C6" w:rsidRDefault="00A72152">
            <w:r>
              <w:lastRenderedPageBreak/>
              <w:t>No quiere seguir viviendo en el barrio</w:t>
            </w:r>
          </w:p>
        </w:tc>
        <w:tc>
          <w:tcPr>
            <w:tcW w:w="1872" w:type="dxa"/>
          </w:tcPr>
          <w:p w:rsidR="009F26C6" w:rsidRDefault="00A72152">
            <w:r>
              <w:t>−</w:t>
            </w:r>
            <w:r>
              <w:t>7,2</w:t>
            </w:r>
          </w:p>
        </w:tc>
        <w:tc>
          <w:tcPr>
            <w:tcW w:w="1872" w:type="dxa"/>
          </w:tcPr>
          <w:p w:rsidR="009F26C6" w:rsidRDefault="00A72152">
            <w:r>
              <w:t>+5,3</w:t>
            </w:r>
          </w:p>
        </w:tc>
        <w:tc>
          <w:tcPr>
            <w:tcW w:w="1872" w:type="dxa"/>
          </w:tcPr>
          <w:p w:rsidR="009F26C6" w:rsidRDefault="00A72152">
            <w:r>
              <w:t>+12,4</w:t>
            </w:r>
          </w:p>
        </w:tc>
        <w:tc>
          <w:tcPr>
            <w:tcW w:w="1872" w:type="dxa"/>
          </w:tcPr>
          <w:p w:rsidR="009F26C6" w:rsidRDefault="00A72152">
            <w:r>
              <w:t>&lt; 0,001</w:t>
            </w:r>
          </w:p>
        </w:tc>
      </w:tr>
      <w:tr w:rsidR="009F26C6">
        <w:tc>
          <w:tcPr>
            <w:tcW w:w="1872" w:type="dxa"/>
          </w:tcPr>
          <w:p w:rsidR="009F26C6" w:rsidRDefault="00A72152">
            <w:r>
              <w:t>Ingreso del hogar ≥ $920 (vs. &lt; $459)</w:t>
            </w:r>
          </w:p>
        </w:tc>
        <w:tc>
          <w:tcPr>
            <w:tcW w:w="1872" w:type="dxa"/>
          </w:tcPr>
          <w:p w:rsidR="009F26C6" w:rsidRDefault="00A72152">
            <w:r>
              <w:t>−</w:t>
            </w:r>
            <w:r>
              <w:t>7,9</w:t>
            </w:r>
          </w:p>
        </w:tc>
        <w:tc>
          <w:tcPr>
            <w:tcW w:w="1872" w:type="dxa"/>
          </w:tcPr>
          <w:p w:rsidR="009F26C6" w:rsidRDefault="00A72152">
            <w:r>
              <w:t>+1,6</w:t>
            </w:r>
          </w:p>
        </w:tc>
        <w:tc>
          <w:tcPr>
            <w:tcW w:w="1872" w:type="dxa"/>
          </w:tcPr>
          <w:p w:rsidR="009F26C6" w:rsidRDefault="00A72152">
            <w:r>
              <w:t>+9,5</w:t>
            </w:r>
          </w:p>
        </w:tc>
        <w:tc>
          <w:tcPr>
            <w:tcW w:w="1872" w:type="dxa"/>
          </w:tcPr>
          <w:p w:rsidR="009F26C6" w:rsidRDefault="00A72152">
            <w:r>
              <w:t>0,002</w:t>
            </w:r>
          </w:p>
        </w:tc>
      </w:tr>
      <w:tr w:rsidR="009F26C6">
        <w:tc>
          <w:tcPr>
            <w:tcW w:w="1872" w:type="dxa"/>
          </w:tcPr>
          <w:p w:rsidR="009F26C6" w:rsidRDefault="00A72152">
            <w:r>
              <w:t>Ser mujer</w:t>
            </w:r>
          </w:p>
        </w:tc>
        <w:tc>
          <w:tcPr>
            <w:tcW w:w="1872" w:type="dxa"/>
          </w:tcPr>
          <w:p w:rsidR="009F26C6" w:rsidRDefault="00A72152">
            <w:r>
              <w:t>+1,1</w:t>
            </w:r>
          </w:p>
        </w:tc>
        <w:tc>
          <w:tcPr>
            <w:tcW w:w="1872" w:type="dxa"/>
          </w:tcPr>
          <w:p w:rsidR="009F26C6" w:rsidRDefault="00A72152">
            <w:r>
              <w:t>+5,3</w:t>
            </w:r>
          </w:p>
        </w:tc>
        <w:tc>
          <w:tcPr>
            <w:tcW w:w="1872" w:type="dxa"/>
          </w:tcPr>
          <w:p w:rsidR="009F26C6" w:rsidRDefault="00A72152">
            <w:r>
              <w:t>+4,2</w:t>
            </w:r>
          </w:p>
        </w:tc>
        <w:tc>
          <w:tcPr>
            <w:tcW w:w="1872" w:type="dxa"/>
          </w:tcPr>
          <w:p w:rsidR="009F26C6" w:rsidRDefault="00A72152">
            <w:r>
              <w:t>0,025</w:t>
            </w:r>
          </w:p>
        </w:tc>
      </w:tr>
      <w:tr w:rsidR="009F26C6">
        <w:tc>
          <w:tcPr>
            <w:tcW w:w="1872" w:type="dxa"/>
          </w:tcPr>
          <w:p w:rsidR="009F26C6" w:rsidRDefault="00A72152">
            <w:r>
              <w:t>No conoce funciones de la Policía</w:t>
            </w:r>
          </w:p>
        </w:tc>
        <w:tc>
          <w:tcPr>
            <w:tcW w:w="1872" w:type="dxa"/>
          </w:tcPr>
          <w:p w:rsidR="009F26C6" w:rsidRDefault="00A72152">
            <w:r>
              <w:t>+6,9</w:t>
            </w:r>
          </w:p>
        </w:tc>
        <w:tc>
          <w:tcPr>
            <w:tcW w:w="1872" w:type="dxa"/>
          </w:tcPr>
          <w:p w:rsidR="009F26C6" w:rsidRDefault="00A72152">
            <w:r>
              <w:t>+1,0</w:t>
            </w:r>
          </w:p>
        </w:tc>
        <w:tc>
          <w:tcPr>
            <w:tcW w:w="1872" w:type="dxa"/>
          </w:tcPr>
          <w:p w:rsidR="009F26C6" w:rsidRDefault="00A72152">
            <w:r>
              <w:t>−</w:t>
            </w:r>
            <w:r>
              <w:t>5,9</w:t>
            </w:r>
          </w:p>
        </w:tc>
        <w:tc>
          <w:tcPr>
            <w:tcW w:w="1872" w:type="dxa"/>
          </w:tcPr>
          <w:p w:rsidR="009F26C6" w:rsidRDefault="00A72152">
            <w:r>
              <w:t>0,027</w:t>
            </w:r>
          </w:p>
        </w:tc>
      </w:tr>
      <w:tr w:rsidR="009F26C6">
        <w:tc>
          <w:tcPr>
            <w:tcW w:w="1872" w:type="dxa"/>
          </w:tcPr>
          <w:p w:rsidR="009F26C6" w:rsidRDefault="00A72152">
            <w:r>
              <w:t>Participa en iniciativas barriales de seguridad</w:t>
            </w:r>
          </w:p>
        </w:tc>
        <w:tc>
          <w:tcPr>
            <w:tcW w:w="1872" w:type="dxa"/>
          </w:tcPr>
          <w:p w:rsidR="009F26C6" w:rsidRDefault="00A72152">
            <w:r>
              <w:t>−</w:t>
            </w:r>
            <w:r>
              <w:t>2,4</w:t>
            </w:r>
          </w:p>
        </w:tc>
        <w:tc>
          <w:tcPr>
            <w:tcW w:w="1872" w:type="dxa"/>
          </w:tcPr>
          <w:p w:rsidR="009F26C6" w:rsidRDefault="00A72152">
            <w:r>
              <w:t>+2,0</w:t>
            </w:r>
          </w:p>
        </w:tc>
        <w:tc>
          <w:tcPr>
            <w:tcW w:w="1872" w:type="dxa"/>
          </w:tcPr>
          <w:p w:rsidR="009F26C6" w:rsidRDefault="00A72152">
            <w:r>
              <w:t>+4,4</w:t>
            </w:r>
          </w:p>
        </w:tc>
        <w:tc>
          <w:tcPr>
            <w:tcW w:w="1872" w:type="dxa"/>
          </w:tcPr>
          <w:p w:rsidR="009F26C6" w:rsidRDefault="00A72152">
            <w:r>
              <w:t>0,020</w:t>
            </w:r>
          </w:p>
        </w:tc>
      </w:tr>
    </w:tbl>
    <w:p w:rsidR="009F26C6" w:rsidRDefault="00A72152">
      <w:r>
        <w:t>En 2023-2024 la evitación era amplia y estaba asociada a la distancia con la Policía; en 2025-2026</w:t>
      </w:r>
      <w:r>
        <w:t xml:space="preserve"> se concentra donde el barrio está más deteriorado y entre las mujeres. Los hogares de mayor ingreso dejaron de evitar menos que los de menor ingreso.</w:t>
      </w:r>
    </w:p>
    <w:p w:rsidR="009F26C6" w:rsidRDefault="00A72152">
      <w:pPr>
        <w:pStyle w:val="Ttulo3"/>
      </w:pPr>
      <w:r>
        <w:t>Descomposición del cambio</w:t>
      </w:r>
    </w:p>
    <w:p w:rsidR="009F26C6" w:rsidRDefault="00A72152">
      <w:r>
        <w:t>La descomposición Oaxaca-Blinder separa el cambio entre olas en una parte expli</w:t>
      </w:r>
      <w:r>
        <w:t>cada por cambios en las características de la muestra y otra no explicada. Usa los coeficientes del modelo conjunto con indicador de ola; los intervalos se obtienen por bootstrap estratificado por ola (300 réplicas).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9F26C6">
        <w:trPr>
          <w:tblHeader/>
        </w:trPr>
        <w:tc>
          <w:tcPr>
            <w:tcW w:w="3120" w:type="dxa"/>
            <w:shd w:val="clear" w:color="auto" w:fill="F2F2F2"/>
          </w:tcPr>
          <w:p w:rsidR="009F26C6" w:rsidRDefault="00A72152">
            <w:r>
              <w:t>Componente</w:t>
            </w:r>
          </w:p>
        </w:tc>
        <w:tc>
          <w:tcPr>
            <w:tcW w:w="3120" w:type="dxa"/>
            <w:shd w:val="clear" w:color="auto" w:fill="F2F2F2"/>
          </w:tcPr>
          <w:p w:rsidR="009F26C6" w:rsidRDefault="00A72152">
            <w:r>
              <w:t>Puntos</w:t>
            </w:r>
          </w:p>
        </w:tc>
        <w:tc>
          <w:tcPr>
            <w:tcW w:w="3120" w:type="dxa"/>
            <w:shd w:val="clear" w:color="auto" w:fill="F2F2F2"/>
          </w:tcPr>
          <w:p w:rsidR="009F26C6" w:rsidRDefault="00A72152">
            <w:r>
              <w:t>IC 95%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t>Cambio total</w:t>
            </w:r>
          </w:p>
        </w:tc>
        <w:tc>
          <w:tcPr>
            <w:tcW w:w="3120" w:type="dxa"/>
          </w:tcPr>
          <w:p w:rsidR="009F26C6" w:rsidRDefault="00A72152">
            <w:r>
              <w:t>−</w:t>
            </w:r>
            <w:r>
              <w:t>8,39</w:t>
            </w:r>
          </w:p>
        </w:tc>
        <w:tc>
          <w:tcPr>
            <w:tcW w:w="3120" w:type="dxa"/>
          </w:tcPr>
          <w:p w:rsidR="009F26C6" w:rsidRDefault="00A72152">
            <w:r>
              <w:t>−</w:t>
            </w:r>
            <w:r>
              <w:t>10,70 a −6,17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t>Explicado por composición</w:t>
            </w:r>
          </w:p>
        </w:tc>
        <w:tc>
          <w:tcPr>
            <w:tcW w:w="3120" w:type="dxa"/>
          </w:tcPr>
          <w:p w:rsidR="009F26C6" w:rsidRDefault="00A72152">
            <w:r>
              <w:t>−</w:t>
            </w:r>
            <w:r>
              <w:t>0,29</w:t>
            </w:r>
          </w:p>
        </w:tc>
        <w:tc>
          <w:tcPr>
            <w:tcW w:w="3120" w:type="dxa"/>
          </w:tcPr>
          <w:p w:rsidR="009F26C6" w:rsidRDefault="00A72152">
            <w:r>
              <w:t>−</w:t>
            </w:r>
            <w:r>
              <w:t>1,53 a 0,89</w:t>
            </w:r>
          </w:p>
        </w:tc>
      </w:tr>
      <w:tr w:rsidR="009F26C6">
        <w:tc>
          <w:tcPr>
            <w:tcW w:w="3120" w:type="dxa"/>
          </w:tcPr>
          <w:p w:rsidR="009F26C6" w:rsidRDefault="00A72152">
            <w:r>
              <w:t>No explicado</w:t>
            </w:r>
          </w:p>
        </w:tc>
        <w:tc>
          <w:tcPr>
            <w:tcW w:w="3120" w:type="dxa"/>
          </w:tcPr>
          <w:p w:rsidR="009F26C6" w:rsidRDefault="00A72152">
            <w:r>
              <w:t>−</w:t>
            </w:r>
            <w:r>
              <w:t>8,10</w:t>
            </w:r>
          </w:p>
        </w:tc>
        <w:tc>
          <w:tcPr>
            <w:tcW w:w="3120" w:type="dxa"/>
          </w:tcPr>
          <w:p w:rsidR="009F26C6" w:rsidRDefault="00A72152">
            <w:r>
              <w:t>−</w:t>
            </w:r>
            <w:r>
              <w:t>10,20 a −5,94</w:t>
            </w:r>
          </w:p>
        </w:tc>
      </w:tr>
    </w:tbl>
    <w:p w:rsidR="009F26C6" w:rsidRDefault="00A72152">
      <w:r>
        <w:t>Ningún bloque de covariables explica más de 0,4 puntos. Con la versión sin CH_6, el cambio total es −5,92 y el explicado −0,16.</w:t>
      </w:r>
    </w:p>
    <w:p w:rsidR="009F26C6" w:rsidRDefault="00A72152">
      <w:pPr>
        <w:pStyle w:val="Ttulo2"/>
      </w:pPr>
      <w:r>
        <w:t>Robustez y sensibilidad</w:t>
      </w:r>
    </w:p>
    <w:p w:rsidR="009F26C6" w:rsidRDefault="00A72152">
      <w:r>
        <w:t>La caída del índice es significativa en todas las especificaciones; su tamaño va de −5,8 a −8,1 puntos según se incluya o no el ítem de caminar por el barrio.</w:t>
      </w:r>
    </w:p>
    <w:p w:rsidR="009F26C6" w:rsidRDefault="00A72152">
      <w:r>
        <w:t>Cada fila re-estima el efecto de la ola 2025-2026 en el modelo M4 con un cambio de especificación</w:t>
      </w:r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9F26C6">
        <w:trPr>
          <w:tblHeader/>
        </w:trPr>
        <w:tc>
          <w:tcPr>
            <w:tcW w:w="2340" w:type="dxa"/>
            <w:shd w:val="clear" w:color="auto" w:fill="F2F2F2"/>
          </w:tcPr>
          <w:p w:rsidR="009F26C6" w:rsidRDefault="00A72152">
            <w:r>
              <w:t>Especificación</w:t>
            </w:r>
          </w:p>
        </w:tc>
        <w:tc>
          <w:tcPr>
            <w:tcW w:w="2340" w:type="dxa"/>
            <w:shd w:val="clear" w:color="auto" w:fill="F2F2F2"/>
          </w:tcPr>
          <w:p w:rsidR="009F26C6" w:rsidRDefault="00A72152">
            <w:r>
              <w:t>Efecto de la ola</w:t>
            </w:r>
          </w:p>
        </w:tc>
        <w:tc>
          <w:tcPr>
            <w:tcW w:w="2340" w:type="dxa"/>
            <w:shd w:val="clear" w:color="auto" w:fill="F2F2F2"/>
          </w:tcPr>
          <w:p w:rsidR="009F26C6" w:rsidRDefault="00A72152">
            <w:r>
              <w:t>IC 95%</w:t>
            </w:r>
          </w:p>
        </w:tc>
        <w:tc>
          <w:tcPr>
            <w:tcW w:w="2340" w:type="dxa"/>
            <w:shd w:val="clear" w:color="auto" w:fill="F2F2F2"/>
          </w:tcPr>
          <w:p w:rsidR="009F26C6" w:rsidRDefault="00A72152">
            <w:r>
              <w:t>n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lastRenderedPageBreak/>
              <w:t>Principal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8,1 puntos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10,1 a −6,1</w:t>
            </w:r>
          </w:p>
        </w:tc>
        <w:tc>
          <w:tcPr>
            <w:tcW w:w="2340" w:type="dxa"/>
          </w:tcPr>
          <w:p w:rsidR="009F26C6" w:rsidRDefault="00A72152">
            <w:r>
              <w:t>8.005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Errores agrupados por sector censal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8,1 puntos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10,1 a −6,2</w:t>
            </w:r>
          </w:p>
        </w:tc>
        <w:tc>
          <w:tcPr>
            <w:tcW w:w="2340" w:type="dxa"/>
          </w:tcPr>
          <w:p w:rsidR="009F26C6" w:rsidRDefault="00A72152">
            <w:r>
              <w:t>8.005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Sin ponderar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8,1 puntos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9,7 a −6,6</w:t>
            </w:r>
          </w:p>
        </w:tc>
        <w:tc>
          <w:tcPr>
            <w:tcW w:w="2340" w:type="dxa"/>
          </w:tcPr>
          <w:p w:rsidR="009F26C6" w:rsidRDefault="00A72152">
            <w:r>
              <w:t>8.005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Agregando inseguridad al caminar de día y de noche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8,0 puntos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10,0 a −6,0</w:t>
            </w:r>
          </w:p>
        </w:tc>
        <w:tc>
          <w:tcPr>
            <w:tcW w:w="2340" w:type="dxa"/>
          </w:tcPr>
          <w:p w:rsidR="009F26C6" w:rsidRDefault="00A72152">
            <w:r>
              <w:t>8.005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Solo quienes responden los 6 ítems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6,8 puntos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9,9 a −3,6</w:t>
            </w:r>
          </w:p>
        </w:tc>
        <w:tc>
          <w:tcPr>
            <w:tcW w:w="2340" w:type="dxa"/>
          </w:tcPr>
          <w:p w:rsidR="009F26C6" w:rsidRDefault="00A72152">
            <w:r>
              <w:t>2.980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Sin CH_6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5,8 puntos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8,0 a −3,5</w:t>
            </w:r>
          </w:p>
        </w:tc>
        <w:tc>
          <w:tcPr>
            <w:tcW w:w="2340" w:type="dxa"/>
          </w:tcPr>
          <w:p w:rsidR="009F26C6" w:rsidRDefault="00A72152">
            <w:r>
              <w:t>7.329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Núcleo de 4 ítems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5,9 puntos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8,3 a −3,5</w:t>
            </w:r>
          </w:p>
        </w:tc>
        <w:tc>
          <w:tcPr>
            <w:tcW w:w="2340" w:type="dxa"/>
          </w:tcPr>
          <w:p w:rsidR="009F26C6" w:rsidRDefault="00A72152">
            <w:r>
              <w:t>7.043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Ordinal (0-100)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4,5 puntos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5,7 a −3,4</w:t>
            </w:r>
          </w:p>
        </w:tc>
        <w:tc>
          <w:tcPr>
            <w:tcW w:w="2340" w:type="dxa"/>
          </w:tcPr>
          <w:p w:rsidR="009F26C6" w:rsidRDefault="00A72152">
            <w:r>
              <w:t>8.005</w:t>
            </w:r>
          </w:p>
        </w:tc>
      </w:tr>
      <w:tr w:rsidR="009F26C6">
        <w:tc>
          <w:tcPr>
            <w:tcW w:w="2340" w:type="dxa"/>
          </w:tcPr>
          <w:p w:rsidR="009F26C6" w:rsidRDefault="00A72152">
            <w:r>
              <w:t>IRT 2PL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0,19 desviaciones estándar</w:t>
            </w:r>
          </w:p>
        </w:tc>
        <w:tc>
          <w:tcPr>
            <w:tcW w:w="2340" w:type="dxa"/>
          </w:tcPr>
          <w:p w:rsidR="009F26C6" w:rsidRDefault="00A72152">
            <w:r>
              <w:t>−</w:t>
            </w:r>
            <w:r>
              <w:t>0,24 a −0,14</w:t>
            </w:r>
          </w:p>
        </w:tc>
        <w:tc>
          <w:tcPr>
            <w:tcW w:w="2340" w:type="dxa"/>
          </w:tcPr>
          <w:p w:rsidR="009F26C6" w:rsidRDefault="00A72152">
            <w:r>
              <w:t>8.005</w:t>
            </w:r>
          </w:p>
        </w:tc>
      </w:tr>
    </w:tbl>
    <w:p w:rsidR="009F26C6" w:rsidRDefault="00A72152">
      <w:r>
        <w:t>Todas las p son menores a 0,001. Las versiones ordinal e IRT están en otra escala; la ordinal da un número menor porque también cuenta a quienes aumentaron una actividad, que son pocos (entre 2,5% y 5,5% por</w:t>
      </w:r>
      <w:r>
        <w:t xml:space="preserve"> ítem y ola).</w:t>
      </w:r>
    </w:p>
    <w:p w:rsidR="009F26C6" w:rsidRDefault="00A72152">
      <w:r>
        <w:t>Sin ponderar, la media del índice baja de 61,1 a 53,0, una caída casi idéntica a la ponderada. La versión sin CH_6 da la estimación más conservadora del cambio y es la recomendada para comparar olas.</w:t>
      </w:r>
    </w:p>
    <w:p w:rsidR="009F26C6" w:rsidRDefault="00A72152">
      <w:pPr>
        <w:pStyle w:val="Ttulo2"/>
      </w:pPr>
      <w:r>
        <w:t>Limitaciones e interpretación</w:t>
      </w:r>
    </w:p>
    <w:p w:rsidR="009F26C6" w:rsidRDefault="00A72152">
      <w:r>
        <w:t>El IEI mide cambios recientes en la frecuencia de las actividades, no cuánto se realizan; una caída del índice no prueba que la población haya recuperado sus actividades.</w:t>
      </w:r>
    </w:p>
    <w:p w:rsidR="009F26C6" w:rsidRDefault="00A72152">
      <w:pPr>
        <w:pStyle w:val="Prrafodelista"/>
        <w:numPr>
          <w:ilvl w:val="0"/>
          <w:numId w:val="7"/>
        </w:numPr>
      </w:pPr>
      <w:r>
        <w:rPr>
          <w:b/>
        </w:rPr>
        <w:t>Flujo, no stock.</w:t>
      </w:r>
      <w:r>
        <w:t xml:space="preserve"> La pregunta registra si la frecuencia aumentó, se mantuvo o disminuy</w:t>
      </w:r>
      <w:r>
        <w:t>ó. Quien ya había reducido sus salidas antes puede responder "se mantuvo" en 2025-2026. Solo entre 2,8% y 5,5% reporta haber aumentado alguna actividad en esa ola.</w:t>
      </w:r>
    </w:p>
    <w:p w:rsidR="009F26C6" w:rsidRDefault="00A72152">
      <w:pPr>
        <w:pStyle w:val="Prrafodelista"/>
        <w:numPr>
          <w:ilvl w:val="0"/>
          <w:numId w:val="7"/>
        </w:numPr>
      </w:pPr>
      <w:r>
        <w:rPr>
          <w:b/>
        </w:rPr>
        <w:t>Base cambiante.</w:t>
      </w:r>
      <w:r>
        <w:t xml:space="preserve"> La proporción de "no aplica" bajó en todos los ítems entre olas. Como el índ</w:t>
      </w:r>
      <w:r>
        <w:t>ice se calcula sobre las actividades aplicables, parte del cambio puede deberse a cómo se aplicó la pregunta. El DIF de CH_6 es la señal más clara; la versión sin ese ítem acota el problema.</w:t>
      </w:r>
    </w:p>
    <w:p w:rsidR="009F26C6" w:rsidRDefault="00A72152">
      <w:pPr>
        <w:pStyle w:val="Prrafodelista"/>
        <w:numPr>
          <w:ilvl w:val="0"/>
          <w:numId w:val="7"/>
        </w:numPr>
      </w:pPr>
      <w:r>
        <w:rPr>
          <w:b/>
        </w:rPr>
        <w:t>Composición de la muestra.</w:t>
      </w:r>
      <w:r>
        <w:t xml:space="preserve"> Las olas difieren en edad, ingreso dec</w:t>
      </w:r>
      <w:r>
        <w:t>larado y ocupación. La descomposición controla las características observadas, no las no observadas.</w:t>
      </w:r>
    </w:p>
    <w:p w:rsidR="009F26C6" w:rsidRDefault="00A72152">
      <w:pPr>
        <w:pStyle w:val="Prrafodelista"/>
        <w:numPr>
          <w:ilvl w:val="0"/>
          <w:numId w:val="7"/>
        </w:numPr>
      </w:pPr>
      <w:r>
        <w:rPr>
          <w:b/>
        </w:rPr>
        <w:t>Asociaciones, no efectos causales.</w:t>
      </w:r>
      <w:r>
        <w:t xml:space="preserve"> El diseño es de cortes transversales repetidos. La percepción de inseguridad y la evitación pueden reforzarse mutuamente</w:t>
      </w:r>
      <w:r>
        <w:t xml:space="preserve"> o responder a un mismo miedo.</w:t>
      </w:r>
    </w:p>
    <w:p w:rsidR="009F26C6" w:rsidRDefault="00A72152">
      <w:pPr>
        <w:pStyle w:val="Prrafodelista"/>
        <w:numPr>
          <w:ilvl w:val="0"/>
          <w:numId w:val="7"/>
        </w:numPr>
      </w:pPr>
      <w:r>
        <w:rPr>
          <w:b/>
        </w:rPr>
        <w:t>Diseño muestral.</w:t>
      </w:r>
      <w:r>
        <w:t xml:space="preserve"> La especificación principal no corrige por conglomerados ni estratos. Agrupar los errores por sector censal no cambia las conclusiones.</w:t>
      </w:r>
    </w:p>
    <w:p w:rsidR="009F26C6" w:rsidRDefault="00A72152">
      <w:pPr>
        <w:pStyle w:val="Prrafodelista"/>
        <w:numPr>
          <w:ilvl w:val="0"/>
          <w:numId w:val="7"/>
        </w:numPr>
      </w:pPr>
      <w:r>
        <w:rPr>
          <w:b/>
        </w:rPr>
        <w:lastRenderedPageBreak/>
        <w:t>Muestras zonales pequeñas.</w:t>
      </w:r>
      <w:r>
        <w:t xml:space="preserve"> En La Mariscal y Choco Andino hay menos de 52</w:t>
      </w:r>
      <w:r>
        <w:t>0 casos con índice; sus intervalos son amplios.</w:t>
      </w:r>
    </w:p>
    <w:p w:rsidR="009F26C6" w:rsidRDefault="00A72152">
      <w:pPr>
        <w:pStyle w:val="Ttulo2"/>
      </w:pPr>
      <w:r>
        <w:t>Reproducibilidad</w:t>
      </w:r>
    </w:p>
    <w:p w:rsidR="009F26C6" w:rsidRDefault="00A72152">
      <w:r>
        <w:t xml:space="preserve">Todos los números de este informe se reproducen con el cuaderno </w:t>
      </w:r>
      <w:r>
        <w:rPr>
          <w:rStyle w:val="CodeChar"/>
        </w:rPr>
        <w:t>EVPI_indice_evitacion_</w:t>
      </w:r>
      <w:proofErr w:type="gramStart"/>
      <w:r>
        <w:rPr>
          <w:rStyle w:val="CodeChar"/>
        </w:rPr>
        <w:t>inseguridad.ipynb</w:t>
      </w:r>
      <w:proofErr w:type="gramEnd"/>
      <w:r>
        <w:t xml:space="preserve"> en Google Colab, a partir del archivo </w:t>
      </w:r>
      <w:r>
        <w:rPr>
          <w:rStyle w:val="CodeChar"/>
        </w:rPr>
        <w:t>EVPI_2024_2026_VF_1.xlsx</w:t>
      </w:r>
      <w:r>
        <w:t>.</w:t>
      </w:r>
    </w:p>
    <w:p w:rsidR="009F26C6" w:rsidRDefault="00A72152">
      <w:pPr>
        <w:pStyle w:val="Prrafodelista"/>
        <w:numPr>
          <w:ilvl w:val="0"/>
          <w:numId w:val="8"/>
        </w:numPr>
      </w:pPr>
      <w:r>
        <w:t>Abrir el cuaderno en Co</w:t>
      </w:r>
      <w:r>
        <w:t xml:space="preserve">lab y ejecutar todas las celdas. La primera instala </w:t>
      </w:r>
      <w:r>
        <w:rPr>
          <w:rStyle w:val="CodeChar"/>
        </w:rPr>
        <w:t>girth</w:t>
      </w:r>
      <w:r>
        <w:t>, la librería del modelo IRT.</w:t>
      </w:r>
    </w:p>
    <w:p w:rsidR="009F26C6" w:rsidRDefault="00A72152">
      <w:pPr>
        <w:pStyle w:val="Prrafodelista"/>
        <w:numPr>
          <w:ilvl w:val="0"/>
          <w:numId w:val="8"/>
        </w:numPr>
      </w:pPr>
      <w:r>
        <w:t xml:space="preserve">Subir la base cuando se solicite, o montar Drive y poner la ruta en </w:t>
      </w:r>
      <w:r>
        <w:rPr>
          <w:rStyle w:val="CodeChar"/>
        </w:rPr>
        <w:t>RUTA</w:t>
      </w:r>
      <w:r>
        <w:t>.</w:t>
      </w:r>
    </w:p>
    <w:p w:rsidR="009F26C6" w:rsidRDefault="00A72152">
      <w:pPr>
        <w:pStyle w:val="Prrafodelista"/>
        <w:numPr>
          <w:ilvl w:val="0"/>
          <w:numId w:val="8"/>
        </w:numPr>
      </w:pPr>
      <w:r>
        <w:t>El cuaderno construye las covariables, los ítems, la validación psicométrica, el índice, el cam</w:t>
      </w:r>
      <w:r>
        <w:t>bio entre olas, los modelos, la descomposición y la sensibilidad. La ejecución completa tarda unos minutos; la parte más lenta es el bootstrap de la descomposición.</w:t>
      </w:r>
    </w:p>
    <w:p w:rsidR="009F26C6" w:rsidRDefault="00A72152">
      <w:pPr>
        <w:pStyle w:val="Prrafodelista"/>
        <w:numPr>
          <w:ilvl w:val="0"/>
          <w:numId w:val="8"/>
        </w:numPr>
      </w:pPr>
      <w:r>
        <w:t xml:space="preserve">Al final descarga </w:t>
      </w:r>
      <w:r>
        <w:rPr>
          <w:rStyle w:val="CodeChar"/>
        </w:rPr>
        <w:t>EVPI_indice_evitacion_inseguridad.xlsx</w:t>
      </w:r>
      <w:r>
        <w:t>, con las tablas del informe, las t</w:t>
      </w:r>
      <w:r>
        <w:t xml:space="preserve">res figuras y una hoja con el índice por persona y su </w:t>
      </w:r>
      <w:r>
        <w:rPr>
          <w:rStyle w:val="CodeChar"/>
        </w:rPr>
        <w:t>ID_Todo</w:t>
      </w:r>
      <w:r>
        <w:t xml:space="preserve"> para unirlo a la base.</w:t>
      </w:r>
    </w:p>
    <w:p w:rsidR="009F26C6" w:rsidRDefault="00A72152">
      <w:r>
        <w:t xml:space="preserve">El bootstrap usa la semilla 2026, por lo que los intervalos de la descomposición son idénticos en cada ejecución. Los errores estándar replican los de Stata con </w:t>
      </w:r>
      <w:r>
        <w:rPr>
          <w:rStyle w:val="CodeChar"/>
        </w:rPr>
        <w:t>[pw=peso_a</w:t>
      </w:r>
      <w:r>
        <w:rPr>
          <w:rStyle w:val="CodeChar"/>
        </w:rPr>
        <w:t>z_estrato], robust</w:t>
      </w:r>
      <w:r>
        <w:t>.</w:t>
      </w:r>
    </w:p>
    <w:p w:rsidR="009F26C6" w:rsidRDefault="00A72152">
      <w:r>
        <w:t>Cálculos en Python con pandas, statsmodels, scipy y girth.</w:t>
      </w:r>
    </w:p>
    <w:sectPr w:rsidR="009F26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355D3"/>
    <w:multiLevelType w:val="hybridMultilevel"/>
    <w:tmpl w:val="7E529E54"/>
    <w:lvl w:ilvl="0" w:tplc="A84C10D6">
      <w:start w:val="1"/>
      <w:numFmt w:val="decimal"/>
      <w:lvlText w:val="%1."/>
      <w:lvlJc w:val="left"/>
      <w:pPr>
        <w:ind w:left="720" w:hanging="360"/>
      </w:pPr>
    </w:lvl>
    <w:lvl w:ilvl="1" w:tplc="56CA10E6">
      <w:start w:val="1"/>
      <w:numFmt w:val="lowerLetter"/>
      <w:lvlText w:val="%2."/>
      <w:lvlJc w:val="left"/>
      <w:pPr>
        <w:ind w:left="1440" w:hanging="360"/>
      </w:pPr>
    </w:lvl>
    <w:lvl w:ilvl="2" w:tplc="9E6C154C">
      <w:start w:val="1"/>
      <w:numFmt w:val="lowerRoman"/>
      <w:lvlText w:val="%3."/>
      <w:lvlJc w:val="left"/>
      <w:pPr>
        <w:ind w:left="2160" w:hanging="360"/>
      </w:pPr>
    </w:lvl>
    <w:lvl w:ilvl="3" w:tplc="8766CE6E">
      <w:start w:val="1"/>
      <w:numFmt w:val="decimal"/>
      <w:lvlText w:val="%4."/>
      <w:lvlJc w:val="left"/>
      <w:pPr>
        <w:ind w:left="2880" w:hanging="360"/>
      </w:pPr>
    </w:lvl>
    <w:lvl w:ilvl="4" w:tplc="EE3C23FA">
      <w:start w:val="1"/>
      <w:numFmt w:val="lowerLetter"/>
      <w:lvlText w:val="%5."/>
      <w:lvlJc w:val="left"/>
      <w:pPr>
        <w:ind w:left="3600" w:hanging="360"/>
      </w:pPr>
    </w:lvl>
    <w:lvl w:ilvl="5" w:tplc="97B0E79E">
      <w:start w:val="1"/>
      <w:numFmt w:val="lowerRoman"/>
      <w:lvlText w:val="%6."/>
      <w:lvlJc w:val="left"/>
      <w:pPr>
        <w:ind w:left="4320" w:hanging="360"/>
      </w:pPr>
    </w:lvl>
    <w:lvl w:ilvl="6" w:tplc="419A0CC4">
      <w:start w:val="1"/>
      <w:numFmt w:val="decimal"/>
      <w:lvlText w:val="%7."/>
      <w:lvlJc w:val="left"/>
      <w:pPr>
        <w:ind w:left="5040" w:hanging="360"/>
      </w:pPr>
    </w:lvl>
    <w:lvl w:ilvl="7" w:tplc="11F44238">
      <w:start w:val="1"/>
      <w:numFmt w:val="lowerLetter"/>
      <w:lvlText w:val="%8."/>
      <w:lvlJc w:val="left"/>
      <w:pPr>
        <w:ind w:left="5760" w:hanging="360"/>
      </w:pPr>
    </w:lvl>
    <w:lvl w:ilvl="8" w:tplc="D0E46DF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24F6F0B"/>
    <w:multiLevelType w:val="hybridMultilevel"/>
    <w:tmpl w:val="6F0A5354"/>
    <w:lvl w:ilvl="0" w:tplc="30C0B386">
      <w:start w:val="1"/>
      <w:numFmt w:val="bullet"/>
      <w:lvlText w:val="•"/>
      <w:lvlJc w:val="left"/>
      <w:pPr>
        <w:ind w:left="720" w:hanging="360"/>
      </w:pPr>
    </w:lvl>
    <w:lvl w:ilvl="1" w:tplc="AEC43D9C">
      <w:start w:val="1"/>
      <w:numFmt w:val="bullet"/>
      <w:lvlText w:val="o"/>
      <w:lvlJc w:val="left"/>
      <w:pPr>
        <w:ind w:left="1440" w:hanging="360"/>
      </w:pPr>
    </w:lvl>
    <w:lvl w:ilvl="2" w:tplc="15B64E7A">
      <w:start w:val="1"/>
      <w:numFmt w:val="bullet"/>
      <w:lvlText w:val="▪"/>
      <w:lvlJc w:val="left"/>
      <w:pPr>
        <w:ind w:left="2160" w:hanging="360"/>
      </w:pPr>
    </w:lvl>
    <w:lvl w:ilvl="3" w:tplc="2F0A0F9C">
      <w:start w:val="1"/>
      <w:numFmt w:val="bullet"/>
      <w:lvlText w:val="•"/>
      <w:lvlJc w:val="left"/>
      <w:pPr>
        <w:ind w:left="2880" w:hanging="360"/>
      </w:pPr>
    </w:lvl>
    <w:lvl w:ilvl="4" w:tplc="35CA0100">
      <w:start w:val="1"/>
      <w:numFmt w:val="bullet"/>
      <w:lvlText w:val="o"/>
      <w:lvlJc w:val="left"/>
      <w:pPr>
        <w:ind w:left="3600" w:hanging="360"/>
      </w:pPr>
    </w:lvl>
    <w:lvl w:ilvl="5" w:tplc="DB20F1AA">
      <w:start w:val="1"/>
      <w:numFmt w:val="bullet"/>
      <w:lvlText w:val="▪"/>
      <w:lvlJc w:val="left"/>
      <w:pPr>
        <w:ind w:left="4320" w:hanging="360"/>
      </w:pPr>
    </w:lvl>
    <w:lvl w:ilvl="6" w:tplc="A4E8E7F6">
      <w:start w:val="1"/>
      <w:numFmt w:val="bullet"/>
      <w:lvlText w:val="•"/>
      <w:lvlJc w:val="left"/>
      <w:pPr>
        <w:ind w:left="5040" w:hanging="360"/>
      </w:pPr>
    </w:lvl>
    <w:lvl w:ilvl="7" w:tplc="4E6E6BEC">
      <w:start w:val="1"/>
      <w:numFmt w:val="bullet"/>
      <w:lvlText w:val="o"/>
      <w:lvlJc w:val="left"/>
      <w:pPr>
        <w:ind w:left="5760" w:hanging="360"/>
      </w:pPr>
    </w:lvl>
    <w:lvl w:ilvl="8" w:tplc="CD4ECB42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F26C6"/>
    <w:rsid w:val="009F26C6"/>
    <w:rsid w:val="00A7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AF46A"/>
  <w15:docId w15:val="{337D797C-D9DB-46BB-A44E-56157107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2404</Words>
  <Characters>13228</Characters>
  <Application>Microsoft Office Word</Application>
  <DocSecurity>0</DocSecurity>
  <Lines>110</Lines>
  <Paragraphs>31</Paragraphs>
  <ScaleCrop>false</ScaleCrop>
  <Company/>
  <LinksUpToDate>false</LinksUpToDate>
  <CharactersWithSpaces>15601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Evitación por Inseguridad (IEI) construcción y resultados</dc:title>
  <dc:description>Claude Docs node/02447443-3526@10 docx-w6</dc:description>
  <cp:lastModifiedBy>Jaramillo Ramon Juan Pablo</cp:lastModifiedBy>
  <cp:revision>12</cp:revision>
  <dcterms:created xsi:type="dcterms:W3CDTF">2026-10-01T16:29:00Z</dcterms:created>
  <dcterms:modified xsi:type="dcterms:W3CDTF">2026-10-01T16:30:00Z</dcterms:modified>
</cp:coreProperties>
</file>