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Pr>
          <w:rFonts w:ascii="Calibri" w:cs="Calibri" w:eastAsia="Calibri" w:hAnsi="Calibri"/>
          <w:b w:val="1"/>
          <w:bCs w:val="1"/>
          <w:color w:val="1f2d50"/>
          <w:sz w:val="34"/>
          <w:szCs w:val="34"/>
          <w:rtl w:val="0"/>
        </w:rPr>
        <w:t xml:space="preserve">¿Qué explica la mejora en la percepción de inseguridad? Evidencia del Centro Histórico de Quito, 2024-2026</w:t>
      </w:r>
      <w:r>
        <w:rPr>
          <w:rtl w:val="0"/>
        </w:rPr>
      </w:r>
    </w:p>
    <w:p w:rsidR="00000000" w:rsidDel="00000000" w:rsidP="00000000" w:rsidRDefault="00000000" w:rsidRPr="00000000" w14:paraId="00000002">
      <w:pPr>
        <w:spacing w:after="360" w:lineRule="auto"/>
        <w:rPr/>
      </w:pPr>
      <w:r>
        <w:rPr>
          <w:rFonts w:ascii="Calibri" w:cs="Calibri" w:eastAsia="Calibri" w:hAnsi="Calibri"/>
          <w:i w:val="1"/>
          <w:iCs w:val="1"/>
          <w:color w:val="5b6472"/>
          <w:sz w:val="21"/>
          <w:szCs w:val="21"/>
          <w:rtl w:val="0"/>
        </w:rPr>
        <w:t xml:space="preserve">Informe técnico — Observatorio Metropolitano de Seguridad Ciudadana y Gestión de Riesgos, Secretaría General de Seguridad Ciudadana y Gestión de Riesgos</w:t>
      </w:r>
      <w:r>
        <w:rPr>
          <w:rtl w:val="0"/>
        </w:rPr>
      </w:r>
    </w:p>
    <w:p w:rsidR="00000000" w:rsidDel="00000000" w:rsidP="00000000" w:rsidRDefault="00000000" w:rsidRPr="00000000" w14:paraId="00000003">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Resumen</w:t>
      </w:r>
      <w:r>
        <w:rPr>
          <w:rtl w:val="0"/>
        </w:rPr>
      </w:r>
    </w:p>
    <w:p w:rsidR="00000000" w:rsidDel="00000000" w:rsidP="00000000" w:rsidRDefault="00000000" w:rsidRPr="00000000" w14:paraId="00000004">
      <w:pPr>
        <w:spacing w:after="200" w:line="300" w:lineRule="auto"/>
        <w:jc w:val="both"/>
        <w:rPr/>
      </w:pPr>
      <w:r>
        <w:rPr>
          <w:rFonts w:ascii="Calibri" w:cs="Calibri" w:eastAsia="Calibri" w:hAnsi="Calibri"/>
          <w:sz w:val="22"/>
          <w:szCs w:val="22"/>
          <w:rtl w:val="0"/>
        </w:rPr>
        <w:t xml:space="preserve">Objetivo/contexto: entre 2024 y 2026, la percepción de inseguridad en el Centro Histórico de Quito cayó de forma sostenida, mientras la victimización reportada por sus tres poblaciones —la flotante, el comercio establecido y el comercio autónomo— se mantuvo prácticamente estancada. Este informe pregunta qué explica esa mejora si no es, principalmente, una reducción del delito.</w:t>
      </w:r>
      <w:r>
        <w:rPr>
          <w:rtl w:val="0"/>
        </w:rPr>
      </w:r>
    </w:p>
    <w:p w:rsidR="00000000" w:rsidDel="00000000" w:rsidP="00000000" w:rsidRDefault="00000000" w:rsidRPr="00000000" w14:paraId="00000005">
      <w:pPr>
        <w:spacing w:after="200" w:line="300" w:lineRule="auto"/>
        <w:jc w:val="both"/>
        <w:rPr/>
      </w:pPr>
      <w:r>
        <w:rPr>
          <w:rFonts w:ascii="Calibri" w:cs="Calibri" w:eastAsia="Calibri" w:hAnsi="Calibri"/>
          <w:sz w:val="22"/>
          <w:szCs w:val="22"/>
          <w:rtl w:val="0"/>
        </w:rPr>
        <w:t xml:space="preserve">Metodología: se construye un panel individual armonizado de 1.673 encuestas (818 de 2024, 855 de 2026) con las variables comparables entre ambas olas del Estudio de Victimización y Percepción de Seguridad Ciudadana (EVPSC). Se estima un modelo logístico de la probabilidad de percibir el sector como inseguro o muy inseguro, con efectos marginales promedio y errores robustos, y se descompone la brecha observada mediante una extensión no lineal —de tipo Fairlie— de la descomposición de Oaxaca-Blinder, reportada con las dos referencias de coeficientes posibles.</w:t>
      </w:r>
      <w:r>
        <w:rPr>
          <w:rtl w:val="0"/>
        </w:rPr>
      </w:r>
    </w:p>
    <w:p w:rsidR="00000000" w:rsidDel="00000000" w:rsidP="00000000" w:rsidRDefault="00000000" w:rsidRPr="00000000" w14:paraId="00000006">
      <w:pPr>
        <w:spacing w:after="200" w:line="300" w:lineRule="auto"/>
        <w:jc w:val="both"/>
        <w:rPr/>
      </w:pPr>
      <w:r>
        <w:rPr>
          <w:rFonts w:ascii="Calibri" w:cs="Calibri" w:eastAsia="Calibri" w:hAnsi="Calibri"/>
          <w:sz w:val="22"/>
          <w:szCs w:val="22"/>
          <w:rtl w:val="0"/>
        </w:rPr>
        <w:t xml:space="preserve">Conclusiones: la victimización individual y la presencia de personas en situación de calle son, con diferencia, los predictores más fuertes de la inseguridad percibida; la presencia de la Policía Nacional y del Cuerpo de Agentes de Control Metropolitano de Quito (CACMQ) la reducen de forma significativa. Sin embargo, según la estimación puntual, entre 72% y 78% de la mejora observada no se explica por cambios en estas condiciones medidas: la relación misma entre las condiciones del espacio público y su traducción en una sensación de (in)seguridad se modificó entre 2024 y 2026. Esa partición es imprecisa: los intervalos bootstrap indican que las condiciones medidas explicarían, como máximo, alrededor de la mitad de la mejora.</w:t>
      </w:r>
      <w:r>
        <w:rPr>
          <w:rtl w:val="0"/>
        </w:rPr>
      </w:r>
    </w:p>
    <w:p w:rsidR="00000000" w:rsidDel="00000000" w:rsidP="00000000" w:rsidRDefault="00000000" w:rsidRPr="00000000" w14:paraId="00000007">
      <w:pPr>
        <w:spacing w:after="200" w:line="300" w:lineRule="auto"/>
        <w:jc w:val="both"/>
        <w:rPr/>
      </w:pPr>
      <w:r>
        <w:rPr>
          <w:rFonts w:ascii="Calibri" w:cs="Calibri" w:eastAsia="Calibri" w:hAnsi="Calibri"/>
          <w:sz w:val="22"/>
          <w:szCs w:val="22"/>
          <w:rtl w:val="0"/>
        </w:rPr>
        <w:t xml:space="preserve">Originalidad: el informe aporta, para el caso ecuatoriano, una de las pocas descomposiciones cuantitativas de una mejora en percepción de seguridad ciudadana a escala de barrio, y muestra empíricamente que la presencia estatal visible —no solo la ausencia de delito— condiciona la experiencia subjetiva de la inseguridad urbana.</w:t>
      </w:r>
      <w:r>
        <w:rPr>
          <w:rtl w:val="0"/>
        </w:rPr>
      </w:r>
    </w:p>
    <w:p w:rsidR="00000000" w:rsidDel="00000000" w:rsidP="00000000" w:rsidRDefault="00000000" w:rsidRPr="00000000" w14:paraId="00000008">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1. Introducción</w:t>
      </w:r>
      <w:r>
        <w:rPr>
          <w:rtl w:val="0"/>
        </w:rPr>
      </w:r>
    </w:p>
    <w:p w:rsidR="00000000" w:rsidDel="00000000" w:rsidP="00000000" w:rsidRDefault="00000000" w:rsidRPr="00000000" w14:paraId="00000009">
      <w:pPr>
        <w:spacing w:after="200" w:line="300" w:lineRule="auto"/>
        <w:jc w:val="both"/>
        <w:rPr/>
      </w:pPr>
      <w:r>
        <w:rPr>
          <w:rFonts w:ascii="Calibri" w:cs="Calibri" w:eastAsia="Calibri" w:hAnsi="Calibri"/>
          <w:sz w:val="22"/>
          <w:szCs w:val="22"/>
          <w:rtl w:val="0"/>
        </w:rPr>
        <w:t xml:space="preserve">Entre agosto de 2024 y agosto de 2026, la proporción de personas que percibía el Centro Histórico de Quito como un lugar inseguro o muy inseguro cayó de 65,9% a 53,5% —una caída de 12,4 puntos porcentuales en dos años, entre las mejoras más rápidas que registra el Observatorio Metropolitano de Seguridad Ciudadana y Gestión de Riesgos (OMSCGR) en su serie de estudios de victimización y percepción para el sector. En el mismo periodo, sin embargo, la proporción de personas que declaró haber sido víctima de al menos un delito en el sector apenas se movió: de 32,4% a 31,9% en la muestra analizada aquí, y con una trayectoria en forma de U en el conjunto de la serie —33,4% en 2024, 27,5% en 2025 y 31,8% en 2026— para los tres actores del sector en su conjunto.</w:t>
      </w:r>
      <w:r>
        <w:rPr>
          <w:rtl w:val="0"/>
        </w:rPr>
      </w:r>
    </w:p>
    <w:p w:rsidR="00000000" w:rsidDel="00000000" w:rsidP="00000000" w:rsidRDefault="00000000" w:rsidRPr="00000000" w14:paraId="0000000A">
      <w:pPr>
        <w:spacing w:after="200" w:line="300" w:lineRule="auto"/>
        <w:jc w:val="both"/>
        <w:rPr/>
      </w:pPr>
      <w:r>
        <w:rPr>
          <w:rFonts w:ascii="Calibri" w:cs="Calibri" w:eastAsia="Calibri" w:hAnsi="Calibri"/>
          <w:sz w:val="22"/>
          <w:szCs w:val="22"/>
          <w:rtl w:val="0"/>
        </w:rPr>
        <w:t xml:space="preserve">El relato más intuitivo sobre una mejora de esta magnitud tiene un protagonista evidente: menos delito, más seguridad percibida. Es una inferencia razonable y, en el diseño de política pública, casi automática —si la percepción mejora, se asume que el problema que la origina se redujo. Sin embargo, esta lectura enfrenta un problema empírico. La victimización reportada no bajó de manera proporcional a la percepción; de hecho, entre 2025 y 2026 llegó a subir 4,3 puntos porcentuales, mientras la percepción de inseguridad seguía mejorando en el mismo periodo. Esta disociación entre lo que le ocurre objetivamente a la población y lo que declara sentir abre la pregunta que organiza este informe: ¿qué explica la mejora en la percepción de inseguridad del Centro Histórico si no es, principalmente, una reducción de la victimización?</w:t>
      </w:r>
      <w:r>
        <w:rPr>
          <w:rtl w:val="0"/>
        </w:rPr>
      </w:r>
    </w:p>
    <w:p w:rsidR="00000000" w:rsidDel="00000000" w:rsidP="00000000" w:rsidRDefault="00000000" w:rsidRPr="00000000" w14:paraId="0000000B">
      <w:pPr>
        <w:spacing w:after="200" w:line="300" w:lineRule="auto"/>
        <w:jc w:val="both"/>
        <w:rPr/>
      </w:pPr>
      <w:r>
        <w:rPr>
          <w:rFonts w:ascii="Calibri" w:cs="Calibri" w:eastAsia="Calibri" w:hAnsi="Calibri"/>
          <w:sz w:val="22"/>
          <w:szCs w:val="22"/>
          <w:rtl w:val="0"/>
        </w:rPr>
        <w:t xml:space="preserve">Argumentamos que la mejora se explica solo parcialmente por cambios en las condiciones objetivas del espacio público —menos personas en situación de calle, menos consumo de alcohol y drogas visibles, menos basura acumulada— y que una parte sustancial —probablemente la mayor— corresponde a un cambio en la relación misma entre esas condiciones y la experiencia subjetiva de la seguridad, un cambio que coincide con un aumento sustancial en la presencia percibida de la Policía Nacional y del Cuerpo de Agentes de Control Metropolitano de Quito (CACMQ). Dicho de otro modo: la mejora no es, principalmente, un problema que desapareció, sino una relación que el Estado, con su presencia visible, ayudó a reconfigurar. Esta lectura se inscribe en una tradición institucionalista más amplia para la que el Estado nunca es un espectador pasivo de la (in)seguridad urbana, sino una de sus variables condicionantes —de manera análoga a como su capacidad administrativa condiciona la traducción de choques externos en violencia homicida a escala nacional (Jaramillo-Ramón y Curvale 2026).</w:t>
      </w:r>
      <w:r>
        <w:rPr>
          <w:rtl w:val="0"/>
        </w:rPr>
      </w:r>
    </w:p>
    <w:p w:rsidR="00000000" w:rsidDel="00000000" w:rsidP="00000000" w:rsidRDefault="00000000" w:rsidRPr="00000000" w14:paraId="0000000C">
      <w:pPr>
        <w:spacing w:after="200" w:line="300" w:lineRule="auto"/>
        <w:jc w:val="both"/>
        <w:rPr/>
      </w:pPr>
      <w:r>
        <w:rPr>
          <w:rFonts w:ascii="Calibri" w:cs="Calibri" w:eastAsia="Calibri" w:hAnsi="Calibri"/>
          <w:sz w:val="22"/>
          <w:szCs w:val="22"/>
          <w:rtl w:val="0"/>
        </w:rPr>
        <w:t xml:space="preserve">Este informe se organiza en cinco secciones. La segunda describe los datos —un panel armonizado entre la primera ola del estudio (2024) y la más reciente (2026)— y la estrategia empírica: un modelo logístico de la percepción de inseguridad y una descomposición no lineal de tipo Oaxaca-Blinder/Fairlie. La tercera presenta los resultados: la brecha entre percepción y victimización, los factores que inciden en la percepción, y la descomposición de la mejora observada. La cuarta discute las implicaciones institucionales y las limitaciones del ejercicio. La quinta concluye con recomendaciones de política pública y una agenda de investigación futura.</w:t>
      </w:r>
      <w:r>
        <w:rPr>
          <w:rtl w:val="0"/>
        </w:rPr>
      </w:r>
    </w:p>
    <w:p w:rsidR="00000000" w:rsidDel="00000000" w:rsidP="00000000" w:rsidRDefault="00000000" w:rsidRPr="00000000" w14:paraId="0000000D">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2. Datos y método</w:t>
      </w:r>
      <w:r>
        <w:rPr>
          <w:rtl w:val="0"/>
        </w:rPr>
      </w:r>
    </w:p>
    <w:p w:rsidR="00000000" w:rsidDel="00000000" w:rsidP="00000000" w:rsidRDefault="00000000" w:rsidRPr="00000000" w14:paraId="0000000E">
      <w:pPr>
        <w:pStyle w:val="Heading2"/>
        <w:spacing w:after="140" w:before="240" w:lineRule="auto"/>
        <w:rPr/>
      </w:pPr>
      <w:r>
        <w:rPr>
          <w:rFonts w:ascii="Calibri" w:cs="Calibri" w:eastAsia="Calibri" w:hAnsi="Calibri"/>
          <w:b w:val="1"/>
          <w:bCs w:val="1"/>
          <w:color w:val="1f2d50"/>
          <w:sz w:val="23"/>
          <w:szCs w:val="23"/>
          <w:rtl w:val="0"/>
        </w:rPr>
        <w:t xml:space="preserve">2.1 El panel armonizado</w:t>
      </w:r>
      <w:r>
        <w:rPr>
          <w:rtl w:val="0"/>
        </w:rPr>
      </w:r>
    </w:p>
    <w:p w:rsidR="00000000" w:rsidDel="00000000" w:rsidP="00000000" w:rsidRDefault="00000000" w:rsidRPr="00000000" w14:paraId="0000000F">
      <w:pPr>
        <w:spacing w:after="200" w:line="300" w:lineRule="auto"/>
        <w:jc w:val="both"/>
        <w:rPr/>
      </w:pPr>
      <w:r>
        <w:rPr>
          <w:rFonts w:ascii="Calibri" w:cs="Calibri" w:eastAsia="Calibri" w:hAnsi="Calibri"/>
          <w:sz w:val="22"/>
          <w:szCs w:val="22"/>
          <w:rtl w:val="0"/>
        </w:rPr>
        <w:t xml:space="preserve">Los datos provienen de dos olas del Estudio de Victimización y Percepción de Seguridad Ciudadana (EVPSC) que el OMSCGR aplica en el Centro Histórico de Quito a sus tres poblaciones estructurales: la población flotante (visitantes y peatones), los locales comerciales establecidos y el comercio autónomo regularizado. La primera ola (agosto de 2024) antecede a la reestructuración del instrumento que incorporó, a partir de 2025, los módulos de cambios de hábito, control del comercio informal y evaluación de las brigadas de seguridad; por esa razón, la ola 2024 no es comparable con 2025-2026 en esas dimensiones y se excluye de este ejercicio. Sí lo es, en cambio, en el núcleo de variables que ambas olas comparten: la percepción general de inseguridad, la victimización de los últimos doce meses, nueve fenómenos de convivencia ciudadana en el espacio público, la presencia percibida de tres instituciones de seguridad, y las características sociodemográficas básicas del encuestado.</w:t>
      </w:r>
      <w:r>
        <w:rPr>
          <w:rtl w:val="0"/>
        </w:rPr>
      </w:r>
    </w:p>
    <w:p w:rsidR="00000000" w:rsidDel="00000000" w:rsidP="00000000" w:rsidRDefault="00000000" w:rsidRPr="00000000" w14:paraId="00000010">
      <w:pPr>
        <w:spacing w:after="200" w:line="300" w:lineRule="auto"/>
        <w:jc w:val="both"/>
        <w:rPr/>
      </w:pPr>
      <w:r>
        <w:rPr>
          <w:rFonts w:ascii="Calibri" w:cs="Calibri" w:eastAsia="Calibri" w:hAnsi="Calibri"/>
          <w:sz w:val="22"/>
          <w:szCs w:val="22"/>
          <w:rtl w:val="0"/>
        </w:rPr>
        <w:t xml:space="preserve">El panel resultante reúne 818 observaciones de 2024 y 855 de 2026, distribuidas de forma similar entre los tres actores en ambas olas. Tras excluir observaciones con valores perdidos en alguna de las covariables del modelo, la muestra analítica queda en 1.607 individuos. Es importante subrayar que se trata de un diseño de corte transversal repetido —dos fotografías independientes del mismo sector, no un seguimiento de los mismos individuos en el tiempo—, una limitación que retomamos en la discusión.</w:t>
      </w:r>
      <w:r>
        <w:rPr>
          <w:rtl w:val="0"/>
        </w:rPr>
      </w:r>
    </w:p>
    <w:p w:rsidR="00000000" w:rsidDel="00000000" w:rsidP="00000000" w:rsidRDefault="00000000" w:rsidRPr="00000000" w14:paraId="00000011">
      <w:pPr>
        <w:pStyle w:val="Heading2"/>
        <w:spacing w:after="140" w:before="240" w:lineRule="auto"/>
        <w:rPr/>
      </w:pPr>
      <w:r>
        <w:rPr>
          <w:rFonts w:ascii="Calibri" w:cs="Calibri" w:eastAsia="Calibri" w:hAnsi="Calibri"/>
          <w:b w:val="1"/>
          <w:bCs w:val="1"/>
          <w:color w:val="1f2d50"/>
          <w:sz w:val="23"/>
          <w:szCs w:val="23"/>
          <w:rtl w:val="0"/>
        </w:rPr>
        <w:t xml:space="preserve">2.2 El modelo de percepción de inseguridad</w:t>
      </w:r>
      <w:r>
        <w:rPr>
          <w:rtl w:val="0"/>
        </w:rPr>
      </w:r>
    </w:p>
    <w:p w:rsidR="00000000" w:rsidDel="00000000" w:rsidP="00000000" w:rsidRDefault="00000000" w:rsidRPr="00000000" w14:paraId="00000012">
      <w:pPr>
        <w:spacing w:after="200" w:line="300" w:lineRule="auto"/>
        <w:jc w:val="both"/>
        <w:rPr/>
      </w:pPr>
      <w:r>
        <w:rPr>
          <w:rFonts w:ascii="Calibri" w:cs="Calibri" w:eastAsia="Calibri" w:hAnsi="Calibri"/>
          <w:sz w:val="22"/>
          <w:szCs w:val="22"/>
          <w:rtl w:val="0"/>
        </w:rPr>
        <w:t xml:space="preserve">Se estima un modelo de regresión logística cuya variable dependiente toma valor 1 si la persona declaró sentirse insegura o muy insegura en el sector en los últimos doce meses, y 0 si declaró sentirse segura o muy segura. Las covariables incluyen el sexo del encuestado, haber sido víctima de al menos un delito, haber presenciado nueve fenómenos de convivencia en el espacio público (peleas, presencia de personas en situación de calle, consumo de alcohol, consumo de drogas, daño a la propiedad, fauna urbana, basura, ruidos molestos y aglomeración de personas), haber presenciado ferias gastronómicas o culturales, haber visto trabajar a tres instituciones de seguridad —la Policía Nacional, el Cuerpo de Agentes de Control Metropolitano de Quito (CACMQ) y las Fuerzas Armadas—, el tipo de actor (con el comercio autónomo como categoría de referencia) y un indicador del año de la encuesta. Los errores estándar se estiman de forma robusta a heterocedasticidad (HC1). Se reportan efectos marginales promedio (average marginal effects), que expresan cada coeficiente en la métrica, más interpretable, de puntos porcentuales de probabilidad.</w:t>
      </w:r>
      <w:r>
        <w:rPr>
          <w:rtl w:val="0"/>
        </w:rPr>
      </w:r>
    </w:p>
    <w:p w:rsidR="00000000" w:rsidDel="00000000" w:rsidP="00000000" w:rsidRDefault="00000000" w:rsidRPr="00000000" w14:paraId="00000013">
      <w:pPr>
        <w:pStyle w:val="Heading2"/>
        <w:spacing w:after="140" w:before="240" w:lineRule="auto"/>
        <w:rPr/>
      </w:pPr>
      <w:r>
        <w:rPr>
          <w:rFonts w:ascii="Calibri" w:cs="Calibri" w:eastAsia="Calibri" w:hAnsi="Calibri"/>
          <w:b w:val="1"/>
          <w:bCs w:val="1"/>
          <w:color w:val="1f2d50"/>
          <w:sz w:val="23"/>
          <w:szCs w:val="23"/>
          <w:rtl w:val="0"/>
        </w:rPr>
        <w:t xml:space="preserve">2.3 La descomposición de la brecha 2024-2026</w:t>
      </w:r>
      <w:r>
        <w:rPr>
          <w:rtl w:val="0"/>
        </w:rPr>
      </w:r>
    </w:p>
    <w:p w:rsidR="00000000" w:rsidDel="00000000" w:rsidP="00000000" w:rsidRDefault="00000000" w:rsidRPr="00000000" w14:paraId="00000014">
      <w:pPr>
        <w:spacing w:after="200" w:line="300" w:lineRule="auto"/>
        <w:jc w:val="both"/>
        <w:rPr/>
      </w:pPr>
      <w:r>
        <w:rPr>
          <w:rFonts w:ascii="Calibri" w:cs="Calibri" w:eastAsia="Calibri" w:hAnsi="Calibri"/>
          <w:sz w:val="22"/>
          <w:szCs w:val="22"/>
          <w:rtl w:val="0"/>
        </w:rPr>
        <w:t xml:space="preserve">Para responder específicamente qué explica la mejora observada, se estiman dos modelos logísticos idénticos por separado —uno con los datos de 2024, otro con los de 2026— y se aplica una extensión no lineal de la descomposición de Oaxaca-Blinder al estilo propuesto por Fairlie (2005) para variables dependientes binarias. La lógica es la siguiente: la brecha total entre la probabilidad media de sentirse inseguro en 2024 y en 2026 se separa en un componente explicado —cuánto cambiaría la probabilidad predicha si solo cambiara la composición de las covariables (por ejemplo, la proporción de personas que reportan ver personas en situación de calle), manteniendo fija la relación entre esas covariables y la percepción— y un componente no explicado, que atribuye a un cambio en esa relación misma (los coeficientes) el resto de la brecha. Como en toda descomposición de este tipo, el resultado depende de qué año se use como referencia para fijar los coeficientes —el llamado problema del número índice—, por lo que se reportan ambas versiones. La descomposición detallada por variable, que distribuye el componente explicado entre las distintas covariables, usa la aproximación lineal de Yun (2004): el producto del coeficiente de referencia por el cambio en la media de cada variable, escalado por la derivada de la función logística en el punto medio de la muestra conjunta. Esta aproximación es informativa sobre la magnitud y la dirección de cada contribución, pero no reconstruye exactamente el total no lineal, una limitación que se discute más adelante. Los intervalos de confianza de la descomposición se obtienen mediante un bootstrap no paramétrico de 300 réplicas que remuestrea personas dentro de cada ola.</w:t>
      </w:r>
      <w:r>
        <w:rPr>
          <w:rtl w:val="0"/>
        </w:rPr>
      </w:r>
    </w:p>
    <w:p w:rsidR="00000000" w:rsidDel="00000000" w:rsidP="00000000" w:rsidRDefault="00000000" w:rsidRPr="00000000" w14:paraId="00000015">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3. Resultados</w:t>
      </w:r>
      <w:r>
        <w:rPr>
          <w:rtl w:val="0"/>
        </w:rPr>
      </w:r>
    </w:p>
    <w:p w:rsidR="00000000" w:rsidDel="00000000" w:rsidP="00000000" w:rsidRDefault="00000000" w:rsidRPr="00000000" w14:paraId="00000016">
      <w:pPr>
        <w:pStyle w:val="Heading2"/>
        <w:spacing w:after="140" w:before="240" w:lineRule="auto"/>
        <w:rPr/>
      </w:pPr>
      <w:r>
        <w:rPr>
          <w:rFonts w:ascii="Calibri" w:cs="Calibri" w:eastAsia="Calibri" w:hAnsi="Calibri"/>
          <w:b w:val="1"/>
          <w:bCs w:val="1"/>
          <w:color w:val="1f2d50"/>
          <w:sz w:val="23"/>
          <w:szCs w:val="23"/>
          <w:rtl w:val="0"/>
        </w:rPr>
        <w:t xml:space="preserve">3.1 Una brecha que se abre entre percepción y victimización</w:t>
      </w:r>
      <w:r>
        <w:rPr>
          <w:rtl w:val="0"/>
        </w:rPr>
      </w:r>
    </w:p>
    <w:p w:rsidR="00000000" w:rsidDel="00000000" w:rsidP="00000000" w:rsidRDefault="00000000" w:rsidRPr="00000000" w14:paraId="00000017">
      <w:pPr>
        <w:spacing w:after="200" w:line="300" w:lineRule="auto"/>
        <w:jc w:val="both"/>
        <w:rPr/>
      </w:pPr>
      <w:r>
        <w:rPr>
          <w:rFonts w:ascii="Calibri" w:cs="Calibri" w:eastAsia="Calibri" w:hAnsi="Calibri"/>
          <w:sz w:val="22"/>
          <w:szCs w:val="22"/>
          <w:rtl w:val="0"/>
        </w:rPr>
        <w:t xml:space="preserve">El Cuadro 1 presenta la percepción de inseguridad y la victimización de los tres actores del Centro Histórico en las tres olas disponibles. Los tres coinciden en una misma dirección de cambio en la percepción —una mejora sostenida entre 2024 y 2026— pero difieren en su relación con la victimización. La población flotante es el único actor cuya percepción empeoró en el último año (de 51,5% a 53,7%) pese a partir del nivel más bajo de victimización de los tres; los locales comerciales y el comercio autónomo, en cambio, registran la mejora en percepción más marcada —cerca de 18 y 23 puntos porcentuales respectivamente entre 2024 y 2026— sin que su victimización haya caído de forma proporcional: el comercio autónomo, de hecho, cierra 2026 con la victimización más alta de los tres actores y en aumento respecto de 2025.</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1f2d50" w:val="clear"/>
            <w:tcMar>
              <w:top w:w="80.0" w:type="dxa"/>
              <w:left w:w="100.0" w:type="dxa"/>
              <w:bottom w:w="80.0" w:type="dxa"/>
              <w:right w:w="100.0" w:type="dxa"/>
            </w:tcMar>
          </w:tcPr>
          <w:p w:rsidR="00000000" w:rsidDel="00000000" w:rsidP="00000000" w:rsidRDefault="00000000" w:rsidRPr="00000000" w14:paraId="00000018">
            <w:pPr>
              <w:rPr/>
            </w:pPr>
            <w:r>
              <w:rPr>
                <w:rFonts w:ascii="Calibri" w:cs="Calibri" w:eastAsia="Calibri" w:hAnsi="Calibri"/>
                <w:b w:val="1"/>
                <w:bCs w:val="1"/>
                <w:color w:val="ffffff"/>
                <w:sz w:val="19"/>
                <w:szCs w:val="19"/>
                <w:rtl w:val="0"/>
              </w:rPr>
              <w:t xml:space="preserve">Actor</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19">
            <w:pPr>
              <w:rPr/>
            </w:pPr>
            <w:r>
              <w:rPr>
                <w:rFonts w:ascii="Calibri" w:cs="Calibri" w:eastAsia="Calibri" w:hAnsi="Calibri"/>
                <w:b w:val="1"/>
                <w:bCs w:val="1"/>
                <w:color w:val="ffffff"/>
                <w:sz w:val="19"/>
                <w:szCs w:val="19"/>
                <w:rtl w:val="0"/>
              </w:rPr>
              <w:t xml:space="preserve">Percepción insegura 2024 → 2025 → 2026</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1A">
            <w:pPr>
              <w:rPr/>
            </w:pPr>
            <w:r>
              <w:rPr>
                <w:rFonts w:ascii="Calibri" w:cs="Calibri" w:eastAsia="Calibri" w:hAnsi="Calibri"/>
                <w:b w:val="1"/>
                <w:bCs w:val="1"/>
                <w:color w:val="ffffff"/>
                <w:sz w:val="19"/>
                <w:szCs w:val="19"/>
                <w:rtl w:val="0"/>
              </w:rPr>
              <w:t xml:space="preserve">Victimización 2024 → 2025 → 2026</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rPr/>
            </w:pPr>
            <w:r>
              <w:rPr>
                <w:rFonts w:ascii="Calibri" w:cs="Calibri" w:eastAsia="Calibri" w:hAnsi="Calibri"/>
                <w:sz w:val="19"/>
                <w:szCs w:val="19"/>
                <w:rtl w:val="0"/>
              </w:rPr>
              <w:t xml:space="preserve">Población flotante</w:t>
            </w:r>
            <w:r>
              <w:rPr>
                <w:rtl w:val="0"/>
              </w:rPr>
            </w:r>
          </w:p>
        </w:tc>
        <w:tc>
          <w:tcPr>
            <w:tcMar>
              <w:top w:w="60.0" w:type="dxa"/>
              <w:left w:w="100.0" w:type="dxa"/>
              <w:bottom w:w="60.0" w:type="dxa"/>
              <w:right w:w="100.0" w:type="dxa"/>
            </w:tcMar>
          </w:tcPr>
          <w:p w:rsidR="00000000" w:rsidDel="00000000" w:rsidP="00000000" w:rsidRDefault="00000000" w:rsidRPr="00000000" w14:paraId="0000001C">
            <w:pPr>
              <w:rPr/>
            </w:pPr>
            <w:r>
              <w:rPr>
                <w:rFonts w:ascii="Calibri" w:cs="Calibri" w:eastAsia="Calibri" w:hAnsi="Calibri"/>
                <w:sz w:val="19"/>
                <w:szCs w:val="19"/>
                <w:rtl w:val="0"/>
              </w:rPr>
              <w:t xml:space="preserve">59,7% → 51,5% → 53,7%</w:t>
            </w:r>
            <w:r>
              <w:rPr>
                <w:rtl w:val="0"/>
              </w:rPr>
            </w:r>
          </w:p>
        </w:tc>
        <w:tc>
          <w:tcPr>
            <w:tcMar>
              <w:top w:w="60.0" w:type="dxa"/>
              <w:left w:w="100.0" w:type="dxa"/>
              <w:bottom w:w="60.0" w:type="dxa"/>
              <w:right w:w="100.0" w:type="dxa"/>
            </w:tcMar>
          </w:tcPr>
          <w:p w:rsidR="00000000" w:rsidDel="00000000" w:rsidP="00000000" w:rsidRDefault="00000000" w:rsidRPr="00000000" w14:paraId="0000001D">
            <w:pPr>
              <w:rPr/>
            </w:pPr>
            <w:r>
              <w:rPr>
                <w:rFonts w:ascii="Calibri" w:cs="Calibri" w:eastAsia="Calibri" w:hAnsi="Calibri"/>
                <w:sz w:val="19"/>
                <w:szCs w:val="19"/>
                <w:rtl w:val="0"/>
              </w:rPr>
              <w:t xml:space="preserve">15,1% → 15,8% → 20,7%</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rPr/>
            </w:pPr>
            <w:r>
              <w:rPr>
                <w:rFonts w:ascii="Calibri" w:cs="Calibri" w:eastAsia="Calibri" w:hAnsi="Calibri"/>
                <w:sz w:val="19"/>
                <w:szCs w:val="19"/>
                <w:rtl w:val="0"/>
              </w:rPr>
              <w:t xml:space="preserve">Locales comerciales</w:t>
            </w:r>
            <w:r>
              <w:rPr>
                <w:rtl w:val="0"/>
              </w:rPr>
            </w:r>
          </w:p>
        </w:tc>
        <w:tc>
          <w:tcPr>
            <w:tcMar>
              <w:top w:w="60.0" w:type="dxa"/>
              <w:left w:w="100.0" w:type="dxa"/>
              <w:bottom w:w="60.0" w:type="dxa"/>
              <w:right w:w="100.0" w:type="dxa"/>
            </w:tcMar>
          </w:tcPr>
          <w:p w:rsidR="00000000" w:rsidDel="00000000" w:rsidP="00000000" w:rsidRDefault="00000000" w:rsidRPr="00000000" w14:paraId="0000001F">
            <w:pPr>
              <w:rPr/>
            </w:pPr>
            <w:r>
              <w:rPr>
                <w:rFonts w:ascii="Calibri" w:cs="Calibri" w:eastAsia="Calibri" w:hAnsi="Calibri"/>
                <w:sz w:val="19"/>
                <w:szCs w:val="19"/>
                <w:rtl w:val="0"/>
              </w:rPr>
              <w:t xml:space="preserve">72,6% → 62,2% → 54,9%</w:t>
            </w:r>
            <w:r>
              <w:rPr>
                <w:rtl w:val="0"/>
              </w:rPr>
            </w:r>
          </w:p>
        </w:tc>
        <w:tc>
          <w:tcPr>
            <w:tcMar>
              <w:top w:w="60.0" w:type="dxa"/>
              <w:left w:w="100.0" w:type="dxa"/>
              <w:bottom w:w="60.0" w:type="dxa"/>
              <w:right w:w="100.0" w:type="dxa"/>
            </w:tcMar>
          </w:tcPr>
          <w:p w:rsidR="00000000" w:rsidDel="00000000" w:rsidP="00000000" w:rsidRDefault="00000000" w:rsidRPr="00000000" w14:paraId="00000020">
            <w:pPr>
              <w:rPr/>
            </w:pPr>
            <w:r>
              <w:rPr>
                <w:rFonts w:ascii="Calibri" w:cs="Calibri" w:eastAsia="Calibri" w:hAnsi="Calibri"/>
                <w:sz w:val="19"/>
                <w:szCs w:val="19"/>
                <w:rtl w:val="0"/>
              </w:rPr>
              <w:t xml:space="preserve">50,0% → 39,1% → 39,9%</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rPr/>
            </w:pPr>
            <w:r>
              <w:rPr>
                <w:rFonts w:ascii="Calibri" w:cs="Calibri" w:eastAsia="Calibri" w:hAnsi="Calibri"/>
                <w:sz w:val="19"/>
                <w:szCs w:val="19"/>
                <w:rtl w:val="0"/>
              </w:rPr>
              <w:t xml:space="preserve">Comercio autónomo</w:t>
            </w:r>
            <w:r>
              <w:rPr>
                <w:rtl w:val="0"/>
              </w:rPr>
            </w:r>
          </w:p>
        </w:tc>
        <w:tc>
          <w:tcPr>
            <w:tcMar>
              <w:top w:w="60.0" w:type="dxa"/>
              <w:left w:w="100.0" w:type="dxa"/>
              <w:bottom w:w="60.0" w:type="dxa"/>
              <w:right w:w="100.0" w:type="dxa"/>
            </w:tcMar>
          </w:tcPr>
          <w:p w:rsidR="00000000" w:rsidDel="00000000" w:rsidP="00000000" w:rsidRDefault="00000000" w:rsidRPr="00000000" w14:paraId="00000022">
            <w:pPr>
              <w:rPr/>
            </w:pPr>
            <w:r>
              <w:rPr>
                <w:rFonts w:ascii="Calibri" w:cs="Calibri" w:eastAsia="Calibri" w:hAnsi="Calibri"/>
                <w:sz w:val="19"/>
                <w:szCs w:val="19"/>
                <w:rtl w:val="0"/>
              </w:rPr>
              <w:t xml:space="preserve">72,4% → 55,7% → 49,0%</w:t>
            </w:r>
            <w:r>
              <w:rPr>
                <w:rtl w:val="0"/>
              </w:rPr>
            </w:r>
          </w:p>
        </w:tc>
        <w:tc>
          <w:tcPr>
            <w:tcMar>
              <w:top w:w="60.0" w:type="dxa"/>
              <w:left w:w="100.0" w:type="dxa"/>
              <w:bottom w:w="60.0" w:type="dxa"/>
              <w:right w:w="100.0" w:type="dxa"/>
            </w:tcMar>
          </w:tcPr>
          <w:p w:rsidR="00000000" w:rsidDel="00000000" w:rsidP="00000000" w:rsidRDefault="00000000" w:rsidRPr="00000000" w14:paraId="00000023">
            <w:pPr>
              <w:rPr/>
            </w:pPr>
            <w:r>
              <w:rPr>
                <w:rFonts w:ascii="Calibri" w:cs="Calibri" w:eastAsia="Calibri" w:hAnsi="Calibri"/>
                <w:sz w:val="19"/>
                <w:szCs w:val="19"/>
                <w:rtl w:val="0"/>
              </w:rPr>
              <w:t xml:space="preserve">51,3% → 40,5% → 45,8%</w:t>
            </w:r>
            <w:r>
              <w:rPr>
                <w:rtl w:val="0"/>
              </w:rPr>
            </w:r>
          </w:p>
        </w:tc>
      </w:tr>
    </w:tbl>
    <w:p w:rsidR="00000000" w:rsidDel="00000000" w:rsidP="00000000" w:rsidRDefault="00000000" w:rsidRPr="00000000" w14:paraId="00000024">
      <w:pPr>
        <w:spacing w:after="240" w:before="100" w:lineRule="auto"/>
        <w:rPr/>
      </w:pPr>
      <w:r>
        <w:rPr>
          <w:rFonts w:ascii="Calibri" w:cs="Calibri" w:eastAsia="Calibri" w:hAnsi="Calibri"/>
          <w:i w:val="1"/>
          <w:iCs w:val="1"/>
          <w:color w:val="5b6472"/>
          <w:sz w:val="18"/>
          <w:szCs w:val="18"/>
          <w:rtl w:val="0"/>
        </w:rPr>
        <w:t xml:space="preserve">Cuadro 1. Percepción de inseguridad y victimización por actor, Centro Histórico de Quito, 2024-2026. Fuente: EVPSC-OMSCGR.</w:t>
      </w:r>
      <w:r>
        <w:rPr>
          <w:rtl w:val="0"/>
        </w:rPr>
      </w:r>
    </w:p>
    <w:p w:rsidR="00000000" w:rsidDel="00000000" w:rsidP="00000000" w:rsidRDefault="00000000" w:rsidRPr="00000000" w14:paraId="00000025">
      <w:pPr>
        <w:pStyle w:val="Heading2"/>
        <w:spacing w:after="140" w:before="240" w:lineRule="auto"/>
        <w:rPr/>
      </w:pPr>
      <w:r>
        <w:rPr>
          <w:rFonts w:ascii="Calibri" w:cs="Calibri" w:eastAsia="Calibri" w:hAnsi="Calibri"/>
          <w:b w:val="1"/>
          <w:bCs w:val="1"/>
          <w:color w:val="1f2d50"/>
          <w:sz w:val="23"/>
          <w:szCs w:val="23"/>
          <w:rtl w:val="0"/>
        </w:rPr>
        <w:t xml:space="preserve">3.2 Qué incide en la percepción de inseguridad: el modelo</w:t>
      </w:r>
      <w:r>
        <w:rPr>
          <w:rtl w:val="0"/>
        </w:rPr>
      </w:r>
    </w:p>
    <w:p w:rsidR="00000000" w:rsidDel="00000000" w:rsidP="00000000" w:rsidRDefault="00000000" w:rsidRPr="00000000" w14:paraId="00000026">
      <w:pPr>
        <w:spacing w:after="200" w:line="300" w:lineRule="auto"/>
        <w:jc w:val="both"/>
        <w:rPr/>
      </w:pPr>
      <w:r>
        <w:rPr>
          <w:rFonts w:ascii="Calibri" w:cs="Calibri" w:eastAsia="Calibri" w:hAnsi="Calibri"/>
          <w:sz w:val="22"/>
          <w:szCs w:val="22"/>
          <w:rtl w:val="0"/>
        </w:rPr>
        <w:t xml:space="preserve">El Cuadro 2 reporta los efectos marginales promedio del modelo logístico agrupado. La presencia de personas en situación de calle en el espacio público es, con diferencia, el predictor más fuerte del modelo (+21,3 p.p. (p=0,000)), por encima incluso de haber sido víctima directa de un delito (+18,5 p.p. (p=0,000)). Le siguen, en magnitud, el consumo de drogas visible (+9,0 p.p. (p=0,001)), pertenecer a la población flotante en comparación con el comercio autónomo (+8,7 p.p. (p=0,035)), las peleas o riñas en el espacio público (+8,3 p.p. (p=0,002)) y el consumo de alcohol (+7,8 p.p. (p=0,008)). Ser hombre reduce la probabilidad de sentirse inseguro en 12,5 puntos porcentuales frente a ser mujer, la brecha de género más consistente de la literatura sobre percepción de inseguridad urbana.</w:t>
      </w:r>
      <w:r>
        <w:rPr>
          <w:rtl w:val="0"/>
        </w:rPr>
      </w:r>
    </w:p>
    <w:p w:rsidR="00000000" w:rsidDel="00000000" w:rsidP="00000000" w:rsidRDefault="00000000" w:rsidRPr="00000000" w14:paraId="00000027">
      <w:pPr>
        <w:spacing w:after="200" w:line="300" w:lineRule="auto"/>
        <w:jc w:val="both"/>
        <w:rPr/>
      </w:pPr>
      <w:r>
        <w:rPr>
          <w:rFonts w:ascii="Calibri" w:cs="Calibri" w:eastAsia="Calibri" w:hAnsi="Calibri"/>
          <w:sz w:val="22"/>
          <w:szCs w:val="22"/>
          <w:rtl w:val="0"/>
        </w:rPr>
        <w:t xml:space="preserve">Entre las variables institucionales, ver trabajar a la Policía Nacional reduce la probabilidad de sentirse inseguro en 9,7 puntos porcentuales (p=0,002), y ver trabajar al CACMQ la reduce en 7,7 puntos (p=0,039); ambos efectos son estadísticamente significativos y del orden de magnitud de los fenómenos de convivencia más nocivos. La presencia de las Fuerzas Armadas, en cambio, no tiene un efecto distinguible de cero (+2,0 p.p. (p=0,441)), un primer indicio —que la descomposición de la siguiente subsección profundiza— de que no todas las formas de presencia estatal se traducen de la misma manera en seguridad percibida.</w:t>
      </w:r>
      <w:r>
        <w:rPr>
          <w:rtl w:val="0"/>
        </w:rPr>
      </w:r>
    </w:p>
    <w:p w:rsidR="00000000" w:rsidDel="00000000" w:rsidP="00000000" w:rsidRDefault="00000000" w:rsidRPr="00000000" w14:paraId="00000028">
      <w:pPr>
        <w:spacing w:after="200" w:line="300" w:lineRule="auto"/>
        <w:jc w:val="both"/>
        <w:rPr/>
      </w:pPr>
      <w:r>
        <w:rPr>
          <w:rFonts w:ascii="Calibri" w:cs="Calibri" w:eastAsia="Calibri" w:hAnsi="Calibri"/>
          <w:sz w:val="22"/>
          <w:szCs w:val="22"/>
          <w:rtl w:val="0"/>
        </w:rPr>
        <w:t xml:space="preserve">Un resultado contraintuitivo merece señalarse: la aglomeración de personas en el espacio público es el único fenómeno de convivencia que reduce, en lugar de aumentar, la inseguridad percibida (-6,0 p.p., p=0,021). Lejos de leerse como una amenaza, la afluencia de gente parece funcionar como una señal de vitalidad urbana y de seguridad por presencia ("eyes on the street", en el sentido clásico de Jacobs 1961): un espacio público concurrido se percibe como más controlado, no como más expuesto.</w:t>
      </w:r>
      <w:r>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1f2d50" w:val="clear"/>
            <w:tcMar>
              <w:top w:w="80.0" w:type="dxa"/>
              <w:left w:w="100.0" w:type="dxa"/>
              <w:bottom w:w="80.0" w:type="dxa"/>
              <w:right w:w="100.0" w:type="dxa"/>
            </w:tcMar>
          </w:tcPr>
          <w:p w:rsidR="00000000" w:rsidDel="00000000" w:rsidP="00000000" w:rsidRDefault="00000000" w:rsidRPr="00000000" w14:paraId="00000029">
            <w:pPr>
              <w:rPr/>
            </w:pPr>
            <w:r>
              <w:rPr>
                <w:rFonts w:ascii="Calibri" w:cs="Calibri" w:eastAsia="Calibri" w:hAnsi="Calibri"/>
                <w:b w:val="1"/>
                <w:bCs w:val="1"/>
                <w:color w:val="ffffff"/>
                <w:sz w:val="19"/>
                <w:szCs w:val="19"/>
                <w:rtl w:val="0"/>
              </w:rPr>
              <w:t xml:space="preserve">Variable</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2A">
            <w:pPr>
              <w:rPr/>
            </w:pPr>
            <w:r>
              <w:rPr>
                <w:rFonts w:ascii="Calibri" w:cs="Calibri" w:eastAsia="Calibri" w:hAnsi="Calibri"/>
                <w:b w:val="1"/>
                <w:bCs w:val="1"/>
                <w:color w:val="ffffff"/>
                <w:sz w:val="19"/>
                <w:szCs w:val="19"/>
                <w:rtl w:val="0"/>
              </w:rPr>
              <w:t xml:space="preserve">Efecto marginal</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2B">
            <w:pPr>
              <w:rPr/>
            </w:pPr>
            <w:r>
              <w:rPr>
                <w:rFonts w:ascii="Calibri" w:cs="Calibri" w:eastAsia="Calibri" w:hAnsi="Calibri"/>
                <w:b w:val="1"/>
                <w:bCs w:val="1"/>
                <w:color w:val="ffffff"/>
                <w:sz w:val="19"/>
                <w:szCs w:val="19"/>
                <w:rtl w:val="0"/>
              </w:rPr>
              <w:t xml:space="preserve">Valor p</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C">
            <w:pPr>
              <w:rPr/>
            </w:pPr>
            <w:r>
              <w:rPr>
                <w:rFonts w:ascii="Calibri" w:cs="Calibri" w:eastAsia="Calibri" w:hAnsi="Calibri"/>
                <w:sz w:val="19"/>
                <w:szCs w:val="19"/>
                <w:rtl w:val="0"/>
              </w:rPr>
              <w:t xml:space="preserve">Personas en situación de calle</w:t>
            </w:r>
            <w:r>
              <w:rPr>
                <w:rtl w:val="0"/>
              </w:rPr>
            </w:r>
          </w:p>
        </w:tc>
        <w:tc>
          <w:tcPr>
            <w:tcMar>
              <w:top w:w="60.0" w:type="dxa"/>
              <w:left w:w="100.0" w:type="dxa"/>
              <w:bottom w:w="60.0" w:type="dxa"/>
              <w:right w:w="100.0" w:type="dxa"/>
            </w:tcMar>
          </w:tcPr>
          <w:p w:rsidR="00000000" w:rsidDel="00000000" w:rsidP="00000000" w:rsidRDefault="00000000" w:rsidRPr="00000000" w14:paraId="0000002D">
            <w:pPr>
              <w:rPr/>
            </w:pPr>
            <w:r>
              <w:rPr>
                <w:rFonts w:ascii="Calibri" w:cs="Calibri" w:eastAsia="Calibri" w:hAnsi="Calibri"/>
                <w:sz w:val="19"/>
                <w:szCs w:val="19"/>
                <w:rtl w:val="0"/>
              </w:rPr>
              <w:t xml:space="preserve">+21,3 p.p.**</w:t>
            </w:r>
            <w:r>
              <w:rPr>
                <w:rtl w:val="0"/>
              </w:rPr>
            </w:r>
          </w:p>
        </w:tc>
        <w:tc>
          <w:tcPr>
            <w:tcMar>
              <w:top w:w="60.0" w:type="dxa"/>
              <w:left w:w="100.0" w:type="dxa"/>
              <w:bottom w:w="60.0" w:type="dxa"/>
              <w:right w:w="100.0" w:type="dxa"/>
            </w:tcMar>
          </w:tcPr>
          <w:p w:rsidR="00000000" w:rsidDel="00000000" w:rsidP="00000000" w:rsidRDefault="00000000" w:rsidRPr="00000000" w14:paraId="0000002E">
            <w:pPr>
              <w:rPr/>
            </w:pPr>
            <w:r>
              <w:rPr>
                <w:rFonts w:ascii="Calibri" w:cs="Calibri" w:eastAsia="Calibri" w:hAnsi="Calibri"/>
                <w:sz w:val="19"/>
                <w:szCs w:val="19"/>
                <w:rtl w:val="0"/>
              </w:rPr>
              <w:t xml:space="preserve">0,000</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F">
            <w:pPr>
              <w:rPr/>
            </w:pPr>
            <w:r>
              <w:rPr>
                <w:rFonts w:ascii="Calibri" w:cs="Calibri" w:eastAsia="Calibri" w:hAnsi="Calibri"/>
                <w:sz w:val="19"/>
                <w:szCs w:val="19"/>
                <w:rtl w:val="0"/>
              </w:rPr>
              <w:t xml:space="preserve">Haber sido víctima de un delito</w:t>
            </w:r>
            <w:r>
              <w:rPr>
                <w:rtl w:val="0"/>
              </w:rPr>
            </w:r>
          </w:p>
        </w:tc>
        <w:tc>
          <w:tcPr>
            <w:tcMar>
              <w:top w:w="60.0" w:type="dxa"/>
              <w:left w:w="100.0" w:type="dxa"/>
              <w:bottom w:w="60.0" w:type="dxa"/>
              <w:right w:w="100.0" w:type="dxa"/>
            </w:tcMar>
          </w:tcPr>
          <w:p w:rsidR="00000000" w:rsidDel="00000000" w:rsidP="00000000" w:rsidRDefault="00000000" w:rsidRPr="00000000" w14:paraId="00000030">
            <w:pPr>
              <w:rPr/>
            </w:pPr>
            <w:r>
              <w:rPr>
                <w:rFonts w:ascii="Calibri" w:cs="Calibri" w:eastAsia="Calibri" w:hAnsi="Calibri"/>
                <w:sz w:val="19"/>
                <w:szCs w:val="19"/>
                <w:rtl w:val="0"/>
              </w:rPr>
              <w:t xml:space="preserve">+18,5 p.p.**</w:t>
            </w:r>
            <w:r>
              <w:rPr>
                <w:rtl w:val="0"/>
              </w:rPr>
            </w:r>
          </w:p>
        </w:tc>
        <w:tc>
          <w:tcPr>
            <w:tcMar>
              <w:top w:w="60.0" w:type="dxa"/>
              <w:left w:w="100.0" w:type="dxa"/>
              <w:bottom w:w="60.0" w:type="dxa"/>
              <w:right w:w="100.0" w:type="dxa"/>
            </w:tcMar>
          </w:tcPr>
          <w:p w:rsidR="00000000" w:rsidDel="00000000" w:rsidP="00000000" w:rsidRDefault="00000000" w:rsidRPr="00000000" w14:paraId="00000031">
            <w:pPr>
              <w:rPr/>
            </w:pPr>
            <w:r>
              <w:rPr>
                <w:rFonts w:ascii="Calibri" w:cs="Calibri" w:eastAsia="Calibri" w:hAnsi="Calibri"/>
                <w:sz w:val="19"/>
                <w:szCs w:val="19"/>
                <w:rtl w:val="0"/>
              </w:rPr>
              <w:t xml:space="preserve">0,000</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rPr/>
            </w:pPr>
            <w:r>
              <w:rPr>
                <w:rFonts w:ascii="Calibri" w:cs="Calibri" w:eastAsia="Calibri" w:hAnsi="Calibri"/>
                <w:sz w:val="19"/>
                <w:szCs w:val="19"/>
                <w:rtl w:val="0"/>
              </w:rPr>
              <w:t xml:space="preserve">Ser hombre (vs. mujer)</w:t>
            </w:r>
            <w:r>
              <w:rPr>
                <w:rtl w:val="0"/>
              </w:rPr>
            </w:r>
          </w:p>
        </w:tc>
        <w:tc>
          <w:tcPr>
            <w:tcMar>
              <w:top w:w="60.0" w:type="dxa"/>
              <w:left w:w="100.0" w:type="dxa"/>
              <w:bottom w:w="60.0" w:type="dxa"/>
              <w:right w:w="100.0" w:type="dxa"/>
            </w:tcMar>
          </w:tcPr>
          <w:p w:rsidR="00000000" w:rsidDel="00000000" w:rsidP="00000000" w:rsidRDefault="00000000" w:rsidRPr="00000000" w14:paraId="00000033">
            <w:pPr>
              <w:rPr/>
            </w:pPr>
            <w:r>
              <w:rPr>
                <w:rFonts w:ascii="Calibri" w:cs="Calibri" w:eastAsia="Calibri" w:hAnsi="Calibri"/>
                <w:sz w:val="19"/>
                <w:szCs w:val="19"/>
                <w:rtl w:val="0"/>
              </w:rPr>
              <w:t xml:space="preserve">-12,5 p.p.**</w:t>
            </w:r>
            <w:r>
              <w:rPr>
                <w:rtl w:val="0"/>
              </w:rPr>
            </w:r>
          </w:p>
        </w:tc>
        <w:tc>
          <w:tcPr>
            <w:tcMar>
              <w:top w:w="60.0" w:type="dxa"/>
              <w:left w:w="100.0" w:type="dxa"/>
              <w:bottom w:w="60.0" w:type="dxa"/>
              <w:right w:w="100.0" w:type="dxa"/>
            </w:tcMar>
          </w:tcPr>
          <w:p w:rsidR="00000000" w:rsidDel="00000000" w:rsidP="00000000" w:rsidRDefault="00000000" w:rsidRPr="00000000" w14:paraId="00000034">
            <w:pPr>
              <w:rPr/>
            </w:pPr>
            <w:r>
              <w:rPr>
                <w:rFonts w:ascii="Calibri" w:cs="Calibri" w:eastAsia="Calibri" w:hAnsi="Calibri"/>
                <w:sz w:val="19"/>
                <w:szCs w:val="19"/>
                <w:rtl w:val="0"/>
              </w:rPr>
              <w:t xml:space="preserve">0,000</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rPr/>
            </w:pPr>
            <w:r>
              <w:rPr>
                <w:rFonts w:ascii="Calibri" w:cs="Calibri" w:eastAsia="Calibri" w:hAnsi="Calibri"/>
                <w:sz w:val="19"/>
                <w:szCs w:val="19"/>
                <w:rtl w:val="0"/>
              </w:rPr>
              <w:t xml:space="preserve">Vio trabajar a la Policía Nacional</w:t>
            </w:r>
            <w:r>
              <w:rPr>
                <w:rtl w:val="0"/>
              </w:rPr>
            </w:r>
          </w:p>
        </w:tc>
        <w:tc>
          <w:tcPr>
            <w:tcMar>
              <w:top w:w="60.0" w:type="dxa"/>
              <w:left w:w="100.0" w:type="dxa"/>
              <w:bottom w:w="60.0" w:type="dxa"/>
              <w:right w:w="100.0" w:type="dxa"/>
            </w:tcMar>
          </w:tcPr>
          <w:p w:rsidR="00000000" w:rsidDel="00000000" w:rsidP="00000000" w:rsidRDefault="00000000" w:rsidRPr="00000000" w14:paraId="00000036">
            <w:pPr>
              <w:rPr/>
            </w:pPr>
            <w:r>
              <w:rPr>
                <w:rFonts w:ascii="Calibri" w:cs="Calibri" w:eastAsia="Calibri" w:hAnsi="Calibri"/>
                <w:sz w:val="19"/>
                <w:szCs w:val="19"/>
                <w:rtl w:val="0"/>
              </w:rPr>
              <w:t xml:space="preserve">-9,7 p.p.**</w:t>
            </w:r>
            <w:r>
              <w:rPr>
                <w:rtl w:val="0"/>
              </w:rPr>
            </w:r>
          </w:p>
        </w:tc>
        <w:tc>
          <w:tcPr>
            <w:tcMar>
              <w:top w:w="60.0" w:type="dxa"/>
              <w:left w:w="100.0" w:type="dxa"/>
              <w:bottom w:w="60.0" w:type="dxa"/>
              <w:right w:w="100.0" w:type="dxa"/>
            </w:tcMar>
          </w:tcPr>
          <w:p w:rsidR="00000000" w:rsidDel="00000000" w:rsidP="00000000" w:rsidRDefault="00000000" w:rsidRPr="00000000" w14:paraId="00000037">
            <w:pPr>
              <w:rPr/>
            </w:pPr>
            <w:r>
              <w:rPr>
                <w:rFonts w:ascii="Calibri" w:cs="Calibri" w:eastAsia="Calibri" w:hAnsi="Calibri"/>
                <w:sz w:val="19"/>
                <w:szCs w:val="19"/>
                <w:rtl w:val="0"/>
              </w:rPr>
              <w:t xml:space="preserve">0,002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rPr/>
            </w:pPr>
            <w:r>
              <w:rPr>
                <w:rFonts w:ascii="Calibri" w:cs="Calibri" w:eastAsia="Calibri" w:hAnsi="Calibri"/>
                <w:sz w:val="19"/>
                <w:szCs w:val="19"/>
                <w:rtl w:val="0"/>
              </w:rPr>
              <w:t xml:space="preserve">Año 2026 (vs. 2024, a igual composición)</w:t>
            </w:r>
            <w:r>
              <w:rPr>
                <w:rtl w:val="0"/>
              </w:rPr>
            </w:r>
          </w:p>
        </w:tc>
        <w:tc>
          <w:tcPr>
            <w:tcMar>
              <w:top w:w="60.0" w:type="dxa"/>
              <w:left w:w="100.0" w:type="dxa"/>
              <w:bottom w:w="60.0" w:type="dxa"/>
              <w:right w:w="100.0" w:type="dxa"/>
            </w:tcMar>
          </w:tcPr>
          <w:p w:rsidR="00000000" w:rsidDel="00000000" w:rsidP="00000000" w:rsidRDefault="00000000" w:rsidRPr="00000000" w14:paraId="00000039">
            <w:pPr>
              <w:rPr/>
            </w:pPr>
            <w:r>
              <w:rPr>
                <w:rFonts w:ascii="Calibri" w:cs="Calibri" w:eastAsia="Calibri" w:hAnsi="Calibri"/>
                <w:sz w:val="19"/>
                <w:szCs w:val="19"/>
                <w:rtl w:val="0"/>
              </w:rPr>
              <w:t xml:space="preserve">-9,3 p.p.**</w:t>
            </w:r>
            <w:r>
              <w:rPr>
                <w:rtl w:val="0"/>
              </w:rPr>
            </w:r>
          </w:p>
        </w:tc>
        <w:tc>
          <w:tcPr>
            <w:tcMar>
              <w:top w:w="60.0" w:type="dxa"/>
              <w:left w:w="100.0" w:type="dxa"/>
              <w:bottom w:w="60.0" w:type="dxa"/>
              <w:right w:w="100.0" w:type="dxa"/>
            </w:tcMar>
          </w:tcPr>
          <w:p w:rsidR="00000000" w:rsidDel="00000000" w:rsidP="00000000" w:rsidRDefault="00000000" w:rsidRPr="00000000" w14:paraId="0000003A">
            <w:pPr>
              <w:rPr/>
            </w:pPr>
            <w:r>
              <w:rPr>
                <w:rFonts w:ascii="Calibri" w:cs="Calibri" w:eastAsia="Calibri" w:hAnsi="Calibri"/>
                <w:sz w:val="19"/>
                <w:szCs w:val="19"/>
                <w:rtl w:val="0"/>
              </w:rPr>
              <w:t xml:space="preserve">0,000</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rPr/>
            </w:pPr>
            <w:r>
              <w:rPr>
                <w:rFonts w:ascii="Calibri" w:cs="Calibri" w:eastAsia="Calibri" w:hAnsi="Calibri"/>
                <w:sz w:val="19"/>
                <w:szCs w:val="19"/>
                <w:rtl w:val="0"/>
              </w:rPr>
              <w:t xml:space="preserve">Consumo de drogas en el espacio público</w:t>
            </w:r>
            <w:r>
              <w:rPr>
                <w:rtl w:val="0"/>
              </w:rPr>
            </w:r>
          </w:p>
        </w:tc>
        <w:tc>
          <w:tcPr>
            <w:tcMar>
              <w:top w:w="60.0" w:type="dxa"/>
              <w:left w:w="100.0" w:type="dxa"/>
              <w:bottom w:w="60.0" w:type="dxa"/>
              <w:right w:w="100.0" w:type="dxa"/>
            </w:tcMar>
          </w:tcPr>
          <w:p w:rsidR="00000000" w:rsidDel="00000000" w:rsidP="00000000" w:rsidRDefault="00000000" w:rsidRPr="00000000" w14:paraId="0000003C">
            <w:pPr>
              <w:rPr/>
            </w:pPr>
            <w:r>
              <w:rPr>
                <w:rFonts w:ascii="Calibri" w:cs="Calibri" w:eastAsia="Calibri" w:hAnsi="Calibri"/>
                <w:sz w:val="19"/>
                <w:szCs w:val="19"/>
                <w:rtl w:val="0"/>
              </w:rPr>
              <w:t xml:space="preserve">+9,0 p.p.**</w:t>
            </w:r>
            <w:r>
              <w:rPr>
                <w:rtl w:val="0"/>
              </w:rPr>
            </w:r>
          </w:p>
        </w:tc>
        <w:tc>
          <w:tcPr>
            <w:tcMar>
              <w:top w:w="60.0" w:type="dxa"/>
              <w:left w:w="100.0" w:type="dxa"/>
              <w:bottom w:w="60.0" w:type="dxa"/>
              <w:right w:w="100.0" w:type="dxa"/>
            </w:tcMar>
          </w:tcPr>
          <w:p w:rsidR="00000000" w:rsidDel="00000000" w:rsidP="00000000" w:rsidRDefault="00000000" w:rsidRPr="00000000" w14:paraId="0000003D">
            <w:pPr>
              <w:rPr/>
            </w:pPr>
            <w:r>
              <w:rPr>
                <w:rFonts w:ascii="Calibri" w:cs="Calibri" w:eastAsia="Calibri" w:hAnsi="Calibri"/>
                <w:sz w:val="19"/>
                <w:szCs w:val="19"/>
                <w:rtl w:val="0"/>
              </w:rPr>
              <w:t xml:space="preserve">0,001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rPr/>
            </w:pPr>
            <w:r>
              <w:rPr>
                <w:rFonts w:ascii="Calibri" w:cs="Calibri" w:eastAsia="Calibri" w:hAnsi="Calibri"/>
                <w:sz w:val="19"/>
                <w:szCs w:val="19"/>
                <w:rtl w:val="0"/>
              </w:rPr>
              <w:t xml:space="preserve">Ser población flotante (vs. comercio autónomo)</w:t>
            </w:r>
            <w:r>
              <w:rPr>
                <w:rtl w:val="0"/>
              </w:rPr>
            </w:r>
          </w:p>
        </w:tc>
        <w:tc>
          <w:tcPr>
            <w:tcMar>
              <w:top w:w="60.0" w:type="dxa"/>
              <w:left w:w="100.0" w:type="dxa"/>
              <w:bottom w:w="60.0" w:type="dxa"/>
              <w:right w:w="100.0" w:type="dxa"/>
            </w:tcMar>
          </w:tcPr>
          <w:p w:rsidR="00000000" w:rsidDel="00000000" w:rsidP="00000000" w:rsidRDefault="00000000" w:rsidRPr="00000000" w14:paraId="0000003F">
            <w:pPr>
              <w:rPr/>
            </w:pPr>
            <w:r>
              <w:rPr>
                <w:rFonts w:ascii="Calibri" w:cs="Calibri" w:eastAsia="Calibri" w:hAnsi="Calibri"/>
                <w:sz w:val="19"/>
                <w:szCs w:val="19"/>
                <w:rtl w:val="0"/>
              </w:rPr>
              <w:t xml:space="preserve">+8,7 p.p.*</w:t>
            </w:r>
            <w:r>
              <w:rPr>
                <w:rtl w:val="0"/>
              </w:rPr>
            </w:r>
          </w:p>
        </w:tc>
        <w:tc>
          <w:tcPr>
            <w:tcMar>
              <w:top w:w="60.0" w:type="dxa"/>
              <w:left w:w="100.0" w:type="dxa"/>
              <w:bottom w:w="60.0" w:type="dxa"/>
              <w:right w:w="100.0" w:type="dxa"/>
            </w:tcMar>
          </w:tcPr>
          <w:p w:rsidR="00000000" w:rsidDel="00000000" w:rsidP="00000000" w:rsidRDefault="00000000" w:rsidRPr="00000000" w14:paraId="00000040">
            <w:pPr>
              <w:rPr/>
            </w:pPr>
            <w:r>
              <w:rPr>
                <w:rFonts w:ascii="Calibri" w:cs="Calibri" w:eastAsia="Calibri" w:hAnsi="Calibri"/>
                <w:sz w:val="19"/>
                <w:szCs w:val="19"/>
                <w:rtl w:val="0"/>
              </w:rPr>
              <w:t xml:space="preserve">0,035</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rPr/>
            </w:pPr>
            <w:r>
              <w:rPr>
                <w:rFonts w:ascii="Calibri" w:cs="Calibri" w:eastAsia="Calibri" w:hAnsi="Calibri"/>
                <w:sz w:val="19"/>
                <w:szCs w:val="19"/>
                <w:rtl w:val="0"/>
              </w:rPr>
              <w:t xml:space="preserve">Peleas o riñas en el espacio público</w:t>
            </w:r>
            <w:r>
              <w:rPr>
                <w:rtl w:val="0"/>
              </w:rPr>
            </w:r>
          </w:p>
        </w:tc>
        <w:tc>
          <w:tcPr>
            <w:tcMar>
              <w:top w:w="60.0" w:type="dxa"/>
              <w:left w:w="100.0" w:type="dxa"/>
              <w:bottom w:w="60.0" w:type="dxa"/>
              <w:right w:w="100.0" w:type="dxa"/>
            </w:tcMar>
          </w:tcPr>
          <w:p w:rsidR="00000000" w:rsidDel="00000000" w:rsidP="00000000" w:rsidRDefault="00000000" w:rsidRPr="00000000" w14:paraId="00000042">
            <w:pPr>
              <w:rPr/>
            </w:pPr>
            <w:r>
              <w:rPr>
                <w:rFonts w:ascii="Calibri" w:cs="Calibri" w:eastAsia="Calibri" w:hAnsi="Calibri"/>
                <w:sz w:val="19"/>
                <w:szCs w:val="19"/>
                <w:rtl w:val="0"/>
              </w:rPr>
              <w:t xml:space="preserve">+8,3 p.p.**</w:t>
            </w:r>
            <w:r>
              <w:rPr>
                <w:rtl w:val="0"/>
              </w:rPr>
            </w:r>
          </w:p>
        </w:tc>
        <w:tc>
          <w:tcPr>
            <w:tcMar>
              <w:top w:w="60.0" w:type="dxa"/>
              <w:left w:w="100.0" w:type="dxa"/>
              <w:bottom w:w="60.0" w:type="dxa"/>
              <w:right w:w="100.0" w:type="dxa"/>
            </w:tcMar>
          </w:tcPr>
          <w:p w:rsidR="00000000" w:rsidDel="00000000" w:rsidP="00000000" w:rsidRDefault="00000000" w:rsidRPr="00000000" w14:paraId="00000043">
            <w:pPr>
              <w:rPr/>
            </w:pPr>
            <w:r>
              <w:rPr>
                <w:rFonts w:ascii="Calibri" w:cs="Calibri" w:eastAsia="Calibri" w:hAnsi="Calibri"/>
                <w:sz w:val="19"/>
                <w:szCs w:val="19"/>
                <w:rtl w:val="0"/>
              </w:rPr>
              <w:t xml:space="preserve">0,002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4">
            <w:pPr>
              <w:rPr/>
            </w:pPr>
            <w:r>
              <w:rPr>
                <w:rFonts w:ascii="Calibri" w:cs="Calibri" w:eastAsia="Calibri" w:hAnsi="Calibri"/>
                <w:sz w:val="19"/>
                <w:szCs w:val="19"/>
                <w:rtl w:val="0"/>
              </w:rPr>
              <w:t xml:space="preserve">Consumo de alcohol en el espacio público</w:t>
            </w:r>
            <w:r>
              <w:rPr>
                <w:rtl w:val="0"/>
              </w:rPr>
            </w:r>
          </w:p>
        </w:tc>
        <w:tc>
          <w:tcPr>
            <w:tcMar>
              <w:top w:w="60.0" w:type="dxa"/>
              <w:left w:w="100.0" w:type="dxa"/>
              <w:bottom w:w="60.0" w:type="dxa"/>
              <w:right w:w="100.0" w:type="dxa"/>
            </w:tcMar>
          </w:tcPr>
          <w:p w:rsidR="00000000" w:rsidDel="00000000" w:rsidP="00000000" w:rsidRDefault="00000000" w:rsidRPr="00000000" w14:paraId="00000045">
            <w:pPr>
              <w:rPr/>
            </w:pPr>
            <w:r>
              <w:rPr>
                <w:rFonts w:ascii="Calibri" w:cs="Calibri" w:eastAsia="Calibri" w:hAnsi="Calibri"/>
                <w:sz w:val="19"/>
                <w:szCs w:val="19"/>
                <w:rtl w:val="0"/>
              </w:rPr>
              <w:t xml:space="preserve">+7,8 p.p.**</w:t>
            </w:r>
            <w:r>
              <w:rPr>
                <w:rtl w:val="0"/>
              </w:rPr>
            </w:r>
          </w:p>
        </w:tc>
        <w:tc>
          <w:tcPr>
            <w:tcMar>
              <w:top w:w="60.0" w:type="dxa"/>
              <w:left w:w="100.0" w:type="dxa"/>
              <w:bottom w:w="60.0" w:type="dxa"/>
              <w:right w:w="100.0" w:type="dxa"/>
            </w:tcMar>
          </w:tcPr>
          <w:p w:rsidR="00000000" w:rsidDel="00000000" w:rsidP="00000000" w:rsidRDefault="00000000" w:rsidRPr="00000000" w14:paraId="00000046">
            <w:pPr>
              <w:rPr/>
            </w:pPr>
            <w:r>
              <w:rPr>
                <w:rFonts w:ascii="Calibri" w:cs="Calibri" w:eastAsia="Calibri" w:hAnsi="Calibri"/>
                <w:sz w:val="19"/>
                <w:szCs w:val="19"/>
                <w:rtl w:val="0"/>
              </w:rPr>
              <w:t xml:space="preserve">0,008</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rPr/>
            </w:pPr>
            <w:r>
              <w:rPr>
                <w:rFonts w:ascii="Calibri" w:cs="Calibri" w:eastAsia="Calibri" w:hAnsi="Calibri"/>
                <w:sz w:val="19"/>
                <w:szCs w:val="19"/>
                <w:rtl w:val="0"/>
              </w:rPr>
              <w:t xml:space="preserve">Vio trabajar al CACMQ</w:t>
            </w:r>
            <w:r>
              <w:rPr>
                <w:rtl w:val="0"/>
              </w:rPr>
            </w:r>
          </w:p>
        </w:tc>
        <w:tc>
          <w:tcPr>
            <w:tcMar>
              <w:top w:w="60.0" w:type="dxa"/>
              <w:left w:w="100.0" w:type="dxa"/>
              <w:bottom w:w="60.0" w:type="dxa"/>
              <w:right w:w="100.0" w:type="dxa"/>
            </w:tcMar>
          </w:tcPr>
          <w:p w:rsidR="00000000" w:rsidDel="00000000" w:rsidP="00000000" w:rsidRDefault="00000000" w:rsidRPr="00000000" w14:paraId="00000048">
            <w:pPr>
              <w:rPr/>
            </w:pPr>
            <w:r>
              <w:rPr>
                <w:rFonts w:ascii="Calibri" w:cs="Calibri" w:eastAsia="Calibri" w:hAnsi="Calibri"/>
                <w:sz w:val="19"/>
                <w:szCs w:val="19"/>
                <w:rtl w:val="0"/>
              </w:rPr>
              <w:t xml:space="preserve">-7,7 p.p.*</w:t>
            </w:r>
            <w:r>
              <w:rPr>
                <w:rtl w:val="0"/>
              </w:rPr>
            </w:r>
          </w:p>
        </w:tc>
        <w:tc>
          <w:tcPr>
            <w:tcMar>
              <w:top w:w="60.0" w:type="dxa"/>
              <w:left w:w="100.0" w:type="dxa"/>
              <w:bottom w:w="60.0" w:type="dxa"/>
              <w:right w:w="100.0" w:type="dxa"/>
            </w:tcMar>
          </w:tcPr>
          <w:p w:rsidR="00000000" w:rsidDel="00000000" w:rsidP="00000000" w:rsidRDefault="00000000" w:rsidRPr="00000000" w14:paraId="00000049">
            <w:pPr>
              <w:rPr/>
            </w:pPr>
            <w:r>
              <w:rPr>
                <w:rFonts w:ascii="Calibri" w:cs="Calibri" w:eastAsia="Calibri" w:hAnsi="Calibri"/>
                <w:sz w:val="19"/>
                <w:szCs w:val="19"/>
                <w:rtl w:val="0"/>
              </w:rPr>
              <w:t xml:space="preserve">0,039</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rPr/>
            </w:pPr>
            <w:r>
              <w:rPr>
                <w:rFonts w:ascii="Calibri" w:cs="Calibri" w:eastAsia="Calibri" w:hAnsi="Calibri"/>
                <w:sz w:val="19"/>
                <w:szCs w:val="19"/>
                <w:rtl w:val="0"/>
              </w:rPr>
              <w:t xml:space="preserve">Aglomeración de personas</w:t>
            </w:r>
            <w:r>
              <w:rPr>
                <w:rtl w:val="0"/>
              </w:rPr>
            </w:r>
          </w:p>
        </w:tc>
        <w:tc>
          <w:tcPr>
            <w:tcMar>
              <w:top w:w="60.0" w:type="dxa"/>
              <w:left w:w="100.0" w:type="dxa"/>
              <w:bottom w:w="60.0" w:type="dxa"/>
              <w:right w:w="100.0" w:type="dxa"/>
            </w:tcMar>
          </w:tcPr>
          <w:p w:rsidR="00000000" w:rsidDel="00000000" w:rsidP="00000000" w:rsidRDefault="00000000" w:rsidRPr="00000000" w14:paraId="0000004B">
            <w:pPr>
              <w:rPr/>
            </w:pPr>
            <w:r>
              <w:rPr>
                <w:rFonts w:ascii="Calibri" w:cs="Calibri" w:eastAsia="Calibri" w:hAnsi="Calibri"/>
                <w:sz w:val="19"/>
                <w:szCs w:val="19"/>
                <w:rtl w:val="0"/>
              </w:rPr>
              <w:t xml:space="preserve">-6,0 p.p.*</w:t>
            </w:r>
            <w:r>
              <w:rPr>
                <w:rtl w:val="0"/>
              </w:rPr>
            </w:r>
          </w:p>
        </w:tc>
        <w:tc>
          <w:tcPr>
            <w:tcMar>
              <w:top w:w="60.0" w:type="dxa"/>
              <w:left w:w="100.0" w:type="dxa"/>
              <w:bottom w:w="60.0" w:type="dxa"/>
              <w:right w:w="100.0" w:type="dxa"/>
            </w:tcMar>
          </w:tcPr>
          <w:p w:rsidR="00000000" w:rsidDel="00000000" w:rsidP="00000000" w:rsidRDefault="00000000" w:rsidRPr="00000000" w14:paraId="0000004C">
            <w:pPr>
              <w:rPr/>
            </w:pPr>
            <w:r>
              <w:rPr>
                <w:rFonts w:ascii="Calibri" w:cs="Calibri" w:eastAsia="Calibri" w:hAnsi="Calibri"/>
                <w:sz w:val="19"/>
                <w:szCs w:val="19"/>
                <w:rtl w:val="0"/>
              </w:rPr>
              <w:t xml:space="preserve">0,021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rPr/>
            </w:pPr>
            <w:r>
              <w:rPr>
                <w:rFonts w:ascii="Calibri" w:cs="Calibri" w:eastAsia="Calibri" w:hAnsi="Calibri"/>
                <w:sz w:val="19"/>
                <w:szCs w:val="19"/>
                <w:rtl w:val="0"/>
              </w:rPr>
              <w:t xml:space="preserve">Ser local comercial (vs. comercio autónomo)</w:t>
            </w:r>
            <w:r>
              <w:rPr>
                <w:rtl w:val="0"/>
              </w:rPr>
            </w:r>
          </w:p>
        </w:tc>
        <w:tc>
          <w:tcPr>
            <w:tcMar>
              <w:top w:w="60.0" w:type="dxa"/>
              <w:left w:w="100.0" w:type="dxa"/>
              <w:bottom w:w="60.0" w:type="dxa"/>
              <w:right w:w="100.0" w:type="dxa"/>
            </w:tcMar>
          </w:tcPr>
          <w:p w:rsidR="00000000" w:rsidDel="00000000" w:rsidP="00000000" w:rsidRDefault="00000000" w:rsidRPr="00000000" w14:paraId="0000004E">
            <w:pPr>
              <w:rPr/>
            </w:pPr>
            <w:r>
              <w:rPr>
                <w:rFonts w:ascii="Calibri" w:cs="Calibri" w:eastAsia="Calibri" w:hAnsi="Calibri"/>
                <w:sz w:val="19"/>
                <w:szCs w:val="19"/>
                <w:rtl w:val="0"/>
              </w:rPr>
              <w:t xml:space="preserve">+5,2 p.p.</w:t>
            </w:r>
            <w:r>
              <w:rPr>
                <w:rtl w:val="0"/>
              </w:rPr>
            </w:r>
          </w:p>
        </w:tc>
        <w:tc>
          <w:tcPr>
            <w:tcMar>
              <w:top w:w="60.0" w:type="dxa"/>
              <w:left w:w="100.0" w:type="dxa"/>
              <w:bottom w:w="60.0" w:type="dxa"/>
              <w:right w:w="100.0" w:type="dxa"/>
            </w:tcMar>
          </w:tcPr>
          <w:p w:rsidR="00000000" w:rsidDel="00000000" w:rsidP="00000000" w:rsidRDefault="00000000" w:rsidRPr="00000000" w14:paraId="0000004F">
            <w:pPr>
              <w:rPr/>
            </w:pPr>
            <w:r>
              <w:rPr>
                <w:rFonts w:ascii="Calibri" w:cs="Calibri" w:eastAsia="Calibri" w:hAnsi="Calibri"/>
                <w:sz w:val="19"/>
                <w:szCs w:val="19"/>
                <w:rtl w:val="0"/>
              </w:rPr>
              <w:t xml:space="preserve">0,207</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0">
            <w:pPr>
              <w:rPr/>
            </w:pPr>
            <w:r>
              <w:rPr>
                <w:rFonts w:ascii="Calibri" w:cs="Calibri" w:eastAsia="Calibri" w:hAnsi="Calibri"/>
                <w:sz w:val="19"/>
                <w:szCs w:val="19"/>
                <w:rtl w:val="0"/>
              </w:rPr>
              <w:t xml:space="preserve">Ruidos molestos</w:t>
            </w:r>
            <w:r>
              <w:rPr>
                <w:rtl w:val="0"/>
              </w:rPr>
            </w:r>
          </w:p>
        </w:tc>
        <w:tc>
          <w:tcPr>
            <w:tcMar>
              <w:top w:w="60.0" w:type="dxa"/>
              <w:left w:w="100.0" w:type="dxa"/>
              <w:bottom w:w="60.0" w:type="dxa"/>
              <w:right w:w="100.0" w:type="dxa"/>
            </w:tcMar>
          </w:tcPr>
          <w:p w:rsidR="00000000" w:rsidDel="00000000" w:rsidP="00000000" w:rsidRDefault="00000000" w:rsidRPr="00000000" w14:paraId="00000051">
            <w:pPr>
              <w:rPr/>
            </w:pPr>
            <w:r>
              <w:rPr>
                <w:rFonts w:ascii="Calibri" w:cs="Calibri" w:eastAsia="Calibri" w:hAnsi="Calibri"/>
                <w:sz w:val="19"/>
                <w:szCs w:val="19"/>
                <w:rtl w:val="0"/>
              </w:rPr>
              <w:t xml:space="preserve">+4,6 p.p.</w:t>
            </w:r>
            <w:r>
              <w:rPr>
                <w:rtl w:val="0"/>
              </w:rPr>
            </w:r>
          </w:p>
        </w:tc>
        <w:tc>
          <w:tcPr>
            <w:tcMar>
              <w:top w:w="60.0" w:type="dxa"/>
              <w:left w:w="100.0" w:type="dxa"/>
              <w:bottom w:w="60.0" w:type="dxa"/>
              <w:right w:w="100.0" w:type="dxa"/>
            </w:tcMar>
          </w:tcPr>
          <w:p w:rsidR="00000000" w:rsidDel="00000000" w:rsidP="00000000" w:rsidRDefault="00000000" w:rsidRPr="00000000" w14:paraId="00000052">
            <w:pPr>
              <w:rPr/>
            </w:pPr>
            <w:r>
              <w:rPr>
                <w:rFonts w:ascii="Calibri" w:cs="Calibri" w:eastAsia="Calibri" w:hAnsi="Calibri"/>
                <w:sz w:val="19"/>
                <w:szCs w:val="19"/>
                <w:rtl w:val="0"/>
              </w:rPr>
              <w:t xml:space="preserve">0,061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rPr/>
            </w:pPr>
            <w:r>
              <w:rPr>
                <w:rFonts w:ascii="Calibri" w:cs="Calibri" w:eastAsia="Calibri" w:hAnsi="Calibri"/>
                <w:sz w:val="19"/>
                <w:szCs w:val="19"/>
                <w:rtl w:val="0"/>
              </w:rPr>
              <w:t xml:space="preserve">Fauna urbana (animales sin hogar)</w:t>
            </w:r>
            <w:r>
              <w:rPr>
                <w:rtl w:val="0"/>
              </w:rPr>
            </w:r>
          </w:p>
        </w:tc>
        <w:tc>
          <w:tcPr>
            <w:tcMar>
              <w:top w:w="60.0" w:type="dxa"/>
              <w:left w:w="100.0" w:type="dxa"/>
              <w:bottom w:w="60.0" w:type="dxa"/>
              <w:right w:w="100.0" w:type="dxa"/>
            </w:tcMar>
          </w:tcPr>
          <w:p w:rsidR="00000000" w:rsidDel="00000000" w:rsidP="00000000" w:rsidRDefault="00000000" w:rsidRPr="00000000" w14:paraId="00000054">
            <w:pPr>
              <w:rPr/>
            </w:pPr>
            <w:r>
              <w:rPr>
                <w:rFonts w:ascii="Calibri" w:cs="Calibri" w:eastAsia="Calibri" w:hAnsi="Calibri"/>
                <w:sz w:val="19"/>
                <w:szCs w:val="19"/>
                <w:rtl w:val="0"/>
              </w:rPr>
              <w:t xml:space="preserve">+3,9 p.p.</w:t>
            </w:r>
            <w:r>
              <w:rPr>
                <w:rtl w:val="0"/>
              </w:rPr>
            </w:r>
          </w:p>
        </w:tc>
        <w:tc>
          <w:tcPr>
            <w:tcMar>
              <w:top w:w="60.0" w:type="dxa"/>
              <w:left w:w="100.0" w:type="dxa"/>
              <w:bottom w:w="60.0" w:type="dxa"/>
              <w:right w:w="100.0" w:type="dxa"/>
            </w:tcMar>
          </w:tcPr>
          <w:p w:rsidR="00000000" w:rsidDel="00000000" w:rsidP="00000000" w:rsidRDefault="00000000" w:rsidRPr="00000000" w14:paraId="00000055">
            <w:pPr>
              <w:rPr/>
            </w:pPr>
            <w:r>
              <w:rPr>
                <w:rFonts w:ascii="Calibri" w:cs="Calibri" w:eastAsia="Calibri" w:hAnsi="Calibri"/>
                <w:sz w:val="19"/>
                <w:szCs w:val="19"/>
                <w:rtl w:val="0"/>
              </w:rPr>
              <w:t xml:space="preserve">0,124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rPr/>
            </w:pPr>
            <w:r>
              <w:rPr>
                <w:rFonts w:ascii="Calibri" w:cs="Calibri" w:eastAsia="Calibri" w:hAnsi="Calibri"/>
                <w:sz w:val="19"/>
                <w:szCs w:val="19"/>
                <w:rtl w:val="0"/>
              </w:rPr>
              <w:t xml:space="preserve">Haber presenciado ferias gastronómicas/culturales</w:t>
            </w:r>
            <w:r>
              <w:rPr>
                <w:rtl w:val="0"/>
              </w:rPr>
            </w:r>
          </w:p>
        </w:tc>
        <w:tc>
          <w:tcPr>
            <w:tcMar>
              <w:top w:w="60.0" w:type="dxa"/>
              <w:left w:w="100.0" w:type="dxa"/>
              <w:bottom w:w="60.0" w:type="dxa"/>
              <w:right w:w="100.0" w:type="dxa"/>
            </w:tcMar>
          </w:tcPr>
          <w:p w:rsidR="00000000" w:rsidDel="00000000" w:rsidP="00000000" w:rsidRDefault="00000000" w:rsidRPr="00000000" w14:paraId="00000057">
            <w:pPr>
              <w:rPr/>
            </w:pPr>
            <w:r>
              <w:rPr>
                <w:rFonts w:ascii="Calibri" w:cs="Calibri" w:eastAsia="Calibri" w:hAnsi="Calibri"/>
                <w:sz w:val="19"/>
                <w:szCs w:val="19"/>
                <w:rtl w:val="0"/>
              </w:rPr>
              <w:t xml:space="preserve">-2,7 p.p.</w:t>
            </w:r>
            <w:r>
              <w:rPr>
                <w:rtl w:val="0"/>
              </w:rPr>
            </w:r>
          </w:p>
        </w:tc>
        <w:tc>
          <w:tcPr>
            <w:tcMar>
              <w:top w:w="60.0" w:type="dxa"/>
              <w:left w:w="100.0" w:type="dxa"/>
              <w:bottom w:w="60.0" w:type="dxa"/>
              <w:right w:w="100.0" w:type="dxa"/>
            </w:tcMar>
          </w:tcPr>
          <w:p w:rsidR="00000000" w:rsidDel="00000000" w:rsidP="00000000" w:rsidRDefault="00000000" w:rsidRPr="00000000" w14:paraId="00000058">
            <w:pPr>
              <w:rPr/>
            </w:pPr>
            <w:r>
              <w:rPr>
                <w:rFonts w:ascii="Calibri" w:cs="Calibri" w:eastAsia="Calibri" w:hAnsi="Calibri"/>
                <w:sz w:val="19"/>
                <w:szCs w:val="19"/>
                <w:rtl w:val="0"/>
              </w:rPr>
              <w:t xml:space="preserve">0,302</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rPr/>
            </w:pPr>
            <w:r>
              <w:rPr>
                <w:rFonts w:ascii="Calibri" w:cs="Calibri" w:eastAsia="Calibri" w:hAnsi="Calibri"/>
                <w:sz w:val="19"/>
                <w:szCs w:val="19"/>
                <w:rtl w:val="0"/>
              </w:rPr>
              <w:t xml:space="preserve">Basura en los espacios públicos</w:t>
            </w:r>
            <w:r>
              <w:rPr>
                <w:rtl w:val="0"/>
              </w:rPr>
            </w:r>
          </w:p>
        </w:tc>
        <w:tc>
          <w:tcPr>
            <w:tcMar>
              <w:top w:w="60.0" w:type="dxa"/>
              <w:left w:w="100.0" w:type="dxa"/>
              <w:bottom w:w="60.0" w:type="dxa"/>
              <w:right w:w="100.0" w:type="dxa"/>
            </w:tcMar>
          </w:tcPr>
          <w:p w:rsidR="00000000" w:rsidDel="00000000" w:rsidP="00000000" w:rsidRDefault="00000000" w:rsidRPr="00000000" w14:paraId="0000005A">
            <w:pPr>
              <w:rPr/>
            </w:pPr>
            <w:r>
              <w:rPr>
                <w:rFonts w:ascii="Calibri" w:cs="Calibri" w:eastAsia="Calibri" w:hAnsi="Calibri"/>
                <w:sz w:val="19"/>
                <w:szCs w:val="19"/>
                <w:rtl w:val="0"/>
              </w:rPr>
              <w:t xml:space="preserve">+2,3 p.p.</w:t>
            </w:r>
            <w:r>
              <w:rPr>
                <w:rtl w:val="0"/>
              </w:rPr>
            </w:r>
          </w:p>
        </w:tc>
        <w:tc>
          <w:tcPr>
            <w:tcMar>
              <w:top w:w="60.0" w:type="dxa"/>
              <w:left w:w="100.0" w:type="dxa"/>
              <w:bottom w:w="60.0" w:type="dxa"/>
              <w:right w:w="100.0" w:type="dxa"/>
            </w:tcMar>
          </w:tcPr>
          <w:p w:rsidR="00000000" w:rsidDel="00000000" w:rsidP="00000000" w:rsidRDefault="00000000" w:rsidRPr="00000000" w14:paraId="0000005B">
            <w:pPr>
              <w:rPr/>
            </w:pPr>
            <w:r>
              <w:rPr>
                <w:rFonts w:ascii="Calibri" w:cs="Calibri" w:eastAsia="Calibri" w:hAnsi="Calibri"/>
                <w:sz w:val="19"/>
                <w:szCs w:val="19"/>
                <w:rtl w:val="0"/>
              </w:rPr>
              <w:t xml:space="preserve">0,363</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rPr/>
            </w:pPr>
            <w:r>
              <w:rPr>
                <w:rFonts w:ascii="Calibri" w:cs="Calibri" w:eastAsia="Calibri" w:hAnsi="Calibri"/>
                <w:sz w:val="19"/>
                <w:szCs w:val="19"/>
                <w:rtl w:val="0"/>
              </w:rPr>
              <w:t xml:space="preserve">Vio trabajar a las Fuerzas Armadas</w:t>
            </w:r>
            <w:r>
              <w:rPr>
                <w:rtl w:val="0"/>
              </w:rPr>
            </w:r>
          </w:p>
        </w:tc>
        <w:tc>
          <w:tcPr>
            <w:tcMar>
              <w:top w:w="60.0" w:type="dxa"/>
              <w:left w:w="100.0" w:type="dxa"/>
              <w:bottom w:w="60.0" w:type="dxa"/>
              <w:right w:w="100.0" w:type="dxa"/>
            </w:tcMar>
          </w:tcPr>
          <w:p w:rsidR="00000000" w:rsidDel="00000000" w:rsidP="00000000" w:rsidRDefault="00000000" w:rsidRPr="00000000" w14:paraId="0000005D">
            <w:pPr>
              <w:rPr/>
            </w:pPr>
            <w:r>
              <w:rPr>
                <w:rFonts w:ascii="Calibri" w:cs="Calibri" w:eastAsia="Calibri" w:hAnsi="Calibri"/>
                <w:sz w:val="19"/>
                <w:szCs w:val="19"/>
                <w:rtl w:val="0"/>
              </w:rPr>
              <w:t xml:space="preserve">+2,0 p.p.</w:t>
            </w:r>
            <w:r>
              <w:rPr>
                <w:rtl w:val="0"/>
              </w:rPr>
            </w:r>
          </w:p>
        </w:tc>
        <w:tc>
          <w:tcPr>
            <w:tcMar>
              <w:top w:w="60.0" w:type="dxa"/>
              <w:left w:w="100.0" w:type="dxa"/>
              <w:bottom w:w="60.0" w:type="dxa"/>
              <w:right w:w="100.0" w:type="dxa"/>
            </w:tcMar>
          </w:tcPr>
          <w:p w:rsidR="00000000" w:rsidDel="00000000" w:rsidP="00000000" w:rsidRDefault="00000000" w:rsidRPr="00000000" w14:paraId="0000005E">
            <w:pPr>
              <w:rPr/>
            </w:pPr>
            <w:r>
              <w:rPr>
                <w:rFonts w:ascii="Calibri" w:cs="Calibri" w:eastAsia="Calibri" w:hAnsi="Calibri"/>
                <w:sz w:val="19"/>
                <w:szCs w:val="19"/>
                <w:rtl w:val="0"/>
              </w:rPr>
              <w:t xml:space="preserve">0,441</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rPr/>
            </w:pPr>
            <w:r>
              <w:rPr>
                <w:rFonts w:ascii="Calibri" w:cs="Calibri" w:eastAsia="Calibri" w:hAnsi="Calibri"/>
                <w:sz w:val="19"/>
                <w:szCs w:val="19"/>
                <w:rtl w:val="0"/>
              </w:rPr>
              <w:t xml:space="preserve">Daño a la propiedad pública/privada</w:t>
            </w:r>
            <w:r>
              <w:rPr>
                <w:rtl w:val="0"/>
              </w:rPr>
            </w:r>
          </w:p>
        </w:tc>
        <w:tc>
          <w:tcPr>
            <w:tcMar>
              <w:top w:w="60.0" w:type="dxa"/>
              <w:left w:w="100.0" w:type="dxa"/>
              <w:bottom w:w="60.0" w:type="dxa"/>
              <w:right w:w="100.0" w:type="dxa"/>
            </w:tcMar>
          </w:tcPr>
          <w:p w:rsidR="00000000" w:rsidDel="00000000" w:rsidP="00000000" w:rsidRDefault="00000000" w:rsidRPr="00000000" w14:paraId="00000060">
            <w:pPr>
              <w:rPr/>
            </w:pPr>
            <w:r>
              <w:rPr>
                <w:rFonts w:ascii="Calibri" w:cs="Calibri" w:eastAsia="Calibri" w:hAnsi="Calibri"/>
                <w:sz w:val="19"/>
                <w:szCs w:val="19"/>
                <w:rtl w:val="0"/>
              </w:rPr>
              <w:t xml:space="preserve">+0,4 p.p.</w:t>
            </w:r>
            <w:r>
              <w:rPr>
                <w:rtl w:val="0"/>
              </w:rPr>
            </w:r>
          </w:p>
        </w:tc>
        <w:tc>
          <w:tcPr>
            <w:tcMar>
              <w:top w:w="60.0" w:type="dxa"/>
              <w:left w:w="100.0" w:type="dxa"/>
              <w:bottom w:w="60.0" w:type="dxa"/>
              <w:right w:w="100.0" w:type="dxa"/>
            </w:tcMar>
          </w:tcPr>
          <w:p w:rsidR="00000000" w:rsidDel="00000000" w:rsidP="00000000" w:rsidRDefault="00000000" w:rsidRPr="00000000" w14:paraId="00000061">
            <w:pPr>
              <w:rPr/>
            </w:pPr>
            <w:r>
              <w:rPr>
                <w:rFonts w:ascii="Calibri" w:cs="Calibri" w:eastAsia="Calibri" w:hAnsi="Calibri"/>
                <w:sz w:val="19"/>
                <w:szCs w:val="19"/>
                <w:rtl w:val="0"/>
              </w:rPr>
              <w:t xml:space="preserve">0,869</w:t>
            </w:r>
            <w:r>
              <w:rPr>
                <w:rtl w:val="0"/>
              </w:rPr>
            </w:r>
          </w:p>
        </w:tc>
      </w:tr>
    </w:tbl>
    <w:p w:rsidR="00000000" w:rsidDel="00000000" w:rsidP="00000000" w:rsidRDefault="00000000" w:rsidRPr="00000000" w14:paraId="00000062">
      <w:pPr>
        <w:spacing w:after="240" w:before="100" w:lineRule="auto"/>
        <w:rPr/>
      </w:pPr>
      <w:r>
        <w:rPr>
          <w:rFonts w:ascii="Calibri" w:cs="Calibri" w:eastAsia="Calibri" w:hAnsi="Calibri"/>
          <w:i w:val="1"/>
          <w:iCs w:val="1"/>
          <w:color w:val="5b6472"/>
          <w:sz w:val="18"/>
          <w:szCs w:val="18"/>
          <w:rtl w:val="0"/>
        </w:rPr>
        <w:t xml:space="preserve">Cuadro 2. Efectos marginales promedio del modelo logístico agrupado (2024+2026). Errores estándar robustos (HC1). * p&lt;0,05; ** p&lt;0,01. Fuente: elaboración propia a partir de EVPSC-OMSCGR.</w:t>
      </w:r>
      <w:r>
        <w:rPr>
          <w:rtl w:val="0"/>
        </w:rPr>
      </w:r>
    </w:p>
    <w:p w:rsidR="00000000" w:rsidDel="00000000" w:rsidP="00000000" w:rsidRDefault="00000000" w:rsidRPr="00000000" w14:paraId="00000063">
      <w:pPr>
        <w:pStyle w:val="Heading2"/>
        <w:spacing w:after="140" w:before="240" w:lineRule="auto"/>
        <w:rPr/>
      </w:pPr>
      <w:r>
        <w:rPr>
          <w:rFonts w:ascii="Calibri" w:cs="Calibri" w:eastAsia="Calibri" w:hAnsi="Calibri"/>
          <w:b w:val="1"/>
          <w:bCs w:val="1"/>
          <w:color w:val="1f2d50"/>
          <w:sz w:val="23"/>
          <w:szCs w:val="23"/>
          <w:rtl w:val="0"/>
        </w:rPr>
        <w:t xml:space="preserve">3.3 Por qué mejoró la percepción: la descomposición</w:t>
      </w:r>
      <w:r>
        <w:rPr>
          <w:rtl w:val="0"/>
        </w:rPr>
      </w:r>
    </w:p>
    <w:p w:rsidR="00000000" w:rsidDel="00000000" w:rsidP="00000000" w:rsidRDefault="00000000" w:rsidRPr="00000000" w14:paraId="00000064">
      <w:pPr>
        <w:spacing w:after="200" w:line="300" w:lineRule="auto"/>
        <w:jc w:val="both"/>
        <w:rPr/>
      </w:pPr>
      <w:r>
        <w:rPr>
          <w:rFonts w:ascii="Calibri" w:cs="Calibri" w:eastAsia="Calibri" w:hAnsi="Calibri"/>
          <w:sz w:val="22"/>
          <w:szCs w:val="22"/>
          <w:rtl w:val="0"/>
        </w:rPr>
        <w:t xml:space="preserve">La brecha total de 12,4 puntos porcentuales entre 2024 y 2026 se descompone, según qué año se use como referencia de coeficientes, en un componente explicado de entre 22% y 28% —es decir, entre 2,8 y 3,4 puntos porcentuales atribuibles a cambios en la composición de las covariables medidas— y un componente no explicado de entre 72% y 78% (Cuadro 3). Con cualquiera de las dos referencias, la estimación puntual apunta a la misma conclusión sustantiva: la mayor parte de la mejora en percepción no se explica por las condiciones objetivas incluidas en el modelo, sino por un cambio en la relación entre esas condiciones y la manera en que la población las traduce en una sensación de (in)seguridad. Esta partición, sin embargo, es imprecisa. El bootstrap arroja un intervalo de confianza del 95% para la proporción explicada que va de 1,2% a 53,5% con coeficientes de 2024 y de −5,8% a 53,3% con coeficientes de 2026. Los datos son compatibles, por tanto, con que las condiciones medidas expliquen desde casi nada hasta alrededor de la mitad de la mejora; la descomposición debe leerse como evidencia de que la mejora no se reduce a esas condiciones, no como una partición exacta.</w:t>
      </w:r>
      <w:r>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1f2d50" w:val="clear"/>
            <w:tcMar>
              <w:top w:w="80.0" w:type="dxa"/>
              <w:left w:w="100.0" w:type="dxa"/>
              <w:bottom w:w="80.0" w:type="dxa"/>
              <w:right w:w="100.0" w:type="dxa"/>
            </w:tcMar>
          </w:tcPr>
          <w:p w:rsidR="00000000" w:rsidDel="00000000" w:rsidP="00000000" w:rsidRDefault="00000000" w:rsidRPr="00000000" w14:paraId="00000065">
            <w:pPr>
              <w:rPr/>
            </w:pPr>
            <w:r>
              <w:rPr>
                <w:rFonts w:ascii="Calibri" w:cs="Calibri" w:eastAsia="Calibri" w:hAnsi="Calibri"/>
                <w:b w:val="1"/>
                <w:bCs w:val="1"/>
                <w:color w:val="ffffff"/>
                <w:sz w:val="19"/>
                <w:szCs w:val="19"/>
                <w:rtl w:val="0"/>
              </w:rPr>
              <w:t xml:space="preserve">Componente</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66">
            <w:pPr>
              <w:rPr/>
            </w:pPr>
            <w:r>
              <w:rPr>
                <w:rFonts w:ascii="Calibri" w:cs="Calibri" w:eastAsia="Calibri" w:hAnsi="Calibri"/>
                <w:b w:val="1"/>
                <w:bCs w:val="1"/>
                <w:color w:val="ffffff"/>
                <w:sz w:val="19"/>
                <w:szCs w:val="19"/>
                <w:rtl w:val="0"/>
              </w:rPr>
              <w:t xml:space="preserve">Referencia: coeficientes 2024</w:t>
            </w:r>
            <w:r>
              <w:rPr>
                <w:rtl w:val="0"/>
              </w:rPr>
            </w:r>
          </w:p>
        </w:tc>
        <w:tc>
          <w:tcPr>
            <w:shd w:fill="1f2d50" w:val="clear"/>
            <w:tcMar>
              <w:top w:w="80.0" w:type="dxa"/>
              <w:left w:w="100.0" w:type="dxa"/>
              <w:bottom w:w="80.0" w:type="dxa"/>
              <w:right w:w="100.0" w:type="dxa"/>
            </w:tcMar>
          </w:tcPr>
          <w:p w:rsidR="00000000" w:rsidDel="00000000" w:rsidP="00000000" w:rsidRDefault="00000000" w:rsidRPr="00000000" w14:paraId="00000067">
            <w:pPr>
              <w:rPr/>
            </w:pPr>
            <w:r>
              <w:rPr>
                <w:rFonts w:ascii="Calibri" w:cs="Calibri" w:eastAsia="Calibri" w:hAnsi="Calibri"/>
                <w:b w:val="1"/>
                <w:bCs w:val="1"/>
                <w:color w:val="ffffff"/>
                <w:sz w:val="19"/>
                <w:szCs w:val="19"/>
                <w:rtl w:val="0"/>
              </w:rPr>
              <w:t xml:space="preserve">Referencia: coeficientes 2026</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rPr/>
            </w:pPr>
            <w:r>
              <w:rPr>
                <w:rFonts w:ascii="Calibri" w:cs="Calibri" w:eastAsia="Calibri" w:hAnsi="Calibri"/>
                <w:sz w:val="19"/>
                <w:szCs w:val="19"/>
                <w:rtl w:val="0"/>
              </w:rPr>
              <w:t xml:space="preserve">Explicado por composición</w:t>
            </w:r>
            <w:r>
              <w:rPr>
                <w:rtl w:val="0"/>
              </w:rPr>
            </w:r>
          </w:p>
        </w:tc>
        <w:tc>
          <w:tcPr>
            <w:tcMar>
              <w:top w:w="60.0" w:type="dxa"/>
              <w:left w:w="100.0" w:type="dxa"/>
              <w:bottom w:w="60.0" w:type="dxa"/>
              <w:right w:w="100.0" w:type="dxa"/>
            </w:tcMar>
          </w:tcPr>
          <w:p w:rsidR="00000000" w:rsidDel="00000000" w:rsidP="00000000" w:rsidRDefault="00000000" w:rsidRPr="00000000" w14:paraId="00000069">
            <w:pPr>
              <w:rPr/>
            </w:pPr>
            <w:r>
              <w:rPr>
                <w:rFonts w:ascii="Calibri" w:cs="Calibri" w:eastAsia="Calibri" w:hAnsi="Calibri"/>
                <w:sz w:val="19"/>
                <w:szCs w:val="19"/>
                <w:rtl w:val="0"/>
              </w:rPr>
              <w:t xml:space="preserve">3,4 p.p. (27,6%)</w:t>
            </w:r>
            <w:r>
              <w:rPr>
                <w:rtl w:val="0"/>
              </w:rPr>
            </w:r>
          </w:p>
        </w:tc>
        <w:tc>
          <w:tcPr>
            <w:tcMar>
              <w:top w:w="60.0" w:type="dxa"/>
              <w:left w:w="100.0" w:type="dxa"/>
              <w:bottom w:w="60.0" w:type="dxa"/>
              <w:right w:w="100.0" w:type="dxa"/>
            </w:tcMar>
          </w:tcPr>
          <w:p w:rsidR="00000000" w:rsidDel="00000000" w:rsidP="00000000" w:rsidRDefault="00000000" w:rsidRPr="00000000" w14:paraId="0000006A">
            <w:pPr>
              <w:rPr/>
            </w:pPr>
            <w:r>
              <w:rPr>
                <w:rFonts w:ascii="Calibri" w:cs="Calibri" w:eastAsia="Calibri" w:hAnsi="Calibri"/>
                <w:sz w:val="19"/>
                <w:szCs w:val="19"/>
                <w:rtl w:val="0"/>
              </w:rPr>
              <w:t xml:space="preserve">2,8 p.p. (22,4%)</w:t>
            </w:r>
            <w:r>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rPr/>
            </w:pPr>
            <w:r>
              <w:rPr>
                <w:rFonts w:ascii="Calibri" w:cs="Calibri" w:eastAsia="Calibri" w:hAnsi="Calibri"/>
                <w:sz w:val="19"/>
                <w:szCs w:val="19"/>
                <w:rtl w:val="0"/>
              </w:rPr>
              <w:t xml:space="preserve">No explicado (cambio de relación)</w:t>
            </w:r>
            <w:r>
              <w:rPr>
                <w:rtl w:val="0"/>
              </w:rPr>
            </w:r>
          </w:p>
        </w:tc>
        <w:tc>
          <w:tcPr>
            <w:tcMar>
              <w:top w:w="60.0" w:type="dxa"/>
              <w:left w:w="100.0" w:type="dxa"/>
              <w:bottom w:w="60.0" w:type="dxa"/>
              <w:right w:w="100.0" w:type="dxa"/>
            </w:tcMar>
          </w:tcPr>
          <w:p w:rsidR="00000000" w:rsidDel="00000000" w:rsidP="00000000" w:rsidRDefault="00000000" w:rsidRPr="00000000" w14:paraId="0000006C">
            <w:pPr>
              <w:rPr/>
            </w:pPr>
            <w:r>
              <w:rPr>
                <w:rFonts w:ascii="Calibri" w:cs="Calibri" w:eastAsia="Calibri" w:hAnsi="Calibri"/>
                <w:sz w:val="19"/>
                <w:szCs w:val="19"/>
                <w:rtl w:val="0"/>
              </w:rPr>
              <w:t xml:space="preserve">9,0 p.p. (72,4%)</w:t>
            </w:r>
            <w:r>
              <w:rPr>
                <w:rtl w:val="0"/>
              </w:rPr>
            </w:r>
          </w:p>
        </w:tc>
        <w:tc>
          <w:tcPr>
            <w:tcMar>
              <w:top w:w="60.0" w:type="dxa"/>
              <w:left w:w="100.0" w:type="dxa"/>
              <w:bottom w:w="60.0" w:type="dxa"/>
              <w:right w:w="100.0" w:type="dxa"/>
            </w:tcMar>
          </w:tcPr>
          <w:p w:rsidR="00000000" w:rsidDel="00000000" w:rsidP="00000000" w:rsidRDefault="00000000" w:rsidRPr="00000000" w14:paraId="0000006D">
            <w:pPr>
              <w:rPr/>
            </w:pPr>
            <w:r>
              <w:rPr>
                <w:rFonts w:ascii="Calibri" w:cs="Calibri" w:eastAsia="Calibri" w:hAnsi="Calibri"/>
                <w:sz w:val="19"/>
                <w:szCs w:val="19"/>
                <w:rtl w:val="0"/>
              </w:rPr>
              <w:t xml:space="preserve">9,6 p.p. (77,6%)</w:t>
            </w:r>
            <w:r>
              <w:rPr>
                <w:rtl w:val="0"/>
              </w:rPr>
            </w:r>
          </w:p>
        </w:tc>
      </w:tr>
    </w:tbl>
    <w:p w:rsidR="00000000" w:rsidDel="00000000" w:rsidP="00000000" w:rsidRDefault="00000000" w:rsidRPr="00000000" w14:paraId="0000006E">
      <w:pPr>
        <w:spacing w:after="240" w:before="100" w:lineRule="auto"/>
        <w:rPr/>
      </w:pPr>
      <w:r>
        <w:rPr>
          <w:rFonts w:ascii="Calibri" w:cs="Calibri" w:eastAsia="Calibri" w:hAnsi="Calibri"/>
          <w:i w:val="1"/>
          <w:iCs w:val="1"/>
          <w:color w:val="5b6472"/>
          <w:sz w:val="18"/>
          <w:szCs w:val="18"/>
          <w:rtl w:val="0"/>
        </w:rPr>
        <w:t xml:space="preserve">Cuadro 3. Descomposición Oaxaca-Blinder/Fairlie de la brecha en percepción de inseguridad, 2024-2026. Intervalos de confianza bootstrap del 95% (300 réplicas) para el porcentaje explicado: [1,2%; 53,5%] con referencia 2024 y [−5,8%; 53,3%] con referencia 2026. Fuente: elaboración propia.</w:t>
      </w:r>
      <w:r>
        <w:rPr>
          <w:rtl w:val="0"/>
        </w:rPr>
      </w:r>
    </w:p>
    <w:p w:rsidR="00000000" w:rsidDel="00000000" w:rsidP="00000000" w:rsidRDefault="00000000" w:rsidRPr="00000000" w14:paraId="0000006F">
      <w:pPr>
        <w:spacing w:after="200" w:line="300" w:lineRule="auto"/>
        <w:jc w:val="both"/>
        <w:rPr/>
      </w:pPr>
      <w:r>
        <w:rPr>
          <w:rFonts w:ascii="Calibri" w:cs="Calibri" w:eastAsia="Calibri" w:hAnsi="Calibri"/>
          <w:sz w:val="22"/>
          <w:szCs w:val="22"/>
          <w:rtl w:val="0"/>
        </w:rPr>
        <w:t xml:space="preserve">Dentro del componente explicado, la caída en la presencia reportada de personas en situación de calle (de 93,3% a 86,2% de la muestra) es, individualmente, el mayor contribuyente a la mejora con ambas referencias y, entre las contribuciones evaluadas con bootstrap, la única que se distingue de cero en los dos casos (+1,52 puntos, IC 95% [0,44; 3,23], con coeficientes de 2024; +2,03, [1,03; 3,60], con coeficientes de 2026). Con coeficientes de 2024 le siguen la presencia de las Fuerzas Armadas —cuyo caso se analiza en el párrafo siguiente—, la caída en la basura visible y la caída en el consumo de drogas; con coeficientes de 2026, la caída en el consumo de drogas y en la fauna urbana. El aumento de la presencia de la Policía Nacional (de 74,9% a 81,6%) también contribuye a la mejora con ambas referencias —es el quinto contribuyente con coeficientes de 2024 y el cuarto con coeficientes de 2026—, aunque su aporte solo se distingue de cero con los coeficientes de 2026 (+0,94 puntos, IC 95% [0,13; 2,13]). Dos factores juegan, en cambio, en sentido contrario: el aumento en la prevalencia de peleas o riñas reportadas (de 69,3% a 73,5%) y la caída en la aglomeración de personas (de 66,3% a 56,2%) —que, dado su efecto protector señalado en la subsección anterior, le resta mejora al total en lugar de sumarla.</w:t>
      </w:r>
      <w:r>
        <w:rPr>
          <w:rtl w:val="0"/>
        </w:rPr>
      </w:r>
    </w:p>
    <w:p w:rsidR="00000000" w:rsidDel="00000000" w:rsidP="00000000" w:rsidRDefault="00000000" w:rsidRPr="00000000" w14:paraId="00000070">
      <w:pPr>
        <w:spacing w:after="200" w:line="300" w:lineRule="auto"/>
        <w:jc w:val="both"/>
        <w:rPr/>
      </w:pPr>
      <w:r>
        <w:rPr>
          <w:rFonts w:ascii="Calibri" w:cs="Calibri" w:eastAsia="Calibri" w:hAnsi="Calibri"/>
          <w:sz w:val="22"/>
          <w:szCs w:val="22"/>
          <w:rtl w:val="0"/>
        </w:rPr>
        <w:t xml:space="preserve">El caso de las Fuerzas Armadas ilustra con particular nitidez el problema del número índice. Su presencia percibida aumentó 20,3 puntos porcentuales entre 2024 y 2026 (de 53,9% a 74,2%, un incremento de 38%), el mayor cambio de composición de todo el modelo. Sin embargo, su coeficiente cambia de signo entre las dos olas —negativo en 2024 (β=-0,20, no significativo) y positivo en 2026 (β=+0,35, tampoco significativo al 5%)—, de modo que la contribución de ese aumento a la mejora es positiva si se valora con la relación de 2024 y negativa si se valora con la de 2026. Ninguna de las dos contribuciones se distingue de cero (IC 95%: [−0,52; 2,61] con coeficientes de 2024 y [−4,20; 0,35] con coeficientes de 2026). A diferencia de la Policía Nacional o el CACMQ, cuyo coeficiente conserva el signo en ambas olas y cuya contribución es, por tanto, robusta a la referencia elegida, el de las Fuerzas Armadas no permite concluir si su despliegue ayudó, fue neutro, o incluso jugó en contra de la percepción de seguridad en el sector.</w:t>
      </w:r>
      <w:r>
        <w:rPr>
          <w:rtl w:val="0"/>
        </w:rPr>
      </w:r>
    </w:p>
    <w:p w:rsidR="00000000" w:rsidDel="00000000" w:rsidP="00000000" w:rsidRDefault="00000000" w:rsidRPr="00000000" w14:paraId="00000071">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4. Discusión</w:t>
      </w:r>
      <w:r>
        <w:rPr>
          <w:rtl w:val="0"/>
        </w:rPr>
      </w:r>
    </w:p>
    <w:p w:rsidR="00000000" w:rsidDel="00000000" w:rsidP="00000000" w:rsidRDefault="00000000" w:rsidRPr="00000000" w14:paraId="00000072">
      <w:pPr>
        <w:spacing w:after="200" w:line="300" w:lineRule="auto"/>
        <w:jc w:val="both"/>
        <w:rPr/>
      </w:pPr>
      <w:r>
        <w:rPr>
          <w:rFonts w:ascii="Calibri" w:cs="Calibri" w:eastAsia="Calibri" w:hAnsi="Calibri"/>
          <w:sz w:val="22"/>
          <w:szCs w:val="22"/>
          <w:rtl w:val="0"/>
        </w:rPr>
        <w:t xml:space="preserve">El hallazgo central de este informe —que la mejora en percepción de inseguridad se explica menos por una reducción del delito que por un cambio en la relación entre las condiciones del espacio público y su lectura subjetiva— es consistente con una interpretación institucionalista de la seguridad urbana: el Estado, a través de su presencia visible, no se limita a reaccionar ante el delito, sino que condiciona activamente cómo la población interpreta el riesgo al que está expuesta. La Policía Nacional y el CACMQ no solo previenen o disuaden delitos puntuales; su sola visibilidad en el espacio público parece operar como una señal que reduce la ansiedad asociada a fenómenos de convivencia que, en su ausencia, se interpretarían como más amenazantes. En este sentido, el Estado no es un espectador de la percepción de inseguridad, sino su variable condicionante.</w:t>
      </w:r>
      <w:r>
        <w:rPr>
          <w:rtl w:val="0"/>
        </w:rPr>
      </w:r>
    </w:p>
    <w:p w:rsidR="00000000" w:rsidDel="00000000" w:rsidP="00000000" w:rsidRDefault="00000000" w:rsidRPr="00000000" w14:paraId="00000073">
      <w:pPr>
        <w:spacing w:after="200" w:line="300" w:lineRule="auto"/>
        <w:jc w:val="both"/>
        <w:rPr/>
      </w:pPr>
      <w:r>
        <w:rPr>
          <w:rFonts w:ascii="Calibri" w:cs="Calibri" w:eastAsia="Calibri" w:hAnsi="Calibri"/>
          <w:sz w:val="22"/>
          <w:szCs w:val="22"/>
          <w:rtl w:val="0"/>
        </w:rPr>
        <w:t xml:space="preserve">Esta lectura exige, sin embargo, una precisión sobre lo que el diseño puede y no puede identificar. La presencia institucional medida aquí es percibida, no administrativa —se pregunta a la población si vio trabajar a cada institución, no se contrastan cifras de despliegue—, y es plausible que exista una relación de doble vía entre presencia y percepción: las instituciones pueden desplegarse precisamente donde la inseguridad es mayor, lo que introduciría un sesgo de causalidad inversa sobre el coeficiente estimado. Esta es, probablemente, una de las razones por las que el efecto de las Fuerzas Armadas —cuyo despliegue en el país ha respondido en buena medida a criterios de emergencia y no de rutina— resulta más inestable que el de la Policía Nacional o el CACMQ, de presencia más regular y predecible en el sector.</w:t>
      </w:r>
      <w:r>
        <w:rPr>
          <w:rtl w:val="0"/>
        </w:rPr>
      </w:r>
    </w:p>
    <w:p w:rsidR="00000000" w:rsidDel="00000000" w:rsidP="00000000" w:rsidRDefault="00000000" w:rsidRPr="00000000" w14:paraId="00000074">
      <w:pPr>
        <w:spacing w:after="200" w:line="300" w:lineRule="auto"/>
        <w:jc w:val="both"/>
        <w:rPr/>
      </w:pPr>
      <w:r>
        <w:rPr>
          <w:rFonts w:ascii="Calibri" w:cs="Calibri" w:eastAsia="Calibri" w:hAnsi="Calibri"/>
          <w:sz w:val="22"/>
          <w:szCs w:val="22"/>
          <w:rtl w:val="0"/>
        </w:rPr>
        <w:t xml:space="preserve">El componente no explicado, que según la estimación puntual concentra entre 72% y 78% de la mejora observada —con intervalos de confianza amplios—, es por construcción una caja negra: agrupa tanto factores reales omitidos por el diseño del EVPSC —la calidad percibida del servicio de las instituciones de seguridad, más allá de su sola presencia; las brigadas de seguridad y sus intervenciones puntuales, no capturadas en la ola 2024; procesos de adaptación o normalización de la población ante un entorno que lleva más de un año de intervención sostenida— como un eventual error de especificación del modelo. Distinguir entre estas explicaciones alternativas excede lo que un diseño transversal repetido, sin las mismas personas seguidas en el tiempo, puede identificar, y queda como una tarea pendiente para el diseño de futuras olas del estudio.</w:t>
      </w:r>
      <w:r>
        <w:rPr>
          <w:rtl w:val="0"/>
        </w:rPr>
      </w:r>
    </w:p>
    <w:p w:rsidR="00000000" w:rsidDel="00000000" w:rsidP="00000000" w:rsidRDefault="00000000" w:rsidRPr="00000000" w14:paraId="00000075">
      <w:pPr>
        <w:pStyle w:val="Heading1"/>
        <w:pBdr>
          <w:bottom w:color="1f2d50" w:space="4" w:sz="6" w:val="single"/>
        </w:pBdr>
        <w:spacing w:after="160" w:before="320" w:lineRule="auto"/>
        <w:rPr/>
      </w:pPr>
      <w:r>
        <w:rPr>
          <w:rFonts w:ascii="Calibri" w:cs="Calibri" w:eastAsia="Calibri" w:hAnsi="Calibri"/>
          <w:b w:val="1"/>
          <w:bCs w:val="1"/>
          <w:color w:val="1f2d50"/>
          <w:sz w:val="26"/>
          <w:szCs w:val="26"/>
          <w:rtl w:val="0"/>
        </w:rPr>
        <w:t xml:space="preserve">5. Conclusiones</w:t>
      </w:r>
      <w:r>
        <w:rPr>
          <w:rtl w:val="0"/>
        </w:rPr>
      </w:r>
    </w:p>
    <w:p w:rsidR="00000000" w:rsidDel="00000000" w:rsidP="00000000" w:rsidRDefault="00000000" w:rsidRPr="00000000" w14:paraId="00000076">
      <w:pPr>
        <w:spacing w:after="200" w:line="300" w:lineRule="auto"/>
        <w:jc w:val="both"/>
        <w:rPr/>
      </w:pPr>
      <w:r>
        <w:rPr>
          <w:rFonts w:ascii="Calibri" w:cs="Calibri" w:eastAsia="Calibri" w:hAnsi="Calibri"/>
          <w:sz w:val="22"/>
          <w:szCs w:val="22"/>
          <w:rtl w:val="0"/>
        </w:rPr>
        <w:t xml:space="preserve">La contribución de este informe es doble. Empíricamente, cuantifica —para un caso de estudio de alta relevancia para la gestión municipal— cuánto de una mejora observada en percepción de seguridad ciudadana corresponde a mejores condiciones objetivas y cuánto a un cambio en la relación entre esas condiciones y la experiencia subjetiva, usando una técnica de descomposición infrecuente en la literatura ecuatoriana sobre seguridad urbana. Para la gestión pública, ofrece evidencia de que la presencia visible y regular de la Policía Nacional y del Cuerpo de Agentes de Control Metropolitano tiene un efecto propio, significativo y robusto sobre la percepción de seguridad, independiente de la victimización efectiva y de las condiciones de convivencia del sector.</w:t>
      </w:r>
      <w:r>
        <w:rPr>
          <w:rtl w:val="0"/>
        </w:rPr>
      </w:r>
    </w:p>
    <w:p w:rsidR="00000000" w:rsidDel="00000000" w:rsidP="00000000" w:rsidRDefault="00000000" w:rsidRPr="00000000" w14:paraId="00000077">
      <w:pPr>
        <w:spacing w:after="200" w:line="300" w:lineRule="auto"/>
        <w:jc w:val="both"/>
        <w:rPr/>
      </w:pPr>
      <w:r>
        <w:rPr>
          <w:rFonts w:ascii="Calibri" w:cs="Calibri" w:eastAsia="Calibri" w:hAnsi="Calibri"/>
          <w:sz w:val="22"/>
          <w:szCs w:val="22"/>
          <w:rtl w:val="0"/>
        </w:rPr>
        <w:t xml:space="preserve">De ello se derivan recomendaciones concretas. Primero, sostener y, de ser posible, expandir la presencia visible y regular —no únicamente reactiva— de la Policía Nacional y el CACMQ en el Centro Histórico, dado que es la intervención con el respaldo empírico más sólido de las aquí evaluadas. Segundo, monitorear con indicadores propios el efecto de la presencia de las Fuerzas Armadas en el sector, en lugar de asumir que su sola magnitud garantiza una mejora en percepción: la evidencia disponible no permite descartar que su despliegue, en la forma en que se ha dado, sea neutro o incluso contraproducente para la experiencia subjetiva de seguridad de la población. Tercero, dado el peso de las personas en situación de calle como el factor individual más asociado a la inseguridad percibida, evaluar intervenciones de atención social en el espacio público como complemento —no sustituto— del control y la vigilancia, cuyo efecto sobre la percepción parece operar por una vía distinta y en buena medida independiente.</w:t>
      </w:r>
      <w:r>
        <w:rPr>
          <w:rtl w:val="0"/>
        </w:rPr>
      </w:r>
    </w:p>
    <w:p w:rsidR="00000000" w:rsidDel="00000000" w:rsidP="00000000" w:rsidRDefault="00000000" w:rsidRPr="00000000" w14:paraId="00000078">
      <w:pPr>
        <w:spacing w:after="200" w:line="300" w:lineRule="auto"/>
        <w:jc w:val="both"/>
        <w:rPr/>
      </w:pPr>
      <w:r>
        <w:rPr>
          <w:rFonts w:ascii="Calibri" w:cs="Calibri" w:eastAsia="Calibri" w:hAnsi="Calibri"/>
          <w:sz w:val="22"/>
          <w:szCs w:val="22"/>
          <w:rtl w:val="0"/>
        </w:rPr>
        <w:t xml:space="preserve">De lo anterior surgen nuevas preguntas de investigación. ¿Qué ocurre con la percepción de inseguridad cuando se sigue a los mismos individuos en el tiempo, en lugar de comparar cortes transversales sucesivos? ¿Es replicable el efecto protector de la aglomeración de personas en otras zonas de Quito con una composición social y comercial distinta a la del Centro Histórico? ¿Y qué mecanismo específico —disuasión, señalización, o simple compañía institucional percibida— explica que la presencia policial reduzca la inseguridad percibida incluso entre quienes no fueron víctimas de ningún delito?</w:t>
      </w:r>
      <w:r>
        <w:rPr>
          <w:rtl w:val="0"/>
        </w:rPr>
      </w:r>
    </w:p>
    <w:p w:rsidR="00000000" w:rsidDel="00000000" w:rsidP="00000000" w:rsidRDefault="00000000" w:rsidRPr="00000000" w14:paraId="00000079">
      <w:pPr>
        <w:spacing w:after="200" w:line="300" w:lineRule="auto"/>
        <w:jc w:val="both"/>
        <w:rPr/>
      </w:pPr>
      <w:r>
        <w:rPr>
          <w:rFonts w:ascii="Calibri" w:cs="Calibri" w:eastAsia="Calibri" w:hAnsi="Calibri"/>
          <w:sz w:val="22"/>
          <w:szCs w:val="22"/>
          <w:rtl w:val="0"/>
        </w:rPr>
        <w:t xml:space="preserve">La percepción de inseguridad, en suma, no es un espejo fiel de la victimización: es una construcción social que el Estado, con su sola presencia, ayuda a moldear. Comprender esa brecha —y no solo perseguirla como un residuo estadístico incómodo— puede ser tan importante para la gestión de la seguridad ciudadana como reducir el delito mismo.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