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08CA" w:rsidRDefault="0078009E">
      <w:pPr>
        <w:spacing w:after="40"/>
        <w:jc w:val="center"/>
      </w:pPr>
      <w:r>
        <w:rPr>
          <w:b/>
          <w:bCs/>
          <w:color w:val="15206B"/>
          <w:sz w:val="36"/>
          <w:szCs w:val="36"/>
        </w:rPr>
        <w:t>¿Funcionan los Senderos Seguros?</w:t>
      </w:r>
    </w:p>
    <w:p w:rsidR="002908CA" w:rsidRDefault="0078009E">
      <w:pPr>
        <w:spacing w:after="200"/>
        <w:jc w:val="center"/>
        <w:rPr>
          <w:b/>
          <w:bCs/>
          <w:color w:val="15206B"/>
          <w:sz w:val="26"/>
          <w:szCs w:val="26"/>
        </w:rPr>
      </w:pPr>
      <w:r>
        <w:rPr>
          <w:b/>
          <w:bCs/>
          <w:color w:val="15206B"/>
          <w:sz w:val="26"/>
          <w:szCs w:val="26"/>
        </w:rPr>
        <w:t>Una evaluación de impacto mediante contrafactual agregado y ajuste por efecto de contexto</w:t>
      </w:r>
    </w:p>
    <w:p w:rsidR="00C5021A" w:rsidRDefault="00C5021A">
      <w:pPr>
        <w:spacing w:after="200"/>
        <w:jc w:val="center"/>
      </w:pPr>
      <w:r>
        <w:rPr>
          <w:b/>
          <w:bCs/>
          <w:color w:val="15206B"/>
          <w:sz w:val="26"/>
          <w:szCs w:val="26"/>
        </w:rPr>
        <w:t>14/07/2026</w:t>
      </w:r>
      <w:bookmarkStart w:id="0" w:name="_GoBack"/>
      <w:bookmarkEnd w:id="0"/>
    </w:p>
    <w:p w:rsidR="002908CA" w:rsidRDefault="0078009E">
      <w:pPr>
        <w:spacing w:after="300"/>
        <w:jc w:val="center"/>
      </w:pPr>
      <w:r>
        <w:rPr>
          <w:i/>
          <w:iCs/>
          <w:color w:val="5B6472"/>
          <w:sz w:val="20"/>
          <w:szCs w:val="20"/>
        </w:rPr>
        <w:t>Nota técnica de evaluación de impacto</w:t>
      </w:r>
    </w:p>
    <w:p w:rsidR="002908CA" w:rsidRDefault="0078009E">
      <w:pPr>
        <w:pStyle w:val="Ttulo2"/>
        <w:spacing w:before="240" w:after="120"/>
      </w:pPr>
      <w:r>
        <w:t>Resumen</w:t>
      </w:r>
    </w:p>
    <w:p w:rsidR="002908CA" w:rsidRDefault="0078009E">
      <w:pPr>
        <w:spacing w:after="160" w:line="300" w:lineRule="auto"/>
        <w:jc w:val="both"/>
      </w:pPr>
      <w:r>
        <w:rPr>
          <w:b/>
          <w:bCs/>
        </w:rPr>
        <w:t xml:space="preserve">Objetivo/contexto: </w:t>
      </w:r>
      <w:r>
        <w:t>Entre 2024 y 2025, el programa Senderos Seguros del Distrito Metropolitano de Quito intervino 19 corredores urbanos con el propósito declarado de reducir incidentes de convivencia ciudadana y robos de mayor connotación. Este documento evalúa si esa reducci</w:t>
      </w:r>
      <w:r>
        <w:t xml:space="preserve">ón es atribuible al programa o si es consistente con la variación que ya existía en la ciudad antes de cualquier intervención. </w:t>
      </w:r>
      <w:r>
        <w:rPr>
          <w:b/>
          <w:bCs/>
        </w:rPr>
        <w:t xml:space="preserve">Metodología: </w:t>
      </w:r>
      <w:r>
        <w:t>Se construyó un panel semanal de incidentes por sendero a 150 metros de radio (enero de 2023 a junio de 2026, 30.681</w:t>
      </w:r>
      <w:r>
        <w:t xml:space="preserve"> filas). Para los 10 senderos inaugurados en 2024, se agruparon sus series en una sola serie agregada antes de ajustar cualquier modelo de tendencia, y se corrigió el resultado por un efecto de contexto estimado con el mismo procedimiento aplicado a los co</w:t>
      </w:r>
      <w:r>
        <w:t xml:space="preserve">rredores del programa que en cada momento todavía no habían sido intervenidos. </w:t>
      </w:r>
      <w:r>
        <w:rPr>
          <w:b/>
          <w:bCs/>
        </w:rPr>
        <w:t xml:space="preserve">Resultados: </w:t>
      </w:r>
      <w:r>
        <w:t>El agregado de los 10 senderos registra 380,2 incidentes de convivencia ciudadana menos de los proyectados por el contrafactual (p&lt;0,001) y 95,0 robos de mayor conno</w:t>
      </w:r>
      <w:r>
        <w:t>tación menos (p=0,0005). Una prueba de sensibilidad revela que el resultado de convivencia depende en su totalidad de un solo corredor: al excluirlo, la diferencia es nula (+10,4; p=0,83). El resultado de robos, en cambio, se mantiene e incluso se fortalec</w:t>
      </w:r>
      <w:r>
        <w:t xml:space="preserve">e sin ese corredor (−100,7; p=0,0003). </w:t>
      </w:r>
    </w:p>
    <w:p w:rsidR="002908CA" w:rsidRDefault="0078009E">
      <w:pPr>
        <w:pStyle w:val="Ttulo1"/>
        <w:spacing w:before="360" w:after="160"/>
      </w:pPr>
      <w:r>
        <w:t>1. Introducción</w:t>
      </w:r>
    </w:p>
    <w:p w:rsidR="002908CA" w:rsidRDefault="0078009E">
      <w:pPr>
        <w:spacing w:after="160" w:line="300" w:lineRule="auto"/>
        <w:jc w:val="both"/>
      </w:pPr>
      <w:r>
        <w:t>En junio de 2026, un visualizador institucional del Observatorio Metropolitano de Seguridad Ciudadana y Gestión de Riesgos (OMSCGR) reportó que los 19 senderos del programa Senderos Seguros pasaron, e</w:t>
      </w:r>
      <w:r>
        <w:t>n conjunto, de 4.074 a 3.498 incidentes en la lectura agregada de 150 metros: una reducción del 14,1% presentada como el hallazgo principal del programa. El mecanismo es simple: se interviene un corredor con iluminación, limpieza y presencia institucional,</w:t>
      </w:r>
      <w:r>
        <w:t xml:space="preserve"> y los incidentes bajan.</w:t>
      </w:r>
    </w:p>
    <w:p w:rsidR="002908CA" w:rsidRDefault="0078009E">
      <w:pPr>
        <w:spacing w:after="160" w:line="300" w:lineRule="auto"/>
        <w:jc w:val="both"/>
      </w:pPr>
      <w:r>
        <w:t>Esa lectura, sin embargo, compara únicamente el propio sendero antes y después de la intervención. Los incidentes de convivencia ciudadana y robos de mayor connotación fluctúan en toda la ciudad por razones ajenas a cualquier sende</w:t>
      </w:r>
      <w:r>
        <w:t>ro en particular —estacionalidad, operativos puntuales, cambios en el registro—, de modo que una comparación de "antes" contra "después" no puede, por sí sola, distinguir un efecto atribuible al programa de una tendencia que habría ocurrido de todas formas</w:t>
      </w:r>
      <w:r>
        <w:t>. La pregunta que organiza este documento es, en consecuencia: ¿la reducción reportada se sostiene cuando se compara contra un contrafactual construido con información real de otros corredores del programa, y ese resultado agregado depende de un caso parti</w:t>
      </w:r>
      <w:r>
        <w:t>cular o es un patrón compartido?</w:t>
      </w:r>
    </w:p>
    <w:p w:rsidR="002908CA" w:rsidRDefault="0078009E">
      <w:pPr>
        <w:spacing w:after="160" w:line="300" w:lineRule="auto"/>
        <w:jc w:val="both"/>
      </w:pPr>
      <w:r>
        <w:lastRenderedPageBreak/>
        <w:t>El documento se organiza así: la sección 2 describe la base de datos; la sección 3 detalla el método empleado para construir el contrafactual; la sección 4 presenta el resultado agregado y una prueba de sensibilidad por cor</w:t>
      </w:r>
      <w:r>
        <w:t>redor; la sección 5 discute las implicaciones; la sección  6 concluye con recomendaciones.</w:t>
      </w:r>
    </w:p>
    <w:p w:rsidR="002908CA" w:rsidRDefault="0078009E">
      <w:pPr>
        <w:pStyle w:val="Ttulo1"/>
        <w:spacing w:before="360" w:after="160"/>
      </w:pPr>
      <w:r>
        <w:t>2. Datos</w:t>
      </w:r>
    </w:p>
    <w:p w:rsidR="002908CA" w:rsidRDefault="0078009E">
      <w:pPr>
        <w:spacing w:after="160" w:line="300" w:lineRule="auto"/>
        <w:jc w:val="both"/>
      </w:pPr>
      <w:r>
        <w:t>La base analítica corresponde al registro de incidentes de convivencia ciudadana, robos de mayor connotación y violencias en un radio de 150 metros alrededo</w:t>
      </w:r>
      <w:r>
        <w:t>r de cada uno de los 19 senderos del programa, con 30.681 filas para el periodo enero de 2023 a junio de 2026 (corte de datos: 14 de junio de 2026). Cada fila corresponde a un incidente georreferenciado y clasificado por categoría, subcategoría, fecha y fr</w:t>
      </w:r>
      <w:r>
        <w:t>anja horaria.</w:t>
      </w:r>
    </w:p>
    <w:p w:rsidR="002908CA" w:rsidRDefault="002908CA">
      <w:pPr>
        <w:spacing w:before="100"/>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3000"/>
        <w:gridCol w:w="1850"/>
      </w:tblGrid>
      <w:tr w:rsidR="002908CA">
        <w:tc>
          <w:tcPr>
            <w:tcW w:w="4500" w:type="dxa"/>
            <w:shd w:val="clear" w:color="auto" w:fill="EEF5FF"/>
            <w:tcMar>
              <w:top w:w="60" w:type="dxa"/>
              <w:left w:w="100" w:type="dxa"/>
              <w:bottom w:w="60" w:type="dxa"/>
              <w:right w:w="100" w:type="dxa"/>
            </w:tcMar>
          </w:tcPr>
          <w:p w:rsidR="002908CA" w:rsidRDefault="0078009E">
            <w:r>
              <w:rPr>
                <w:b/>
                <w:bCs/>
                <w:color w:val="15206B"/>
                <w:sz w:val="19"/>
                <w:szCs w:val="19"/>
              </w:rPr>
              <w:t>Categoría</w:t>
            </w:r>
          </w:p>
        </w:tc>
        <w:tc>
          <w:tcPr>
            <w:tcW w:w="3000" w:type="dxa"/>
            <w:shd w:val="clear" w:color="auto" w:fill="EEF5FF"/>
            <w:tcMar>
              <w:top w:w="60" w:type="dxa"/>
              <w:left w:w="100" w:type="dxa"/>
              <w:bottom w:w="60" w:type="dxa"/>
              <w:right w:w="100" w:type="dxa"/>
            </w:tcMar>
          </w:tcPr>
          <w:p w:rsidR="002908CA" w:rsidRDefault="0078009E">
            <w:r>
              <w:rPr>
                <w:b/>
                <w:bCs/>
                <w:color w:val="15206B"/>
                <w:sz w:val="19"/>
                <w:szCs w:val="19"/>
              </w:rPr>
              <w:t>Incidentes (buffer 150 m)</w:t>
            </w:r>
          </w:p>
        </w:tc>
        <w:tc>
          <w:tcPr>
            <w:tcW w:w="1850" w:type="dxa"/>
            <w:shd w:val="clear" w:color="auto" w:fill="EEF5FF"/>
            <w:tcMar>
              <w:top w:w="60" w:type="dxa"/>
              <w:left w:w="100" w:type="dxa"/>
              <w:bottom w:w="60" w:type="dxa"/>
              <w:right w:w="100" w:type="dxa"/>
            </w:tcMar>
          </w:tcPr>
          <w:p w:rsidR="002908CA" w:rsidRDefault="0078009E">
            <w:r>
              <w:rPr>
                <w:b/>
                <w:bCs/>
                <w:color w:val="15206B"/>
                <w:sz w:val="19"/>
                <w:szCs w:val="19"/>
              </w:rPr>
              <w:t>% del total</w:t>
            </w:r>
          </w:p>
        </w:tc>
      </w:tr>
      <w:tr w:rsidR="002908CA">
        <w:tc>
          <w:tcPr>
            <w:tcW w:w="4500" w:type="dxa"/>
            <w:tcMar>
              <w:top w:w="60" w:type="dxa"/>
              <w:left w:w="100" w:type="dxa"/>
              <w:bottom w:w="60" w:type="dxa"/>
              <w:right w:w="100" w:type="dxa"/>
            </w:tcMar>
          </w:tcPr>
          <w:p w:rsidR="002908CA" w:rsidRDefault="0078009E">
            <w:r>
              <w:rPr>
                <w:color w:val="000000"/>
                <w:sz w:val="19"/>
                <w:szCs w:val="19"/>
              </w:rPr>
              <w:t>Convivencia ciudadana</w:t>
            </w:r>
          </w:p>
        </w:tc>
        <w:tc>
          <w:tcPr>
            <w:tcW w:w="3000" w:type="dxa"/>
            <w:tcMar>
              <w:top w:w="60" w:type="dxa"/>
              <w:left w:w="100" w:type="dxa"/>
              <w:bottom w:w="60" w:type="dxa"/>
              <w:right w:w="100" w:type="dxa"/>
            </w:tcMar>
          </w:tcPr>
          <w:p w:rsidR="002908CA" w:rsidRDefault="0078009E">
            <w:r>
              <w:rPr>
                <w:color w:val="000000"/>
                <w:sz w:val="19"/>
                <w:szCs w:val="19"/>
              </w:rPr>
              <w:t>27.646</w:t>
            </w:r>
          </w:p>
        </w:tc>
        <w:tc>
          <w:tcPr>
            <w:tcW w:w="1850" w:type="dxa"/>
            <w:tcMar>
              <w:top w:w="60" w:type="dxa"/>
              <w:left w:w="100" w:type="dxa"/>
              <w:bottom w:w="60" w:type="dxa"/>
              <w:right w:w="100" w:type="dxa"/>
            </w:tcMar>
          </w:tcPr>
          <w:p w:rsidR="002908CA" w:rsidRDefault="0078009E">
            <w:r>
              <w:rPr>
                <w:color w:val="000000"/>
                <w:sz w:val="19"/>
                <w:szCs w:val="19"/>
              </w:rPr>
              <w:t>90,1%</w:t>
            </w:r>
          </w:p>
        </w:tc>
      </w:tr>
      <w:tr w:rsidR="002908CA">
        <w:tc>
          <w:tcPr>
            <w:tcW w:w="4500" w:type="dxa"/>
            <w:tcMar>
              <w:top w:w="60" w:type="dxa"/>
              <w:left w:w="100" w:type="dxa"/>
              <w:bottom w:w="60" w:type="dxa"/>
              <w:right w:w="100" w:type="dxa"/>
            </w:tcMar>
          </w:tcPr>
          <w:p w:rsidR="002908CA" w:rsidRDefault="0078009E">
            <w:r>
              <w:rPr>
                <w:color w:val="000000"/>
                <w:sz w:val="19"/>
                <w:szCs w:val="19"/>
              </w:rPr>
              <w:t>Robos de mayor connotación</w:t>
            </w:r>
          </w:p>
        </w:tc>
        <w:tc>
          <w:tcPr>
            <w:tcW w:w="3000" w:type="dxa"/>
            <w:tcMar>
              <w:top w:w="60" w:type="dxa"/>
              <w:left w:w="100" w:type="dxa"/>
              <w:bottom w:w="60" w:type="dxa"/>
              <w:right w:w="100" w:type="dxa"/>
            </w:tcMar>
          </w:tcPr>
          <w:p w:rsidR="002908CA" w:rsidRDefault="0078009E">
            <w:r>
              <w:rPr>
                <w:color w:val="000000"/>
                <w:sz w:val="19"/>
                <w:szCs w:val="19"/>
              </w:rPr>
              <w:t>2.799</w:t>
            </w:r>
          </w:p>
        </w:tc>
        <w:tc>
          <w:tcPr>
            <w:tcW w:w="1850" w:type="dxa"/>
            <w:tcMar>
              <w:top w:w="60" w:type="dxa"/>
              <w:left w:w="100" w:type="dxa"/>
              <w:bottom w:w="60" w:type="dxa"/>
              <w:right w:w="100" w:type="dxa"/>
            </w:tcMar>
          </w:tcPr>
          <w:p w:rsidR="002908CA" w:rsidRDefault="0078009E">
            <w:r>
              <w:rPr>
                <w:color w:val="000000"/>
                <w:sz w:val="19"/>
                <w:szCs w:val="19"/>
              </w:rPr>
              <w:t>9,1%</w:t>
            </w:r>
          </w:p>
        </w:tc>
      </w:tr>
      <w:tr w:rsidR="002908CA">
        <w:tc>
          <w:tcPr>
            <w:tcW w:w="4500" w:type="dxa"/>
            <w:tcMar>
              <w:top w:w="60" w:type="dxa"/>
              <w:left w:w="100" w:type="dxa"/>
              <w:bottom w:w="60" w:type="dxa"/>
              <w:right w:w="100" w:type="dxa"/>
            </w:tcMar>
          </w:tcPr>
          <w:p w:rsidR="002908CA" w:rsidRDefault="0078009E">
            <w:r>
              <w:rPr>
                <w:color w:val="000000"/>
                <w:sz w:val="19"/>
                <w:szCs w:val="19"/>
              </w:rPr>
              <w:t>Violencias</w:t>
            </w:r>
          </w:p>
        </w:tc>
        <w:tc>
          <w:tcPr>
            <w:tcW w:w="3000" w:type="dxa"/>
            <w:tcMar>
              <w:top w:w="60" w:type="dxa"/>
              <w:left w:w="100" w:type="dxa"/>
              <w:bottom w:w="60" w:type="dxa"/>
              <w:right w:w="100" w:type="dxa"/>
            </w:tcMar>
          </w:tcPr>
          <w:p w:rsidR="002908CA" w:rsidRDefault="0078009E">
            <w:r>
              <w:rPr>
                <w:color w:val="000000"/>
                <w:sz w:val="19"/>
                <w:szCs w:val="19"/>
              </w:rPr>
              <w:t>236</w:t>
            </w:r>
          </w:p>
        </w:tc>
        <w:tc>
          <w:tcPr>
            <w:tcW w:w="1850" w:type="dxa"/>
            <w:tcMar>
              <w:top w:w="60" w:type="dxa"/>
              <w:left w:w="100" w:type="dxa"/>
              <w:bottom w:w="60" w:type="dxa"/>
              <w:right w:w="100" w:type="dxa"/>
            </w:tcMar>
          </w:tcPr>
          <w:p w:rsidR="002908CA" w:rsidRDefault="0078009E">
            <w:r>
              <w:rPr>
                <w:color w:val="000000"/>
                <w:sz w:val="19"/>
                <w:szCs w:val="19"/>
              </w:rPr>
              <w:t>0,8%</w:t>
            </w:r>
          </w:p>
        </w:tc>
      </w:tr>
      <w:tr w:rsidR="002908CA">
        <w:tc>
          <w:tcPr>
            <w:tcW w:w="4500" w:type="dxa"/>
            <w:tcMar>
              <w:top w:w="60" w:type="dxa"/>
              <w:left w:w="100" w:type="dxa"/>
              <w:bottom w:w="60" w:type="dxa"/>
              <w:right w:w="100" w:type="dxa"/>
            </w:tcMar>
          </w:tcPr>
          <w:p w:rsidR="002908CA" w:rsidRDefault="0078009E">
            <w:r>
              <w:rPr>
                <w:color w:val="000000"/>
                <w:sz w:val="19"/>
                <w:szCs w:val="19"/>
              </w:rPr>
              <w:t>Total</w:t>
            </w:r>
          </w:p>
        </w:tc>
        <w:tc>
          <w:tcPr>
            <w:tcW w:w="3000" w:type="dxa"/>
            <w:tcMar>
              <w:top w:w="60" w:type="dxa"/>
              <w:left w:w="100" w:type="dxa"/>
              <w:bottom w:w="60" w:type="dxa"/>
              <w:right w:w="100" w:type="dxa"/>
            </w:tcMar>
          </w:tcPr>
          <w:p w:rsidR="002908CA" w:rsidRDefault="0078009E">
            <w:r>
              <w:rPr>
                <w:color w:val="000000"/>
                <w:sz w:val="19"/>
                <w:szCs w:val="19"/>
              </w:rPr>
              <w:t>30.681</w:t>
            </w:r>
          </w:p>
        </w:tc>
        <w:tc>
          <w:tcPr>
            <w:tcW w:w="1850" w:type="dxa"/>
            <w:tcMar>
              <w:top w:w="60" w:type="dxa"/>
              <w:left w:w="100" w:type="dxa"/>
              <w:bottom w:w="60" w:type="dxa"/>
              <w:right w:w="100" w:type="dxa"/>
            </w:tcMar>
          </w:tcPr>
          <w:p w:rsidR="002908CA" w:rsidRDefault="0078009E">
            <w:r>
              <w:rPr>
                <w:color w:val="000000"/>
                <w:sz w:val="19"/>
                <w:szCs w:val="19"/>
              </w:rPr>
              <w:t>100,0%</w:t>
            </w:r>
          </w:p>
        </w:tc>
      </w:tr>
    </w:tbl>
    <w:p w:rsidR="002908CA" w:rsidRDefault="0078009E">
      <w:pPr>
        <w:spacing w:before="60" w:after="200"/>
        <w:jc w:val="center"/>
      </w:pPr>
      <w:r>
        <w:rPr>
          <w:i/>
          <w:iCs/>
          <w:color w:val="5B6472"/>
          <w:sz w:val="19"/>
          <w:szCs w:val="19"/>
        </w:rPr>
        <w:t>Tabla 0. Composición de la base analítica por categoría de incidente (buffer de 150 metros, 19 senderos, enero 2023–junio 2026).</w:t>
      </w:r>
    </w:p>
    <w:p w:rsidR="002908CA" w:rsidRDefault="0078009E">
      <w:pPr>
        <w:spacing w:after="160" w:line="300" w:lineRule="auto"/>
        <w:jc w:val="both"/>
      </w:pPr>
      <w:r>
        <w:t>La categoría "violencias" (236 casos, 0,8% del total) no se analiza de forma independiente: su volumen es insuficiente para sos</w:t>
      </w:r>
      <w:r>
        <w:t>tener un modelo de tendencia mínimamente informativo a nivel semanal por sendero. El análisis se concentra en convivencia ciudadana y robos de mayor connotación, que en conjunto representan el 99,2% de los incidentes registrados.</w:t>
      </w:r>
    </w:p>
    <w:p w:rsidR="002908CA" w:rsidRDefault="0078009E">
      <w:pPr>
        <w:spacing w:after="160" w:line="300" w:lineRule="auto"/>
        <w:jc w:val="both"/>
      </w:pPr>
      <w:r>
        <w:t>Los 19 senderos se inaugur</w:t>
      </w:r>
      <w:r>
        <w:t xml:space="preserve">aron entre enero de 2024 y diciembre de 2025. De ellos, 10 fueron inaugurados en 2024 y cuentan con al menos 52 semanas de seguimiento posterior completas al corte de datos; los 9 restantes, inaugurados en 2025, tienen ventanas de seguimiento truncadas y, </w:t>
      </w:r>
      <w:r>
        <w:t>como se explica en la sección 3, no cuentan con ningún corredor del programa que permaneciera sin intervenir durante toda su ventana de seguimiento. Por esa razón, el ejercicio se limita a los 10 senderos de la cohorte 2024.</w:t>
      </w:r>
    </w:p>
    <w:p w:rsidR="002908CA" w:rsidRDefault="0078009E">
      <w:pPr>
        <w:pStyle w:val="Ttulo1"/>
        <w:spacing w:before="360" w:after="160"/>
      </w:pPr>
      <w:r>
        <w:t>3. Método: construcción del contrafactual agregado</w:t>
      </w:r>
    </w:p>
    <w:p w:rsidR="002908CA" w:rsidRDefault="0078009E">
      <w:pPr>
        <w:spacing w:after="160" w:line="300" w:lineRule="auto"/>
        <w:jc w:val="both"/>
      </w:pPr>
      <w:r>
        <w:t>El método parte de un principio simple: comparar un sendero contra sí mismo, antes y después, no permite saber si el cambio observado se debe a la intervención o a algo que ya venía ocurriendo en la ciudad</w:t>
      </w:r>
      <w:r>
        <w:t>. Para responder eso se necesita una estimación de qué habría pasado en esos 10 senderos si nunca se hubieran intervenido —un contrafactual— construida con dos fuentes de información: la propia historia de cada sendero y el comportamiento de los corredores</w:t>
      </w:r>
      <w:r>
        <w:t xml:space="preserve"> del programa que en cada momento todavía no habían sido tocados.</w:t>
      </w:r>
    </w:p>
    <w:p w:rsidR="002908CA" w:rsidRDefault="0078009E">
      <w:pPr>
        <w:pStyle w:val="Ttulo2"/>
        <w:spacing w:before="240" w:after="120"/>
      </w:pPr>
      <w:r>
        <w:t>3.1 Alinear y agregar los 10 senderos</w:t>
      </w:r>
    </w:p>
    <w:p w:rsidR="002908CA" w:rsidRDefault="0078009E">
      <w:pPr>
        <w:spacing w:after="160" w:line="300" w:lineRule="auto"/>
        <w:jc w:val="both"/>
      </w:pPr>
      <w:r>
        <w:t>Cada uno de los 10 senderos se inauguró en una fecha distinta. En lugar de usar el calendario real, las semanas se numeran en relación con la propia fec</w:t>
      </w:r>
      <w:r>
        <w:t xml:space="preserve">ha de inauguración de cada sendero: la semana -1 es la última semana </w:t>
      </w:r>
      <w:r>
        <w:lastRenderedPageBreak/>
        <w:t xml:space="preserve">antes de la apertura, la semana 0 la primera después, y así sucesivamente hasta ±52 semanas. Con esa alineación, los incidentes de los 10 senderos se suman semana por semana, produciendo </w:t>
      </w:r>
      <w:r>
        <w:t>una sola serie agregada de 104 puntos (52 antes, 52 después). Esta agregación ocurre antes de ajustar cualquier modelo de tendencia: es la decisión de diseño central del método, porque evita que la serie de un solo corredor —con su propio ruido o sus propi</w:t>
      </w:r>
      <w:r>
        <w:t>as particularidades— determine por sí sola el resultado conjunto.</w:t>
      </w:r>
    </w:p>
    <w:p w:rsidR="002908CA" w:rsidRDefault="0078009E">
      <w:pPr>
        <w:pStyle w:val="Ttulo2"/>
        <w:spacing w:before="240" w:after="120"/>
      </w:pPr>
      <w:r>
        <w:t>3.2 Proyectar la tendencia propia</w:t>
      </w:r>
    </w:p>
    <w:p w:rsidR="002908CA" w:rsidRDefault="0078009E">
      <w:pPr>
        <w:spacing w:after="160" w:line="300" w:lineRule="auto"/>
        <w:jc w:val="both"/>
      </w:pPr>
      <w:r>
        <w:t>Con los 52 puntos previos a la intervención de la serie agregada, se ajusta una regresión lineal sobre el logaritmo de (1 + incidentes semanales) en función</w:t>
      </w:r>
      <w:r>
        <w:t xml:space="preserve"> del número de semana. Esa línea se extiende hacia las 52 semanas posteriores: es la proyección de qué habría pasado en conjunto si la tendencia previa hubiera continuado sin el programa.</w:t>
      </w:r>
    </w:p>
    <w:p w:rsidR="002908CA" w:rsidRDefault="0078009E">
      <w:pPr>
        <w:pStyle w:val="Ttulo2"/>
        <w:spacing w:before="240" w:after="120"/>
      </w:pPr>
      <w:r>
        <w:t>3.3 Estimar el efecto de contexto</w:t>
      </w:r>
    </w:p>
    <w:p w:rsidR="002908CA" w:rsidRDefault="0078009E">
      <w:pPr>
        <w:spacing w:after="160" w:line="300" w:lineRule="auto"/>
        <w:jc w:val="both"/>
      </w:pPr>
      <w:r>
        <w:t>Para cada uno de los 10 senderos se identifican los corredores del programa que, durante toda su ventana de seguimiento, permanecían sin intervenir (entre 7 y 9 corredores por sendero, según la fecha de inauguración). Los incidentes de esos corredores de r</w:t>
      </w:r>
      <w:r>
        <w:t>eferencia se alinean y se agregan con el mismo procedimiento del apartado 3.1, formando una serie de referencia. Sobre esa serie se repite el ajuste del apartado 3.2 —su propia proyección de tendencia previa— y se calcula, semana a semana, cuánto se desvió</w:t>
      </w:r>
      <w:r>
        <w:t xml:space="preserve"> lo observado en los corredores de referencia frente a esa proyección. Esa desviación es el efecto de contexto: una estimación de cuánto se movió el entorno general del programa en cada semana, sin que esos corredores hubieran sido aún intervenidos.</w:t>
      </w:r>
    </w:p>
    <w:p w:rsidR="002908CA" w:rsidRDefault="0078009E">
      <w:pPr>
        <w:pStyle w:val="Ttulo2"/>
        <w:spacing w:before="240" w:after="120"/>
      </w:pPr>
      <w:r>
        <w:t>3.4 Co</w:t>
      </w:r>
      <w:r>
        <w:t>ntrafactual ajustado y prueba de significancia</w:t>
      </w:r>
    </w:p>
    <w:p w:rsidR="002908CA" w:rsidRDefault="0078009E">
      <w:pPr>
        <w:spacing w:after="160" w:line="300" w:lineRule="auto"/>
        <w:jc w:val="both"/>
      </w:pPr>
      <w:r>
        <w:t>La proyección propia de la serie agregada tratada (apartado 3.2) se corrige sumando el efecto de contexto de la semana correspondiente (apartado 3.3), con un piso en cero incidentes —dado que el logaritmo de 1</w:t>
      </w:r>
      <w:r>
        <w:t xml:space="preserve"> es cero, ningún conteo proyectado puede resultar negativo—. La diferencia entre lo observado y este contrafactual ajustado, semana a semana, se somete a una prueba t de una muestra sobre los residuos estandarizados para determinar si la diferencia acumula</w:t>
      </w:r>
      <w:r>
        <w:t>da es distinguible del azar.</w:t>
      </w:r>
    </w:p>
    <w:p w:rsidR="002908CA" w:rsidRDefault="0078009E">
      <w:pPr>
        <w:pStyle w:val="Ttulo1"/>
        <w:spacing w:before="360" w:after="160"/>
      </w:pPr>
      <w:r>
        <w:t>4. Resultados</w:t>
      </w:r>
    </w:p>
    <w:p w:rsidR="002908CA" w:rsidRDefault="0078009E">
      <w:pPr>
        <w:pStyle w:val="Ttulo2"/>
        <w:spacing w:before="240" w:after="120"/>
      </w:pPr>
      <w:r>
        <w:t>4.1 Resultado agregado</w:t>
      </w:r>
    </w:p>
    <w:p w:rsidR="002908CA" w:rsidRDefault="0078009E">
      <w:pPr>
        <w:spacing w:after="160" w:line="300" w:lineRule="auto"/>
        <w:jc w:val="both"/>
      </w:pPr>
      <w:r>
        <w:t>La Tabla 1 presenta el resultado del método descrito en la sección 3, para los 10 senderos de la cohorte 2024 agregados en una sola serie.</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000"/>
        <w:gridCol w:w="2200"/>
        <w:gridCol w:w="1400"/>
        <w:gridCol w:w="750"/>
      </w:tblGrid>
      <w:tr w:rsidR="002908CA">
        <w:tc>
          <w:tcPr>
            <w:tcW w:w="3000" w:type="dxa"/>
            <w:shd w:val="clear" w:color="auto" w:fill="EEF5FF"/>
            <w:tcMar>
              <w:top w:w="60" w:type="dxa"/>
              <w:left w:w="100" w:type="dxa"/>
              <w:bottom w:w="60" w:type="dxa"/>
              <w:right w:w="100" w:type="dxa"/>
            </w:tcMar>
          </w:tcPr>
          <w:p w:rsidR="002908CA" w:rsidRDefault="0078009E">
            <w:r>
              <w:rPr>
                <w:b/>
                <w:bCs/>
                <w:color w:val="15206B"/>
                <w:sz w:val="19"/>
                <w:szCs w:val="19"/>
              </w:rPr>
              <w:t>Categoría</w:t>
            </w:r>
          </w:p>
        </w:tc>
        <w:tc>
          <w:tcPr>
            <w:tcW w:w="2000" w:type="dxa"/>
            <w:shd w:val="clear" w:color="auto" w:fill="EEF5FF"/>
            <w:tcMar>
              <w:top w:w="60" w:type="dxa"/>
              <w:left w:w="100" w:type="dxa"/>
              <w:bottom w:w="60" w:type="dxa"/>
              <w:right w:w="100" w:type="dxa"/>
            </w:tcMar>
          </w:tcPr>
          <w:p w:rsidR="002908CA" w:rsidRDefault="0078009E">
            <w:r>
              <w:rPr>
                <w:b/>
                <w:bCs/>
                <w:color w:val="15206B"/>
                <w:sz w:val="19"/>
                <w:szCs w:val="19"/>
              </w:rPr>
              <w:t>Real (52 sem. post)</w:t>
            </w:r>
          </w:p>
        </w:tc>
        <w:tc>
          <w:tcPr>
            <w:tcW w:w="2200" w:type="dxa"/>
            <w:shd w:val="clear" w:color="auto" w:fill="EEF5FF"/>
            <w:tcMar>
              <w:top w:w="60" w:type="dxa"/>
              <w:left w:w="100" w:type="dxa"/>
              <w:bottom w:w="60" w:type="dxa"/>
              <w:right w:w="100" w:type="dxa"/>
            </w:tcMar>
          </w:tcPr>
          <w:p w:rsidR="002908CA" w:rsidRDefault="0078009E">
            <w:r>
              <w:rPr>
                <w:b/>
                <w:bCs/>
                <w:color w:val="15206B"/>
                <w:sz w:val="19"/>
                <w:szCs w:val="19"/>
              </w:rPr>
              <w:t>Contrafactual ajustad</w:t>
            </w:r>
            <w:r>
              <w:rPr>
                <w:b/>
                <w:bCs/>
                <w:color w:val="15206B"/>
                <w:sz w:val="19"/>
                <w:szCs w:val="19"/>
              </w:rPr>
              <w:t>o</w:t>
            </w:r>
          </w:p>
        </w:tc>
        <w:tc>
          <w:tcPr>
            <w:tcW w:w="1400" w:type="dxa"/>
            <w:shd w:val="clear" w:color="auto" w:fill="EEF5FF"/>
            <w:tcMar>
              <w:top w:w="60" w:type="dxa"/>
              <w:left w:w="100" w:type="dxa"/>
              <w:bottom w:w="60" w:type="dxa"/>
              <w:right w:w="100" w:type="dxa"/>
            </w:tcMar>
          </w:tcPr>
          <w:p w:rsidR="002908CA" w:rsidRDefault="0078009E">
            <w:r>
              <w:rPr>
                <w:b/>
                <w:bCs/>
                <w:color w:val="15206B"/>
                <w:sz w:val="19"/>
                <w:szCs w:val="19"/>
              </w:rPr>
              <w:t>Diferencia</w:t>
            </w:r>
          </w:p>
        </w:tc>
        <w:tc>
          <w:tcPr>
            <w:tcW w:w="750" w:type="dxa"/>
            <w:shd w:val="clear" w:color="auto" w:fill="EEF5FF"/>
            <w:tcMar>
              <w:top w:w="60" w:type="dxa"/>
              <w:left w:w="100" w:type="dxa"/>
              <w:bottom w:w="60" w:type="dxa"/>
              <w:right w:w="100" w:type="dxa"/>
            </w:tcMar>
          </w:tcPr>
          <w:p w:rsidR="002908CA" w:rsidRDefault="0078009E">
            <w:r>
              <w:rPr>
                <w:b/>
                <w:bCs/>
                <w:color w:val="15206B"/>
                <w:sz w:val="19"/>
                <w:szCs w:val="19"/>
              </w:rPr>
              <w:t>p-valor</w:t>
            </w:r>
          </w:p>
        </w:tc>
      </w:tr>
      <w:tr w:rsidR="002908CA">
        <w:tc>
          <w:tcPr>
            <w:tcW w:w="3000" w:type="dxa"/>
            <w:tcMar>
              <w:top w:w="60" w:type="dxa"/>
              <w:left w:w="100" w:type="dxa"/>
              <w:bottom w:w="60" w:type="dxa"/>
              <w:right w:w="100" w:type="dxa"/>
            </w:tcMar>
          </w:tcPr>
          <w:p w:rsidR="002908CA" w:rsidRDefault="0078009E">
            <w:r>
              <w:rPr>
                <w:color w:val="000000"/>
                <w:sz w:val="19"/>
                <w:szCs w:val="19"/>
              </w:rPr>
              <w:t>Convivencia ciudadana</w:t>
            </w:r>
          </w:p>
        </w:tc>
        <w:tc>
          <w:tcPr>
            <w:tcW w:w="2000" w:type="dxa"/>
            <w:tcMar>
              <w:top w:w="60" w:type="dxa"/>
              <w:left w:w="100" w:type="dxa"/>
              <w:bottom w:w="60" w:type="dxa"/>
              <w:right w:w="100" w:type="dxa"/>
            </w:tcMar>
          </w:tcPr>
          <w:p w:rsidR="002908CA" w:rsidRDefault="0078009E">
            <w:r>
              <w:rPr>
                <w:color w:val="000000"/>
                <w:sz w:val="19"/>
                <w:szCs w:val="19"/>
              </w:rPr>
              <w:t>3.001</w:t>
            </w:r>
          </w:p>
        </w:tc>
        <w:tc>
          <w:tcPr>
            <w:tcW w:w="2200" w:type="dxa"/>
            <w:tcMar>
              <w:top w:w="60" w:type="dxa"/>
              <w:left w:w="100" w:type="dxa"/>
              <w:bottom w:w="60" w:type="dxa"/>
              <w:right w:w="100" w:type="dxa"/>
            </w:tcMar>
          </w:tcPr>
          <w:p w:rsidR="002908CA" w:rsidRDefault="0078009E">
            <w:r>
              <w:rPr>
                <w:color w:val="000000"/>
                <w:sz w:val="19"/>
                <w:szCs w:val="19"/>
              </w:rPr>
              <w:t>3.381,2</w:t>
            </w:r>
          </w:p>
        </w:tc>
        <w:tc>
          <w:tcPr>
            <w:tcW w:w="1400" w:type="dxa"/>
            <w:tcMar>
              <w:top w:w="60" w:type="dxa"/>
              <w:left w:w="100" w:type="dxa"/>
              <w:bottom w:w="60" w:type="dxa"/>
              <w:right w:w="100" w:type="dxa"/>
            </w:tcMar>
          </w:tcPr>
          <w:p w:rsidR="002908CA" w:rsidRDefault="0078009E">
            <w:r>
              <w:rPr>
                <w:color w:val="000000"/>
                <w:sz w:val="19"/>
                <w:szCs w:val="19"/>
              </w:rPr>
              <w:t>−</w:t>
            </w:r>
            <w:r>
              <w:rPr>
                <w:color w:val="000000"/>
                <w:sz w:val="19"/>
                <w:szCs w:val="19"/>
              </w:rPr>
              <w:t>380,2</w:t>
            </w:r>
          </w:p>
        </w:tc>
        <w:tc>
          <w:tcPr>
            <w:tcW w:w="750" w:type="dxa"/>
            <w:tcMar>
              <w:top w:w="60" w:type="dxa"/>
              <w:left w:w="100" w:type="dxa"/>
              <w:bottom w:w="60" w:type="dxa"/>
              <w:right w:w="100" w:type="dxa"/>
            </w:tcMar>
          </w:tcPr>
          <w:p w:rsidR="002908CA" w:rsidRDefault="0078009E">
            <w:r>
              <w:rPr>
                <w:color w:val="000000"/>
                <w:sz w:val="19"/>
                <w:szCs w:val="19"/>
              </w:rPr>
              <w:t>&lt;0,001</w:t>
            </w:r>
          </w:p>
        </w:tc>
      </w:tr>
      <w:tr w:rsidR="002908CA">
        <w:tc>
          <w:tcPr>
            <w:tcW w:w="3000" w:type="dxa"/>
            <w:tcMar>
              <w:top w:w="60" w:type="dxa"/>
              <w:left w:w="100" w:type="dxa"/>
              <w:bottom w:w="60" w:type="dxa"/>
              <w:right w:w="100" w:type="dxa"/>
            </w:tcMar>
          </w:tcPr>
          <w:p w:rsidR="002908CA" w:rsidRDefault="0078009E">
            <w:r>
              <w:rPr>
                <w:color w:val="000000"/>
                <w:sz w:val="19"/>
                <w:szCs w:val="19"/>
              </w:rPr>
              <w:t>Robos de mayor connotación</w:t>
            </w:r>
          </w:p>
        </w:tc>
        <w:tc>
          <w:tcPr>
            <w:tcW w:w="2000" w:type="dxa"/>
            <w:tcMar>
              <w:top w:w="60" w:type="dxa"/>
              <w:left w:w="100" w:type="dxa"/>
              <w:bottom w:w="60" w:type="dxa"/>
              <w:right w:w="100" w:type="dxa"/>
            </w:tcMar>
          </w:tcPr>
          <w:p w:rsidR="002908CA" w:rsidRDefault="0078009E">
            <w:r>
              <w:rPr>
                <w:color w:val="000000"/>
                <w:sz w:val="19"/>
                <w:szCs w:val="19"/>
              </w:rPr>
              <w:t>444</w:t>
            </w:r>
          </w:p>
        </w:tc>
        <w:tc>
          <w:tcPr>
            <w:tcW w:w="2200" w:type="dxa"/>
            <w:tcMar>
              <w:top w:w="60" w:type="dxa"/>
              <w:left w:w="100" w:type="dxa"/>
              <w:bottom w:w="60" w:type="dxa"/>
              <w:right w:w="100" w:type="dxa"/>
            </w:tcMar>
          </w:tcPr>
          <w:p w:rsidR="002908CA" w:rsidRDefault="0078009E">
            <w:r>
              <w:rPr>
                <w:color w:val="000000"/>
                <w:sz w:val="19"/>
                <w:szCs w:val="19"/>
              </w:rPr>
              <w:t>539,0</w:t>
            </w:r>
          </w:p>
        </w:tc>
        <w:tc>
          <w:tcPr>
            <w:tcW w:w="1400" w:type="dxa"/>
            <w:tcMar>
              <w:top w:w="60" w:type="dxa"/>
              <w:left w:w="100" w:type="dxa"/>
              <w:bottom w:w="60" w:type="dxa"/>
              <w:right w:w="100" w:type="dxa"/>
            </w:tcMar>
          </w:tcPr>
          <w:p w:rsidR="002908CA" w:rsidRDefault="0078009E">
            <w:r>
              <w:rPr>
                <w:color w:val="000000"/>
                <w:sz w:val="19"/>
                <w:szCs w:val="19"/>
              </w:rPr>
              <w:t>−</w:t>
            </w:r>
            <w:r>
              <w:rPr>
                <w:color w:val="000000"/>
                <w:sz w:val="19"/>
                <w:szCs w:val="19"/>
              </w:rPr>
              <w:t>95,0</w:t>
            </w:r>
          </w:p>
        </w:tc>
        <w:tc>
          <w:tcPr>
            <w:tcW w:w="750" w:type="dxa"/>
            <w:tcMar>
              <w:top w:w="60" w:type="dxa"/>
              <w:left w:w="100" w:type="dxa"/>
              <w:bottom w:w="60" w:type="dxa"/>
              <w:right w:w="100" w:type="dxa"/>
            </w:tcMar>
          </w:tcPr>
          <w:p w:rsidR="002908CA" w:rsidRDefault="0078009E">
            <w:r>
              <w:rPr>
                <w:color w:val="000000"/>
                <w:sz w:val="19"/>
                <w:szCs w:val="19"/>
              </w:rPr>
              <w:t>0,0005</w:t>
            </w:r>
          </w:p>
        </w:tc>
      </w:tr>
    </w:tbl>
    <w:p w:rsidR="002908CA" w:rsidRDefault="0078009E">
      <w:pPr>
        <w:spacing w:before="60" w:after="200"/>
        <w:jc w:val="center"/>
      </w:pPr>
      <w:r>
        <w:rPr>
          <w:i/>
          <w:iCs/>
          <w:color w:val="5B6472"/>
          <w:sz w:val="19"/>
          <w:szCs w:val="19"/>
        </w:rPr>
        <w:lastRenderedPageBreak/>
        <w:t>Tabla 1. Resultado agregado del método descrito en la sección 3 (10 senderos, cohorte 2024, 52 semanas antes y después).</w:t>
      </w:r>
    </w:p>
    <w:p w:rsidR="002908CA" w:rsidRDefault="0078009E">
      <w:pPr>
        <w:spacing w:after="160" w:line="300" w:lineRule="auto"/>
        <w:jc w:val="both"/>
      </w:pPr>
      <w:r>
        <w:t xml:space="preserve">En ambas categorías, la diferencia acumulada semana a semana no se concentra en las primeras semanas posteriores a la intervención: la trayectoria es descendente de forma sostenida a lo largo de todo el año de seguimiento, un patrón más consistente con un </w:t>
      </w:r>
      <w:r>
        <w:t>efecto que se acumula en el tiempo que con una fluctuación puntual que después se revierte.</w:t>
      </w:r>
    </w:p>
    <w:p w:rsidR="002908CA" w:rsidRDefault="0078009E">
      <w:pPr>
        <w:pStyle w:val="Ttulo2"/>
        <w:spacing w:before="240" w:after="120"/>
      </w:pPr>
      <w:r>
        <w:t>4.2 Prueba de sensibilidad por corredor</w:t>
      </w:r>
    </w:p>
    <w:p w:rsidR="002908CA" w:rsidRDefault="0078009E">
      <w:pPr>
        <w:spacing w:after="160" w:line="300" w:lineRule="auto"/>
        <w:jc w:val="both"/>
      </w:pPr>
      <w:r>
        <w:t>Ningún resultado agregado debería aceptarse sin evaluar su dependencia de casos individuales. Se recalculó el método de la s</w:t>
      </w:r>
      <w:r>
        <w:t>ección 3 excluyendo, uno a la vez, cada uno de los 10 senderos de la serie agregada. Un corredor —Av. Carapungo— resultó determinante para el resultado de convivencia ciudadana: su serie previa a la intervención presenta un incremento transitorio pronuncia</w:t>
      </w:r>
      <w:r>
        <w:t>do (aproximadamente 4 veces su nivel de base) entre las semanas -52 y -40, seguido de un descenso hacia ese nivel antes de la inauguración. La Tabla 2 reporta el resultado agregado con y sin ese corredor.</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75"/>
        <w:gridCol w:w="3175"/>
      </w:tblGrid>
      <w:tr w:rsidR="002908CA">
        <w:tc>
          <w:tcPr>
            <w:tcW w:w="3000" w:type="dxa"/>
            <w:shd w:val="clear" w:color="auto" w:fill="EEF5FF"/>
            <w:tcMar>
              <w:top w:w="60" w:type="dxa"/>
              <w:left w:w="100" w:type="dxa"/>
              <w:bottom w:w="60" w:type="dxa"/>
              <w:right w:w="100" w:type="dxa"/>
            </w:tcMar>
          </w:tcPr>
          <w:p w:rsidR="002908CA" w:rsidRDefault="0078009E">
            <w:r>
              <w:rPr>
                <w:b/>
                <w:bCs/>
                <w:color w:val="15206B"/>
                <w:sz w:val="19"/>
                <w:szCs w:val="19"/>
              </w:rPr>
              <w:t>Categoría</w:t>
            </w:r>
          </w:p>
        </w:tc>
        <w:tc>
          <w:tcPr>
            <w:tcW w:w="3175" w:type="dxa"/>
            <w:shd w:val="clear" w:color="auto" w:fill="EEF5FF"/>
            <w:tcMar>
              <w:top w:w="60" w:type="dxa"/>
              <w:left w:w="100" w:type="dxa"/>
              <w:bottom w:w="60" w:type="dxa"/>
              <w:right w:w="100" w:type="dxa"/>
            </w:tcMar>
          </w:tcPr>
          <w:p w:rsidR="002908CA" w:rsidRDefault="0078009E">
            <w:r>
              <w:rPr>
                <w:b/>
                <w:bCs/>
                <w:color w:val="15206B"/>
                <w:sz w:val="19"/>
                <w:szCs w:val="19"/>
              </w:rPr>
              <w:t>10 senderos</w:t>
            </w:r>
          </w:p>
        </w:tc>
        <w:tc>
          <w:tcPr>
            <w:tcW w:w="3175" w:type="dxa"/>
            <w:shd w:val="clear" w:color="auto" w:fill="EEF5FF"/>
            <w:tcMar>
              <w:top w:w="60" w:type="dxa"/>
              <w:left w:w="100" w:type="dxa"/>
              <w:bottom w:w="60" w:type="dxa"/>
              <w:right w:w="100" w:type="dxa"/>
            </w:tcMar>
          </w:tcPr>
          <w:p w:rsidR="002908CA" w:rsidRDefault="0078009E">
            <w:r>
              <w:rPr>
                <w:b/>
                <w:bCs/>
                <w:color w:val="15206B"/>
                <w:sz w:val="19"/>
                <w:szCs w:val="19"/>
              </w:rPr>
              <w:t>9 senderos (excluyendo el corredor atípico)</w:t>
            </w:r>
          </w:p>
        </w:tc>
      </w:tr>
      <w:tr w:rsidR="002908CA">
        <w:tc>
          <w:tcPr>
            <w:tcW w:w="3000" w:type="dxa"/>
            <w:tcMar>
              <w:top w:w="60" w:type="dxa"/>
              <w:left w:w="100" w:type="dxa"/>
              <w:bottom w:w="60" w:type="dxa"/>
              <w:right w:w="100" w:type="dxa"/>
            </w:tcMar>
          </w:tcPr>
          <w:p w:rsidR="002908CA" w:rsidRDefault="0078009E">
            <w:r>
              <w:rPr>
                <w:color w:val="000000"/>
                <w:sz w:val="19"/>
                <w:szCs w:val="19"/>
              </w:rPr>
              <w:t>Convivencia ciudadana</w:t>
            </w:r>
          </w:p>
        </w:tc>
        <w:tc>
          <w:tcPr>
            <w:tcW w:w="3175" w:type="dxa"/>
            <w:tcMar>
              <w:top w:w="60" w:type="dxa"/>
              <w:left w:w="100" w:type="dxa"/>
              <w:bottom w:w="60" w:type="dxa"/>
              <w:right w:w="100" w:type="dxa"/>
            </w:tcMar>
          </w:tcPr>
          <w:p w:rsidR="002908CA" w:rsidRDefault="0078009E">
            <w:r>
              <w:rPr>
                <w:color w:val="000000"/>
                <w:sz w:val="19"/>
                <w:szCs w:val="19"/>
              </w:rPr>
              <w:t>−</w:t>
            </w:r>
            <w:r>
              <w:rPr>
                <w:color w:val="000000"/>
                <w:sz w:val="19"/>
                <w:szCs w:val="19"/>
              </w:rPr>
              <w:t>380,2 (p&lt;0,001)</w:t>
            </w:r>
          </w:p>
        </w:tc>
        <w:tc>
          <w:tcPr>
            <w:tcW w:w="3175" w:type="dxa"/>
            <w:tcMar>
              <w:top w:w="60" w:type="dxa"/>
              <w:left w:w="100" w:type="dxa"/>
              <w:bottom w:w="60" w:type="dxa"/>
              <w:right w:w="100" w:type="dxa"/>
            </w:tcMar>
          </w:tcPr>
          <w:p w:rsidR="002908CA" w:rsidRDefault="0078009E">
            <w:r>
              <w:rPr>
                <w:color w:val="000000"/>
                <w:sz w:val="19"/>
                <w:szCs w:val="19"/>
              </w:rPr>
              <w:t>+10,4 (p=0,83)</w:t>
            </w:r>
          </w:p>
        </w:tc>
      </w:tr>
      <w:tr w:rsidR="002908CA">
        <w:tc>
          <w:tcPr>
            <w:tcW w:w="3000" w:type="dxa"/>
            <w:tcMar>
              <w:top w:w="60" w:type="dxa"/>
              <w:left w:w="100" w:type="dxa"/>
              <w:bottom w:w="60" w:type="dxa"/>
              <w:right w:w="100" w:type="dxa"/>
            </w:tcMar>
          </w:tcPr>
          <w:p w:rsidR="002908CA" w:rsidRDefault="0078009E">
            <w:r>
              <w:rPr>
                <w:color w:val="000000"/>
                <w:sz w:val="19"/>
                <w:szCs w:val="19"/>
              </w:rPr>
              <w:t>Robos de mayor connotación</w:t>
            </w:r>
          </w:p>
        </w:tc>
        <w:tc>
          <w:tcPr>
            <w:tcW w:w="3175" w:type="dxa"/>
            <w:tcMar>
              <w:top w:w="60" w:type="dxa"/>
              <w:left w:w="100" w:type="dxa"/>
              <w:bottom w:w="60" w:type="dxa"/>
              <w:right w:w="100" w:type="dxa"/>
            </w:tcMar>
          </w:tcPr>
          <w:p w:rsidR="002908CA" w:rsidRDefault="0078009E">
            <w:r>
              <w:rPr>
                <w:color w:val="000000"/>
                <w:sz w:val="19"/>
                <w:szCs w:val="19"/>
              </w:rPr>
              <w:t>−</w:t>
            </w:r>
            <w:r>
              <w:rPr>
                <w:color w:val="000000"/>
                <w:sz w:val="19"/>
                <w:szCs w:val="19"/>
              </w:rPr>
              <w:t>95,0 (p=0,0005)</w:t>
            </w:r>
          </w:p>
        </w:tc>
        <w:tc>
          <w:tcPr>
            <w:tcW w:w="3175" w:type="dxa"/>
            <w:tcMar>
              <w:top w:w="60" w:type="dxa"/>
              <w:left w:w="100" w:type="dxa"/>
              <w:bottom w:w="60" w:type="dxa"/>
              <w:right w:w="100" w:type="dxa"/>
            </w:tcMar>
          </w:tcPr>
          <w:p w:rsidR="002908CA" w:rsidRDefault="0078009E">
            <w:r>
              <w:rPr>
                <w:color w:val="000000"/>
                <w:sz w:val="19"/>
                <w:szCs w:val="19"/>
              </w:rPr>
              <w:t>−</w:t>
            </w:r>
            <w:r>
              <w:rPr>
                <w:color w:val="000000"/>
                <w:sz w:val="19"/>
                <w:szCs w:val="19"/>
              </w:rPr>
              <w:t>100,7 (p=0,0003)</w:t>
            </w:r>
          </w:p>
        </w:tc>
      </w:tr>
    </w:tbl>
    <w:p w:rsidR="002908CA" w:rsidRDefault="0078009E">
      <w:pPr>
        <w:spacing w:before="60" w:after="200"/>
        <w:jc w:val="center"/>
      </w:pPr>
      <w:r>
        <w:rPr>
          <w:i/>
          <w:iCs/>
          <w:color w:val="5B6472"/>
          <w:sz w:val="19"/>
          <w:szCs w:val="19"/>
        </w:rPr>
        <w:t>Tabla 2. Diferencia acumulada (incidentes) frente al contrafactual, con y sin el corredor identificado como atípico en la prueba de sensibilidad.</w:t>
      </w:r>
    </w:p>
    <w:p w:rsidR="002908CA" w:rsidRDefault="0078009E">
      <w:pPr>
        <w:spacing w:after="160" w:line="300" w:lineRule="auto"/>
        <w:jc w:val="both"/>
      </w:pPr>
      <w:r>
        <w:t>El resultado de convivencia ciudadana no resiste esta prueba: al excluir un solo corredor de los 10, la difere</w:t>
      </w:r>
      <w:r>
        <w:t>ncia se invierte de signo y deja de ser distinguible del ruido (p=0,83). El resultado de la sección 4.1 en esa categoría es, en la práctica, atribuible a un único caso.</w:t>
      </w:r>
    </w:p>
    <w:p w:rsidR="002908CA" w:rsidRDefault="0078009E">
      <w:pPr>
        <w:spacing w:after="160" w:line="300" w:lineRule="auto"/>
        <w:jc w:val="both"/>
      </w:pPr>
      <w:r>
        <w:t>El resultado de robos de mayor connotación exhibe el patrón contrario: se mantiene, y d</w:t>
      </w:r>
      <w:r>
        <w:t>e hecho se fortalece levemente, al excluir el mismo corredor (de −95,0 a −100,7; el p-valor se reduce de 0,0005 a 0,0003). La reducción en robos no depende de un solo caso, sino que está distribuida de forma más homogénea entre los 9 corredores restantes.</w:t>
      </w:r>
    </w:p>
    <w:p w:rsidR="002908CA" w:rsidRDefault="0078009E">
      <w:pPr>
        <w:pStyle w:val="Ttulo1"/>
        <w:spacing w:before="360" w:after="160"/>
      </w:pPr>
      <w:r>
        <w:t>5. Discusión</w:t>
      </w:r>
    </w:p>
    <w:p w:rsidR="002908CA" w:rsidRDefault="0078009E">
      <w:pPr>
        <w:spacing w:after="160" w:line="300" w:lineRule="auto"/>
        <w:jc w:val="both"/>
      </w:pPr>
      <w:r>
        <w:t>Dos lecturas se desprenden de los resultados, y ambas son sustantivas para la gestión del programa. Primera, el hallazgo de convivencia ciudadana no debería comunicarse como evidencia de éxito sin antes auditar la serie cruda del corredor iden</w:t>
      </w:r>
      <w:r>
        <w:t>tificado en la sección 4.2: su patrón de incremento transitorio y posterior reversión es más compatible con una particularidad de los datos de ese corredor que con un efecto homogéneo de seguridad.</w:t>
      </w:r>
    </w:p>
    <w:p w:rsidR="002908CA" w:rsidRDefault="0078009E">
      <w:pPr>
        <w:spacing w:after="160" w:line="300" w:lineRule="auto"/>
        <w:jc w:val="both"/>
      </w:pPr>
      <w:r>
        <w:t xml:space="preserve">Segunda, y en sentido contrario, la reducción en robos de </w:t>
      </w:r>
      <w:r>
        <w:t xml:space="preserve">mayor connotación sí exhibe las propiedades que se asocian con una señal creíble: se sostiene bajo el contrafactual ajustado, no depende de ningún corredor individual, y se acumula de forma sostenida a lo largo del año de seguimiento. Esta asimetría entre </w:t>
      </w:r>
      <w:r>
        <w:t xml:space="preserve">categorías </w:t>
      </w:r>
      <w:r>
        <w:lastRenderedPageBreak/>
        <w:t>es plausible desde el punto de vista de los mecanismos: intervenciones de iluminación y presencia institucional en el espacio público inciden de forma más directa sobre delitos de oportunidad como el robo —que responden a la visibilidad y a la p</w:t>
      </w:r>
      <w:r>
        <w:t>ercepción de vigilancia— que sobre dinámicas de convivencia ciudadana, cuya prevalencia depende en mayor medida de factores sociales y de patrullaje sostenido.</w:t>
      </w:r>
    </w:p>
    <w:p w:rsidR="002908CA" w:rsidRDefault="0078009E">
      <w:pPr>
        <w:pStyle w:val="Ttulo1"/>
        <w:spacing w:before="360" w:after="160"/>
      </w:pPr>
      <w:r>
        <w:t>6. Conclusión</w:t>
      </w:r>
    </w:p>
    <w:p w:rsidR="002908CA" w:rsidRDefault="0078009E">
      <w:pPr>
        <w:spacing w:after="160" w:line="300" w:lineRule="auto"/>
        <w:jc w:val="both"/>
      </w:pPr>
      <w:r>
        <w:t>El método descrito en este documento encuentra una reducción agregada creíble en r</w:t>
      </w:r>
      <w:r>
        <w:t>obos de mayor connotación entre los 10 senderos evaluables de la cohorte 2024, que se sostiene ante la prueba de sensibilidad más exigente disponible en este ejercicio. No encuentra, en cambio, evidencia sostenible de un efecto agregado en convivencia ciud</w:t>
      </w:r>
      <w:r>
        <w:t>adana: el resultado depende en su totalidad de un corredor cuya serie requiere auditoría.</w:t>
      </w:r>
    </w:p>
    <w:p w:rsidR="002908CA" w:rsidRDefault="0078009E">
      <w:pPr>
        <w:spacing w:after="160" w:line="300" w:lineRule="auto"/>
        <w:jc w:val="both"/>
      </w:pPr>
      <w:r>
        <w:t>Se recomienda, como pasos inmediatos: auditar la serie cruda del corredor identificado antes de cualquier comunicación pública sobre resultados de convivencia ciudada</w:t>
      </w:r>
      <w:r>
        <w:t>na; completar las verificaciones listadas en la sección 6 antes de tratar el resultado de robos como definitivo, aunque sea el más sólido de los dos; y extender el método, cuando se disponga de la información geográfica necesaria, a los 9 senderos de la co</w:t>
      </w:r>
      <w:r>
        <w:t>horte 2025.</w:t>
      </w:r>
    </w:p>
    <w:p w:rsidR="002908CA" w:rsidRDefault="0078009E">
      <w:pPr>
        <w:pStyle w:val="Ttulo1"/>
        <w:spacing w:before="360" w:after="160"/>
      </w:pPr>
      <w:r>
        <w:t>Anexo. Detalle por sendero</w:t>
      </w:r>
    </w:p>
    <w:p w:rsidR="002908CA" w:rsidRDefault="0078009E">
      <w:pPr>
        <w:spacing w:after="160" w:line="300" w:lineRule="auto"/>
        <w:jc w:val="both"/>
      </w:pPr>
      <w:r>
        <w:t>La Tabla 3 desagrega el resultado de la sección 4.1 por sendero individual, aplicando la misma lógica de contrafactual (proyección propia ajustada por efecto de contexto) unidad por unidad en lugar de sobre la serie a</w:t>
      </w:r>
      <w:r>
        <w:t>gregada. Se incluye con fines de transparencia y trazabilidad.</w:t>
      </w:r>
    </w:p>
    <w:p w:rsidR="002908CA" w:rsidRDefault="002908CA">
      <w:pPr>
        <w:spacing w:before="100"/>
      </w:pP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400"/>
        <w:gridCol w:w="1250"/>
        <w:gridCol w:w="1400"/>
        <w:gridCol w:w="1100"/>
      </w:tblGrid>
      <w:tr w:rsidR="002908CA">
        <w:tc>
          <w:tcPr>
            <w:tcW w:w="3200" w:type="dxa"/>
            <w:shd w:val="clear" w:color="auto" w:fill="EEF5FF"/>
            <w:tcMar>
              <w:top w:w="60" w:type="dxa"/>
              <w:left w:w="100" w:type="dxa"/>
              <w:bottom w:w="60" w:type="dxa"/>
              <w:right w:w="100" w:type="dxa"/>
            </w:tcMar>
          </w:tcPr>
          <w:p w:rsidR="002908CA" w:rsidRDefault="0078009E">
            <w:r>
              <w:rPr>
                <w:b/>
                <w:bCs/>
                <w:color w:val="15206B"/>
                <w:sz w:val="19"/>
                <w:szCs w:val="19"/>
              </w:rPr>
              <w:t>Sendero</w:t>
            </w:r>
          </w:p>
        </w:tc>
        <w:tc>
          <w:tcPr>
            <w:tcW w:w="2400" w:type="dxa"/>
            <w:shd w:val="clear" w:color="auto" w:fill="EEF5FF"/>
            <w:tcMar>
              <w:top w:w="60" w:type="dxa"/>
              <w:left w:w="100" w:type="dxa"/>
              <w:bottom w:w="60" w:type="dxa"/>
              <w:right w:w="100" w:type="dxa"/>
            </w:tcMar>
          </w:tcPr>
          <w:p w:rsidR="002908CA" w:rsidRDefault="0078009E">
            <w:r>
              <w:rPr>
                <w:b/>
                <w:bCs/>
                <w:color w:val="15206B"/>
                <w:sz w:val="19"/>
                <w:szCs w:val="19"/>
              </w:rPr>
              <w:t>Categoría</w:t>
            </w:r>
          </w:p>
        </w:tc>
        <w:tc>
          <w:tcPr>
            <w:tcW w:w="1250" w:type="dxa"/>
            <w:shd w:val="clear" w:color="auto" w:fill="EEF5FF"/>
            <w:tcMar>
              <w:top w:w="60" w:type="dxa"/>
              <w:left w:w="100" w:type="dxa"/>
              <w:bottom w:w="60" w:type="dxa"/>
              <w:right w:w="100" w:type="dxa"/>
            </w:tcMar>
          </w:tcPr>
          <w:p w:rsidR="002908CA" w:rsidRDefault="0078009E">
            <w:r>
              <w:rPr>
                <w:b/>
                <w:bCs/>
                <w:color w:val="15206B"/>
                <w:sz w:val="19"/>
                <w:szCs w:val="19"/>
              </w:rPr>
              <w:t>Donantes</w:t>
            </w:r>
          </w:p>
        </w:tc>
        <w:tc>
          <w:tcPr>
            <w:tcW w:w="1400" w:type="dxa"/>
            <w:shd w:val="clear" w:color="auto" w:fill="EEF5FF"/>
            <w:tcMar>
              <w:top w:w="60" w:type="dxa"/>
              <w:left w:w="100" w:type="dxa"/>
              <w:bottom w:w="60" w:type="dxa"/>
              <w:right w:w="100" w:type="dxa"/>
            </w:tcMar>
          </w:tcPr>
          <w:p w:rsidR="002908CA" w:rsidRDefault="0078009E">
            <w:r>
              <w:rPr>
                <w:b/>
                <w:bCs/>
                <w:color w:val="15206B"/>
                <w:sz w:val="19"/>
                <w:szCs w:val="19"/>
              </w:rPr>
              <w:t>Diferencia</w:t>
            </w:r>
          </w:p>
        </w:tc>
        <w:tc>
          <w:tcPr>
            <w:tcW w:w="1100" w:type="dxa"/>
            <w:shd w:val="clear" w:color="auto" w:fill="EEF5FF"/>
            <w:tcMar>
              <w:top w:w="60" w:type="dxa"/>
              <w:left w:w="100" w:type="dxa"/>
              <w:bottom w:w="60" w:type="dxa"/>
              <w:right w:w="100" w:type="dxa"/>
            </w:tcMar>
          </w:tcPr>
          <w:p w:rsidR="002908CA" w:rsidRDefault="0078009E">
            <w:r>
              <w:rPr>
                <w:b/>
                <w:bCs/>
                <w:color w:val="15206B"/>
                <w:sz w:val="19"/>
                <w:szCs w:val="19"/>
              </w:rPr>
              <w:t>p-valor</w:t>
            </w:r>
          </w:p>
        </w:tc>
      </w:tr>
      <w:tr w:rsidR="002908CA">
        <w:tc>
          <w:tcPr>
            <w:tcW w:w="3200" w:type="dxa"/>
            <w:tcMar>
              <w:top w:w="60" w:type="dxa"/>
              <w:left w:w="100" w:type="dxa"/>
              <w:bottom w:w="60" w:type="dxa"/>
              <w:right w:w="100" w:type="dxa"/>
            </w:tcMar>
          </w:tcPr>
          <w:p w:rsidR="002908CA" w:rsidRDefault="0078009E">
            <w:r>
              <w:rPr>
                <w:color w:val="000000"/>
                <w:sz w:val="19"/>
                <w:szCs w:val="19"/>
              </w:rPr>
              <w:t>Av Patria</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72,1</w:t>
            </w:r>
          </w:p>
        </w:tc>
        <w:tc>
          <w:tcPr>
            <w:tcW w:w="1100" w:type="dxa"/>
            <w:tcMar>
              <w:top w:w="60" w:type="dxa"/>
              <w:left w:w="100" w:type="dxa"/>
              <w:bottom w:w="60" w:type="dxa"/>
              <w:right w:w="100" w:type="dxa"/>
            </w:tcMar>
          </w:tcPr>
          <w:p w:rsidR="002908CA" w:rsidRDefault="0078009E">
            <w:r>
              <w:rPr>
                <w:color w:val="000000"/>
                <w:sz w:val="19"/>
                <w:szCs w:val="19"/>
              </w:rPr>
              <w:t>0,018</w:t>
            </w:r>
          </w:p>
        </w:tc>
      </w:tr>
      <w:tr w:rsidR="002908CA">
        <w:tc>
          <w:tcPr>
            <w:tcW w:w="3200" w:type="dxa"/>
            <w:tcMar>
              <w:top w:w="60" w:type="dxa"/>
              <w:left w:w="100" w:type="dxa"/>
              <w:bottom w:w="60" w:type="dxa"/>
              <w:right w:w="100" w:type="dxa"/>
            </w:tcMar>
          </w:tcPr>
          <w:p w:rsidR="002908CA" w:rsidRDefault="0078009E">
            <w:r>
              <w:rPr>
                <w:color w:val="000000"/>
                <w:sz w:val="19"/>
                <w:szCs w:val="19"/>
              </w:rPr>
              <w:t>El Tingo</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59,6</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La Michelena</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272,8</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Caldas y Antepara</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80,8</w:t>
            </w:r>
          </w:p>
        </w:tc>
        <w:tc>
          <w:tcPr>
            <w:tcW w:w="1100" w:type="dxa"/>
            <w:tcMar>
              <w:top w:w="60" w:type="dxa"/>
              <w:left w:w="100" w:type="dxa"/>
              <w:bottom w:w="60" w:type="dxa"/>
              <w:right w:w="100" w:type="dxa"/>
            </w:tcMar>
          </w:tcPr>
          <w:p w:rsidR="002908CA" w:rsidRDefault="0078009E">
            <w:r>
              <w:rPr>
                <w:color w:val="000000"/>
                <w:sz w:val="19"/>
                <w:szCs w:val="19"/>
              </w:rPr>
              <w:t>0,073</w:t>
            </w:r>
          </w:p>
        </w:tc>
      </w:tr>
      <w:tr w:rsidR="002908CA">
        <w:tc>
          <w:tcPr>
            <w:tcW w:w="3200" w:type="dxa"/>
            <w:tcMar>
              <w:top w:w="60" w:type="dxa"/>
              <w:left w:w="100" w:type="dxa"/>
              <w:bottom w:w="60" w:type="dxa"/>
              <w:right w:w="100" w:type="dxa"/>
            </w:tcMar>
          </w:tcPr>
          <w:p w:rsidR="002908CA" w:rsidRDefault="0078009E">
            <w:r>
              <w:rPr>
                <w:color w:val="000000"/>
                <w:sz w:val="19"/>
                <w:szCs w:val="19"/>
              </w:rPr>
              <w:t>Chillogallo</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-147,1</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Isla Tortuga</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8</w:t>
            </w:r>
          </w:p>
        </w:tc>
        <w:tc>
          <w:tcPr>
            <w:tcW w:w="1400" w:type="dxa"/>
            <w:tcMar>
              <w:top w:w="60" w:type="dxa"/>
              <w:left w:w="100" w:type="dxa"/>
              <w:bottom w:w="60" w:type="dxa"/>
              <w:right w:w="100" w:type="dxa"/>
            </w:tcMar>
          </w:tcPr>
          <w:p w:rsidR="002908CA" w:rsidRDefault="0078009E">
            <w:r>
              <w:rPr>
                <w:color w:val="000000"/>
                <w:sz w:val="19"/>
                <w:szCs w:val="19"/>
              </w:rPr>
              <w:t>-16,0</w:t>
            </w:r>
          </w:p>
        </w:tc>
        <w:tc>
          <w:tcPr>
            <w:tcW w:w="1100" w:type="dxa"/>
            <w:tcMar>
              <w:top w:w="60" w:type="dxa"/>
              <w:left w:w="100" w:type="dxa"/>
              <w:bottom w:w="60" w:type="dxa"/>
              <w:right w:w="100" w:type="dxa"/>
            </w:tcMar>
          </w:tcPr>
          <w:p w:rsidR="002908CA" w:rsidRDefault="0078009E">
            <w:r>
              <w:rPr>
                <w:color w:val="000000"/>
                <w:sz w:val="19"/>
                <w:szCs w:val="19"/>
              </w:rPr>
              <w:t>0,003</w:t>
            </w:r>
          </w:p>
        </w:tc>
      </w:tr>
      <w:tr w:rsidR="002908CA">
        <w:tc>
          <w:tcPr>
            <w:tcW w:w="3200" w:type="dxa"/>
            <w:tcMar>
              <w:top w:w="60" w:type="dxa"/>
              <w:left w:w="100" w:type="dxa"/>
              <w:bottom w:w="60" w:type="dxa"/>
              <w:right w:w="100" w:type="dxa"/>
            </w:tcMar>
          </w:tcPr>
          <w:p w:rsidR="002908CA" w:rsidRDefault="0078009E">
            <w:r>
              <w:rPr>
                <w:color w:val="000000"/>
                <w:sz w:val="19"/>
                <w:szCs w:val="19"/>
              </w:rPr>
              <w:t>La Roldos</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8</w:t>
            </w:r>
          </w:p>
        </w:tc>
        <w:tc>
          <w:tcPr>
            <w:tcW w:w="1400" w:type="dxa"/>
            <w:tcMar>
              <w:top w:w="60" w:type="dxa"/>
              <w:left w:w="100" w:type="dxa"/>
              <w:bottom w:w="60" w:type="dxa"/>
              <w:right w:w="100" w:type="dxa"/>
            </w:tcMar>
          </w:tcPr>
          <w:p w:rsidR="002908CA" w:rsidRDefault="0078009E">
            <w:r>
              <w:rPr>
                <w:color w:val="000000"/>
                <w:sz w:val="19"/>
                <w:szCs w:val="19"/>
              </w:rPr>
              <w:t>-119,5</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Av Carapungo</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8</w:t>
            </w:r>
          </w:p>
        </w:tc>
        <w:tc>
          <w:tcPr>
            <w:tcW w:w="1400" w:type="dxa"/>
            <w:tcMar>
              <w:top w:w="60" w:type="dxa"/>
              <w:left w:w="100" w:type="dxa"/>
              <w:bottom w:w="60" w:type="dxa"/>
              <w:right w:w="100" w:type="dxa"/>
            </w:tcMar>
          </w:tcPr>
          <w:p w:rsidR="002908CA" w:rsidRDefault="0078009E">
            <w:r>
              <w:rPr>
                <w:color w:val="000000"/>
                <w:sz w:val="19"/>
                <w:szCs w:val="19"/>
              </w:rPr>
              <w:t>-243,9</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Av Colón</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7</w:t>
            </w:r>
          </w:p>
        </w:tc>
        <w:tc>
          <w:tcPr>
            <w:tcW w:w="1400" w:type="dxa"/>
            <w:tcMar>
              <w:top w:w="60" w:type="dxa"/>
              <w:left w:w="100" w:type="dxa"/>
              <w:bottom w:w="60" w:type="dxa"/>
              <w:right w:w="100" w:type="dxa"/>
            </w:tcMar>
          </w:tcPr>
          <w:p w:rsidR="002908CA" w:rsidRDefault="0078009E">
            <w:r>
              <w:rPr>
                <w:color w:val="000000"/>
                <w:sz w:val="19"/>
                <w:szCs w:val="19"/>
              </w:rPr>
              <w:t>-318,7</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Tumbaco</w:t>
            </w:r>
          </w:p>
        </w:tc>
        <w:tc>
          <w:tcPr>
            <w:tcW w:w="2400" w:type="dxa"/>
            <w:tcMar>
              <w:top w:w="60" w:type="dxa"/>
              <w:left w:w="100" w:type="dxa"/>
              <w:bottom w:w="60" w:type="dxa"/>
              <w:right w:w="100" w:type="dxa"/>
            </w:tcMar>
          </w:tcPr>
          <w:p w:rsidR="002908CA" w:rsidRDefault="0078009E">
            <w:r>
              <w:rPr>
                <w:color w:val="000000"/>
                <w:sz w:val="19"/>
                <w:szCs w:val="19"/>
              </w:rPr>
              <w:t>Convivencia</w:t>
            </w:r>
          </w:p>
        </w:tc>
        <w:tc>
          <w:tcPr>
            <w:tcW w:w="1250" w:type="dxa"/>
            <w:tcMar>
              <w:top w:w="60" w:type="dxa"/>
              <w:left w:w="100" w:type="dxa"/>
              <w:bottom w:w="60" w:type="dxa"/>
              <w:right w:w="100" w:type="dxa"/>
            </w:tcMar>
          </w:tcPr>
          <w:p w:rsidR="002908CA" w:rsidRDefault="0078009E">
            <w:r>
              <w:rPr>
                <w:color w:val="000000"/>
                <w:sz w:val="19"/>
                <w:szCs w:val="19"/>
              </w:rPr>
              <w:t>7</w:t>
            </w:r>
          </w:p>
        </w:tc>
        <w:tc>
          <w:tcPr>
            <w:tcW w:w="1400" w:type="dxa"/>
            <w:tcMar>
              <w:top w:w="60" w:type="dxa"/>
              <w:left w:w="100" w:type="dxa"/>
              <w:bottom w:w="60" w:type="dxa"/>
              <w:right w:w="100" w:type="dxa"/>
            </w:tcMar>
          </w:tcPr>
          <w:p w:rsidR="002908CA" w:rsidRDefault="0078009E">
            <w:r>
              <w:rPr>
                <w:color w:val="000000"/>
                <w:sz w:val="19"/>
                <w:szCs w:val="19"/>
              </w:rPr>
              <w:t>37,8</w:t>
            </w:r>
          </w:p>
        </w:tc>
        <w:tc>
          <w:tcPr>
            <w:tcW w:w="1100" w:type="dxa"/>
            <w:tcMar>
              <w:top w:w="60" w:type="dxa"/>
              <w:left w:w="100" w:type="dxa"/>
              <w:bottom w:w="60" w:type="dxa"/>
              <w:right w:w="100" w:type="dxa"/>
            </w:tcMar>
          </w:tcPr>
          <w:p w:rsidR="002908CA" w:rsidRDefault="0078009E">
            <w:r>
              <w:rPr>
                <w:color w:val="000000"/>
                <w:sz w:val="19"/>
                <w:szCs w:val="19"/>
              </w:rPr>
              <w:t>0,416</w:t>
            </w:r>
          </w:p>
        </w:tc>
      </w:tr>
      <w:tr w:rsidR="002908CA">
        <w:tc>
          <w:tcPr>
            <w:tcW w:w="3200" w:type="dxa"/>
            <w:tcMar>
              <w:top w:w="60" w:type="dxa"/>
              <w:left w:w="100" w:type="dxa"/>
              <w:bottom w:w="60" w:type="dxa"/>
              <w:right w:w="100" w:type="dxa"/>
            </w:tcMar>
          </w:tcPr>
          <w:p w:rsidR="002908CA" w:rsidRDefault="0078009E">
            <w:r>
              <w:rPr>
                <w:color w:val="000000"/>
                <w:sz w:val="19"/>
                <w:szCs w:val="19"/>
              </w:rPr>
              <w:t>Av Patria</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-28,7</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El Tingo</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12,0</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La Michelena</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11,6</w:t>
            </w:r>
          </w:p>
        </w:tc>
        <w:tc>
          <w:tcPr>
            <w:tcW w:w="1100" w:type="dxa"/>
            <w:tcMar>
              <w:top w:w="60" w:type="dxa"/>
              <w:left w:w="100" w:type="dxa"/>
              <w:bottom w:w="60" w:type="dxa"/>
              <w:right w:w="100" w:type="dxa"/>
            </w:tcMar>
          </w:tcPr>
          <w:p w:rsidR="002908CA" w:rsidRDefault="0078009E">
            <w:r>
              <w:rPr>
                <w:color w:val="000000"/>
                <w:sz w:val="19"/>
                <w:szCs w:val="19"/>
              </w:rPr>
              <w:t>0,909</w:t>
            </w:r>
          </w:p>
        </w:tc>
      </w:tr>
      <w:tr w:rsidR="002908CA">
        <w:tc>
          <w:tcPr>
            <w:tcW w:w="3200" w:type="dxa"/>
            <w:tcMar>
              <w:top w:w="60" w:type="dxa"/>
              <w:left w:w="100" w:type="dxa"/>
              <w:bottom w:w="60" w:type="dxa"/>
              <w:right w:w="100" w:type="dxa"/>
            </w:tcMar>
          </w:tcPr>
          <w:p w:rsidR="002908CA" w:rsidRDefault="0078009E">
            <w:r>
              <w:rPr>
                <w:color w:val="000000"/>
                <w:sz w:val="19"/>
                <w:szCs w:val="19"/>
              </w:rPr>
              <w:lastRenderedPageBreak/>
              <w:t>Caldas y Antepara</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6,2</w:t>
            </w:r>
          </w:p>
        </w:tc>
        <w:tc>
          <w:tcPr>
            <w:tcW w:w="1100" w:type="dxa"/>
            <w:tcMar>
              <w:top w:w="60" w:type="dxa"/>
              <w:left w:w="100" w:type="dxa"/>
              <w:bottom w:w="60" w:type="dxa"/>
              <w:right w:w="100" w:type="dxa"/>
            </w:tcMar>
          </w:tcPr>
          <w:p w:rsidR="002908CA" w:rsidRDefault="0078009E">
            <w:r>
              <w:rPr>
                <w:color w:val="000000"/>
                <w:sz w:val="19"/>
                <w:szCs w:val="19"/>
              </w:rPr>
              <w:t>0,754</w:t>
            </w:r>
          </w:p>
        </w:tc>
      </w:tr>
      <w:tr w:rsidR="002908CA">
        <w:tc>
          <w:tcPr>
            <w:tcW w:w="3200" w:type="dxa"/>
            <w:tcMar>
              <w:top w:w="60" w:type="dxa"/>
              <w:left w:w="100" w:type="dxa"/>
              <w:bottom w:w="60" w:type="dxa"/>
              <w:right w:w="100" w:type="dxa"/>
            </w:tcMar>
          </w:tcPr>
          <w:p w:rsidR="002908CA" w:rsidRDefault="0078009E">
            <w:r>
              <w:rPr>
                <w:color w:val="000000"/>
                <w:sz w:val="19"/>
                <w:szCs w:val="19"/>
              </w:rPr>
              <w:t>Chillogallo</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9</w:t>
            </w:r>
          </w:p>
        </w:tc>
        <w:tc>
          <w:tcPr>
            <w:tcW w:w="1400" w:type="dxa"/>
            <w:tcMar>
              <w:top w:w="60" w:type="dxa"/>
              <w:left w:w="100" w:type="dxa"/>
              <w:bottom w:w="60" w:type="dxa"/>
              <w:right w:w="100" w:type="dxa"/>
            </w:tcMar>
          </w:tcPr>
          <w:p w:rsidR="002908CA" w:rsidRDefault="0078009E">
            <w:r>
              <w:rPr>
                <w:color w:val="000000"/>
                <w:sz w:val="19"/>
                <w:szCs w:val="19"/>
              </w:rPr>
              <w:t>-12,6</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Isla Tortuga</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8</w:t>
            </w:r>
          </w:p>
        </w:tc>
        <w:tc>
          <w:tcPr>
            <w:tcW w:w="1400" w:type="dxa"/>
            <w:tcMar>
              <w:top w:w="60" w:type="dxa"/>
              <w:left w:w="100" w:type="dxa"/>
              <w:bottom w:w="60" w:type="dxa"/>
              <w:right w:w="100" w:type="dxa"/>
            </w:tcMar>
          </w:tcPr>
          <w:p w:rsidR="002908CA" w:rsidRDefault="0078009E">
            <w:r>
              <w:rPr>
                <w:color w:val="000000"/>
                <w:sz w:val="19"/>
                <w:szCs w:val="19"/>
              </w:rPr>
              <w:t>-15,0</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La Roldos</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8</w:t>
            </w:r>
          </w:p>
        </w:tc>
        <w:tc>
          <w:tcPr>
            <w:tcW w:w="1400" w:type="dxa"/>
            <w:tcMar>
              <w:top w:w="60" w:type="dxa"/>
              <w:left w:w="100" w:type="dxa"/>
              <w:bottom w:w="60" w:type="dxa"/>
              <w:right w:w="100" w:type="dxa"/>
            </w:tcMar>
          </w:tcPr>
          <w:p w:rsidR="002908CA" w:rsidRDefault="0078009E">
            <w:r>
              <w:rPr>
                <w:color w:val="000000"/>
                <w:sz w:val="19"/>
                <w:szCs w:val="19"/>
              </w:rPr>
              <w:t>6,4</w:t>
            </w:r>
          </w:p>
        </w:tc>
        <w:tc>
          <w:tcPr>
            <w:tcW w:w="1100" w:type="dxa"/>
            <w:tcMar>
              <w:top w:w="60" w:type="dxa"/>
              <w:left w:w="100" w:type="dxa"/>
              <w:bottom w:w="60" w:type="dxa"/>
              <w:right w:w="100" w:type="dxa"/>
            </w:tcMar>
          </w:tcPr>
          <w:p w:rsidR="002908CA" w:rsidRDefault="0078009E">
            <w:r>
              <w:rPr>
                <w:color w:val="000000"/>
                <w:sz w:val="19"/>
                <w:szCs w:val="19"/>
              </w:rPr>
              <w:t>0,018</w:t>
            </w:r>
          </w:p>
        </w:tc>
      </w:tr>
      <w:tr w:rsidR="002908CA">
        <w:tc>
          <w:tcPr>
            <w:tcW w:w="3200" w:type="dxa"/>
            <w:tcMar>
              <w:top w:w="60" w:type="dxa"/>
              <w:left w:w="100" w:type="dxa"/>
              <w:bottom w:w="60" w:type="dxa"/>
              <w:right w:w="100" w:type="dxa"/>
            </w:tcMar>
          </w:tcPr>
          <w:p w:rsidR="002908CA" w:rsidRDefault="0078009E">
            <w:r>
              <w:rPr>
                <w:color w:val="000000"/>
                <w:sz w:val="19"/>
                <w:szCs w:val="19"/>
              </w:rPr>
              <w:t>Av Carapungo</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8</w:t>
            </w:r>
          </w:p>
        </w:tc>
        <w:tc>
          <w:tcPr>
            <w:tcW w:w="1400" w:type="dxa"/>
            <w:tcMar>
              <w:top w:w="60" w:type="dxa"/>
              <w:left w:w="100" w:type="dxa"/>
              <w:bottom w:w="60" w:type="dxa"/>
              <w:right w:w="100" w:type="dxa"/>
            </w:tcMar>
          </w:tcPr>
          <w:p w:rsidR="002908CA" w:rsidRDefault="0078009E">
            <w:r>
              <w:rPr>
                <w:color w:val="000000"/>
                <w:sz w:val="19"/>
                <w:szCs w:val="19"/>
              </w:rPr>
              <w:t>16,8</w:t>
            </w:r>
          </w:p>
        </w:tc>
        <w:tc>
          <w:tcPr>
            <w:tcW w:w="1100" w:type="dxa"/>
            <w:tcMar>
              <w:top w:w="60" w:type="dxa"/>
              <w:left w:w="100" w:type="dxa"/>
              <w:bottom w:w="60" w:type="dxa"/>
              <w:right w:w="100" w:type="dxa"/>
            </w:tcMar>
          </w:tcPr>
          <w:p w:rsidR="002908CA" w:rsidRDefault="0078009E">
            <w:r>
              <w:rPr>
                <w:color w:val="000000"/>
                <w:sz w:val="19"/>
                <w:szCs w:val="19"/>
              </w:rPr>
              <w:t>0,294</w:t>
            </w:r>
          </w:p>
        </w:tc>
      </w:tr>
      <w:tr w:rsidR="002908CA">
        <w:tc>
          <w:tcPr>
            <w:tcW w:w="3200" w:type="dxa"/>
            <w:tcMar>
              <w:top w:w="60" w:type="dxa"/>
              <w:left w:w="100" w:type="dxa"/>
              <w:bottom w:w="60" w:type="dxa"/>
              <w:right w:w="100" w:type="dxa"/>
            </w:tcMar>
          </w:tcPr>
          <w:p w:rsidR="002908CA" w:rsidRDefault="0078009E">
            <w:r>
              <w:rPr>
                <w:color w:val="000000"/>
                <w:sz w:val="19"/>
                <w:szCs w:val="19"/>
              </w:rPr>
              <w:t>Av Colón</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7</w:t>
            </w:r>
          </w:p>
        </w:tc>
        <w:tc>
          <w:tcPr>
            <w:tcW w:w="1400" w:type="dxa"/>
            <w:tcMar>
              <w:top w:w="60" w:type="dxa"/>
              <w:left w:w="100" w:type="dxa"/>
              <w:bottom w:w="60" w:type="dxa"/>
              <w:right w:w="100" w:type="dxa"/>
            </w:tcMar>
          </w:tcPr>
          <w:p w:rsidR="002908CA" w:rsidRDefault="0078009E">
            <w:r>
              <w:rPr>
                <w:color w:val="000000"/>
                <w:sz w:val="19"/>
                <w:szCs w:val="19"/>
              </w:rPr>
              <w:t>-39,3</w:t>
            </w:r>
          </w:p>
        </w:tc>
        <w:tc>
          <w:tcPr>
            <w:tcW w:w="1100" w:type="dxa"/>
            <w:tcMar>
              <w:top w:w="60" w:type="dxa"/>
              <w:left w:w="100" w:type="dxa"/>
              <w:bottom w:w="60" w:type="dxa"/>
              <w:right w:w="100" w:type="dxa"/>
            </w:tcMar>
          </w:tcPr>
          <w:p w:rsidR="002908CA" w:rsidRDefault="0078009E">
            <w:r>
              <w:rPr>
                <w:color w:val="000000"/>
                <w:sz w:val="19"/>
                <w:szCs w:val="19"/>
              </w:rPr>
              <w:t>0,000</w:t>
            </w:r>
          </w:p>
        </w:tc>
      </w:tr>
      <w:tr w:rsidR="002908CA">
        <w:tc>
          <w:tcPr>
            <w:tcW w:w="3200" w:type="dxa"/>
            <w:tcMar>
              <w:top w:w="60" w:type="dxa"/>
              <w:left w:w="100" w:type="dxa"/>
              <w:bottom w:w="60" w:type="dxa"/>
              <w:right w:w="100" w:type="dxa"/>
            </w:tcMar>
          </w:tcPr>
          <w:p w:rsidR="002908CA" w:rsidRDefault="0078009E">
            <w:r>
              <w:rPr>
                <w:color w:val="000000"/>
                <w:sz w:val="19"/>
                <w:szCs w:val="19"/>
              </w:rPr>
              <w:t>Tumbaco</w:t>
            </w:r>
          </w:p>
        </w:tc>
        <w:tc>
          <w:tcPr>
            <w:tcW w:w="2400" w:type="dxa"/>
            <w:tcMar>
              <w:top w:w="60" w:type="dxa"/>
              <w:left w:w="100" w:type="dxa"/>
              <w:bottom w:w="60" w:type="dxa"/>
              <w:right w:w="100" w:type="dxa"/>
            </w:tcMar>
          </w:tcPr>
          <w:p w:rsidR="002908CA" w:rsidRDefault="0078009E">
            <w:r>
              <w:rPr>
                <w:color w:val="000000"/>
                <w:sz w:val="19"/>
                <w:szCs w:val="19"/>
              </w:rPr>
              <w:t>Robos</w:t>
            </w:r>
          </w:p>
        </w:tc>
        <w:tc>
          <w:tcPr>
            <w:tcW w:w="1250" w:type="dxa"/>
            <w:tcMar>
              <w:top w:w="60" w:type="dxa"/>
              <w:left w:w="100" w:type="dxa"/>
              <w:bottom w:w="60" w:type="dxa"/>
              <w:right w:w="100" w:type="dxa"/>
            </w:tcMar>
          </w:tcPr>
          <w:p w:rsidR="002908CA" w:rsidRDefault="0078009E">
            <w:r>
              <w:rPr>
                <w:color w:val="000000"/>
                <w:sz w:val="19"/>
                <w:szCs w:val="19"/>
              </w:rPr>
              <w:t>7</w:t>
            </w:r>
          </w:p>
        </w:tc>
        <w:tc>
          <w:tcPr>
            <w:tcW w:w="1400" w:type="dxa"/>
            <w:tcMar>
              <w:top w:w="60" w:type="dxa"/>
              <w:left w:w="100" w:type="dxa"/>
              <w:bottom w:w="60" w:type="dxa"/>
              <w:right w:w="100" w:type="dxa"/>
            </w:tcMar>
          </w:tcPr>
          <w:p w:rsidR="002908CA" w:rsidRDefault="0078009E">
            <w:r>
              <w:rPr>
                <w:color w:val="000000"/>
                <w:sz w:val="19"/>
                <w:szCs w:val="19"/>
              </w:rPr>
              <w:t>-12,7</w:t>
            </w:r>
          </w:p>
        </w:tc>
        <w:tc>
          <w:tcPr>
            <w:tcW w:w="1100" w:type="dxa"/>
            <w:tcMar>
              <w:top w:w="60" w:type="dxa"/>
              <w:left w:w="100" w:type="dxa"/>
              <w:bottom w:w="60" w:type="dxa"/>
              <w:right w:w="100" w:type="dxa"/>
            </w:tcMar>
          </w:tcPr>
          <w:p w:rsidR="002908CA" w:rsidRDefault="0078009E">
            <w:r>
              <w:rPr>
                <w:color w:val="000000"/>
                <w:sz w:val="19"/>
                <w:szCs w:val="19"/>
              </w:rPr>
              <w:t>0,000</w:t>
            </w:r>
          </w:p>
        </w:tc>
      </w:tr>
    </w:tbl>
    <w:p w:rsidR="002908CA" w:rsidRDefault="0078009E">
      <w:pPr>
        <w:spacing w:before="60" w:after="200"/>
        <w:jc w:val="center"/>
      </w:pPr>
      <w:r>
        <w:rPr>
          <w:i/>
          <w:iCs/>
          <w:color w:val="5B6472"/>
          <w:sz w:val="19"/>
          <w:szCs w:val="19"/>
        </w:rPr>
        <w:t>Tabla 3. Diferencia acumulada frente al contrafactual ajustado, por sendero individual (52 semanas antes y después de la inauguración, cohorte 2024).</w:t>
      </w:r>
    </w:p>
    <w:p w:rsidR="002908CA" w:rsidRDefault="0078009E">
      <w:pPr>
        <w:pStyle w:val="Ttulo1"/>
        <w:spacing w:before="360" w:after="160"/>
      </w:pPr>
      <w:r>
        <w:t>Referencias</w:t>
      </w:r>
    </w:p>
    <w:p w:rsidR="002908CA" w:rsidRDefault="0078009E">
      <w:pPr>
        <w:spacing w:after="140" w:line="280" w:lineRule="auto"/>
        <w:ind w:left="360" w:hanging="360"/>
      </w:pPr>
      <w:r>
        <w:rPr>
          <w:sz w:val="20"/>
          <w:szCs w:val="20"/>
        </w:rPr>
        <w:t>Callaway, B., y Sant'Anna, P. H. C. (2021). Difference-in-Differences with Multiple Time Periods. Journal of Econometrics, 225(2), 200–230.</w:t>
      </w:r>
    </w:p>
    <w:p w:rsidR="002908CA" w:rsidRDefault="0078009E">
      <w:pPr>
        <w:spacing w:after="140" w:line="280" w:lineRule="auto"/>
        <w:ind w:left="360" w:hanging="360"/>
      </w:pPr>
      <w:r>
        <w:rPr>
          <w:sz w:val="20"/>
          <w:szCs w:val="20"/>
        </w:rPr>
        <w:t>Card, D., y Krueger, A. B. (1994). Minimum Wages and Employment: A Case Study of the Fast-Food Industry in New Jerse</w:t>
      </w:r>
      <w:r>
        <w:rPr>
          <w:sz w:val="20"/>
          <w:szCs w:val="20"/>
        </w:rPr>
        <w:t>y and Pennsylvania. American Economic Review, 84(4), 772–793.</w:t>
      </w:r>
    </w:p>
    <w:p w:rsidR="002908CA" w:rsidRDefault="0078009E">
      <w:pPr>
        <w:spacing w:after="140" w:line="280" w:lineRule="auto"/>
        <w:ind w:left="360" w:hanging="360"/>
      </w:pPr>
      <w:r>
        <w:rPr>
          <w:sz w:val="20"/>
          <w:szCs w:val="20"/>
        </w:rPr>
        <w:t>Goodman-Bacon, A. (2021). Difference-in-Differences with Variation in Treatment Timing. Journal of Econometrics, 225(2), 254–277.</w:t>
      </w:r>
    </w:p>
    <w:p w:rsidR="002908CA" w:rsidRDefault="0078009E">
      <w:pPr>
        <w:spacing w:after="140" w:line="280" w:lineRule="auto"/>
        <w:ind w:left="360" w:hanging="360"/>
      </w:pPr>
      <w:r>
        <w:rPr>
          <w:sz w:val="20"/>
          <w:szCs w:val="20"/>
        </w:rPr>
        <w:t>Welsh, B. C., y Farrington, D. P. (2008). Effects of Improved St</w:t>
      </w:r>
      <w:r>
        <w:rPr>
          <w:sz w:val="20"/>
          <w:szCs w:val="20"/>
        </w:rPr>
        <w:t>reet Lighting on Crime: A Systematic Review. Campbell Systematic Reviews, 4(1), 1–51.</w:t>
      </w:r>
    </w:p>
    <w:sectPr w:rsidR="002908CA">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009E" w:rsidRDefault="0078009E">
      <w:r>
        <w:separator/>
      </w:r>
    </w:p>
  </w:endnote>
  <w:endnote w:type="continuationSeparator" w:id="0">
    <w:p w:rsidR="0078009E" w:rsidRDefault="00780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86F75F9-E124-48A8-84C5-96A3C73324A5}"/>
    <w:embedBold r:id="rId2" w:fontKey="{BD1DA33D-5558-411B-8BF4-DD464FD40051}"/>
    <w:embedItalic r:id="rId3" w:fontKey="{70A31BEE-A669-4598-9043-2E71E0C2472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D0B412FB-EAE0-49E0-AD63-0B03AD42BAB5}"/>
  </w:font>
  <w:font w:name="Cambria">
    <w:panose1 w:val="02040503050406030204"/>
    <w:charset w:val="00"/>
    <w:family w:val="roman"/>
    <w:pitch w:val="variable"/>
    <w:sig w:usb0="E00006FF" w:usb1="420024FF" w:usb2="02000000" w:usb3="00000000" w:csb0="0000019F" w:csb1="00000000"/>
    <w:embedRegular r:id="rId5" w:fontKey="{5CDEA968-B334-4390-B2F4-4E2E5E8702B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08CA" w:rsidRDefault="0078009E">
    <w:pPr>
      <w:jc w:val="center"/>
    </w:pPr>
    <w:r>
      <w:rPr>
        <w:color w:val="5B6472"/>
        <w:sz w:val="16"/>
        <w:szCs w:val="16"/>
      </w:rPr>
      <w:t xml:space="preserve">Página </w:t>
    </w:r>
    <w:r>
      <w:rPr>
        <w:color w:val="5B6472"/>
        <w:sz w:val="16"/>
        <w:szCs w:val="16"/>
      </w:rPr>
      <w:fldChar w:fldCharType="begin"/>
    </w:r>
    <w:r>
      <w:rPr>
        <w:color w:val="5B6472"/>
        <w:sz w:val="16"/>
        <w:szCs w:val="16"/>
      </w:rPr>
      <w:instrText>PAGE</w:instrText>
    </w:r>
    <w:r w:rsidR="00C5021A">
      <w:rPr>
        <w:color w:val="5B6472"/>
        <w:sz w:val="16"/>
        <w:szCs w:val="16"/>
      </w:rPr>
      <w:fldChar w:fldCharType="separate"/>
    </w:r>
    <w:r w:rsidR="00C5021A">
      <w:rPr>
        <w:noProof/>
        <w:color w:val="5B6472"/>
        <w:sz w:val="16"/>
        <w:szCs w:val="16"/>
      </w:rPr>
      <w:t>3</w:t>
    </w:r>
    <w:r>
      <w:rPr>
        <w:color w:val="5B6472"/>
        <w:sz w:val="16"/>
        <w:szCs w:val="16"/>
      </w:rPr>
      <w:fldChar w:fldCharType="end"/>
    </w:r>
    <w:r>
      <w:rPr>
        <w:color w:val="5B6472"/>
        <w:sz w:val="16"/>
        <w:szCs w:val="16"/>
      </w:rPr>
      <w:t xml:space="preserve"> de </w:t>
    </w:r>
    <w:r>
      <w:rPr>
        <w:color w:val="5B6472"/>
        <w:sz w:val="16"/>
        <w:szCs w:val="16"/>
      </w:rPr>
      <w:fldChar w:fldCharType="begin"/>
    </w:r>
    <w:r>
      <w:rPr>
        <w:color w:val="5B6472"/>
        <w:sz w:val="16"/>
        <w:szCs w:val="16"/>
      </w:rPr>
      <w:instrText>NUMPAGES</w:instrText>
    </w:r>
    <w:r w:rsidR="00C5021A">
      <w:rPr>
        <w:color w:val="5B6472"/>
        <w:sz w:val="16"/>
        <w:szCs w:val="16"/>
      </w:rPr>
      <w:fldChar w:fldCharType="separate"/>
    </w:r>
    <w:r w:rsidR="00C5021A">
      <w:rPr>
        <w:noProof/>
        <w:color w:val="5B6472"/>
        <w:sz w:val="16"/>
        <w:szCs w:val="16"/>
      </w:rPr>
      <w:t>6</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009E" w:rsidRDefault="0078009E">
      <w:r>
        <w:separator/>
      </w:r>
    </w:p>
  </w:footnote>
  <w:footnote w:type="continuationSeparator" w:id="0">
    <w:p w:rsidR="0078009E" w:rsidRDefault="007800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08CA" w:rsidRDefault="0078009E">
    <w:pPr>
      <w:jc w:val="right"/>
    </w:pPr>
    <w:r>
      <w:rPr>
        <w:color w:val="5B6472"/>
        <w:sz w:val="15"/>
        <w:szCs w:val="15"/>
      </w:rPr>
      <w:t>Evaluación de impacto — Senderos Seguros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8CA"/>
    <w:rsid w:val="002908CA"/>
    <w:rsid w:val="0078009E"/>
    <w:rsid w:val="00C5021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CBB8"/>
  <w15:docId w15:val="{917E8EB2-B16B-4DB9-816F-EBFDB147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s-EC" w:eastAsia="es-EC"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single" w:sz="4" w:space="4" w:color="1D9EBE"/>
        <w:right w:val="nil"/>
        <w:between w:val="nil"/>
      </w:pBdr>
      <w:spacing w:before="320" w:after="140"/>
      <w:outlineLvl w:val="0"/>
    </w:pPr>
    <w:rPr>
      <w:b/>
      <w:bCs/>
      <w:color w:val="15206B"/>
      <w:sz w:val="26"/>
      <w:szCs w:val="26"/>
    </w:rPr>
  </w:style>
  <w:style w:type="paragraph" w:styleId="Ttulo2">
    <w:name w:val="heading 2"/>
    <w:basedOn w:val="Normal"/>
    <w:next w:val="Normal"/>
    <w:pPr>
      <w:pBdr>
        <w:top w:val="nil"/>
        <w:left w:val="nil"/>
        <w:bottom w:val="nil"/>
        <w:right w:val="nil"/>
        <w:between w:val="nil"/>
      </w:pBdr>
      <w:spacing w:before="200" w:after="100"/>
      <w:outlineLvl w:val="1"/>
    </w:pPr>
    <w:rPr>
      <w:b/>
      <w:bCs/>
      <w:color w:val="4E59AA"/>
      <w:sz w:val="22"/>
      <w:szCs w:val="22"/>
    </w:rPr>
  </w:style>
  <w:style w:type="paragraph" w:styleId="Ttulo3">
    <w:name w:val="heading 3"/>
    <w:basedOn w:val="Normal"/>
    <w:next w:val="Normal"/>
    <w:pPr>
      <w:pBdr>
        <w:top w:val="nil"/>
        <w:left w:val="nil"/>
        <w:bottom w:val="nil"/>
        <w:right w:val="nil"/>
        <w:between w:val="nil"/>
      </w:pBdr>
      <w:outlineLvl w:val="2"/>
    </w:pPr>
    <w:rPr>
      <w:color w:val="1F4D78"/>
      <w:sz w:val="24"/>
      <w:szCs w:val="24"/>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EUNsaAUQfbzXNvhk+eYJA3Lqw==">CgMxLjA4AHIhMVVLLTVPNUZWSjhoeTZtdHNjZEZuSGhHcl9JOHY5OUVn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2160</Words>
  <Characters>11884</Characters>
  <Application>Microsoft Office Word</Application>
  <DocSecurity>0</DocSecurity>
  <Lines>99</Lines>
  <Paragraphs>28</Paragraphs>
  <ScaleCrop>false</ScaleCrop>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Ocampo Barrionuevo Valeria Raquel</cp:lastModifiedBy>
  <cp:revision>2</cp:revision>
  <dcterms:created xsi:type="dcterms:W3CDTF">2026-07-14T16:34:00Z</dcterms:created>
  <dcterms:modified xsi:type="dcterms:W3CDTF">2026-07-14T16:35:00Z</dcterms:modified>
</cp:coreProperties>
</file>