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Cambios en la percepción de inseguridad en Quito, 2023–2025</w:t>
      </w:r>
    </w:p>
    <w:p>
      <w:pPr>
        <w:jc w:val="center"/>
      </w:pPr>
      <w:r>
        <w:rPr>
          <w:b/>
          <w:sz w:val="28"/>
        </w:rPr>
        <w:t>Análisis Difference-in-Differences por Administración Zonal frente al resto de la ciudad</w:t>
      </w:r>
    </w:p>
    <w:p>
      <w:pPr>
        <w:jc w:val="center"/>
      </w:pPr>
      <w:r>
        <w:rPr>
          <w:sz w:val="22"/>
        </w:rPr>
        <w:t>Informe técnico reproducible · Ponderación: peso_az_estrato</w:t>
      </w:r>
    </w:p>
    <w:p/>
    <w:p>
      <w:pPr>
        <w:jc w:val="center"/>
      </w:pPr>
      <w:r>
        <w:rPr>
          <w:sz w:val="21"/>
        </w:rPr>
        <w:t>Base analizada: EVPI_2024_2026_VF_1.xlsx</w:t>
        <w:br/>
        <w:t>Septiembre de 2026</w:t>
      </w:r>
    </w:p>
    <w:p>
      <w:r>
        <w:br w:type="page"/>
      </w:r>
    </w:p>
    <w:p>
      <w:pPr>
        <w:pStyle w:val="Heading1"/>
      </w:pPr>
      <w:r>
        <w:t>Resumen ejecutivo</w:t>
      </w:r>
    </w:p>
    <w:p>
      <w:r>
        <w:t>La base contiene 9,121 encuestas: 4,545 en 2023 y 4,576 en 2025. El factor peso_az_estrato expande las muestras a aproximadamente 1.98 millones y 1.96 millones de personas, respectivamente.</w:t>
      </w:r>
    </w:p>
    <w:p>
      <w:r>
        <w:t>El índice general de inseguridad (13 indicadores; mínimo 8 respuestas válidas) disminuye de 66.9% en 2023 a 61.7% en 2025, una mejora agregada de -5.1 puntos porcentuales. Sin embargo, el índice barrial permanece prácticamente estable (62.8% a 62.6%), mientras el índice de espacios públicos y transporte cae de 68.9% a 60.9%.</w:t>
      </w:r>
    </w:p>
    <w:p>
      <w:r>
        <w:t>Territorialmente, el índice general muestra una mejora relativa estadísticamente clara en La Mariscal y deterioros relativos fuertes en Tumbaco y Los Chillos. Los Chillos es el patrón más consistente de deterioro barrial; Tumbaco presenta un rezago amplio frente a la mejora del resto de la ciudad; La Mariscal presenta el patrón inverso, con mejora relativa en 12 de 13 indicadores.</w:t>
      </w:r>
    </w:p>
    <w:p>
      <w:r>
        <w:t>El diseño tiene solo dos períodos. Por ello, las tendencias paralelas previas no pueden probarse y los coeficientes deben interpretarse primordialmente como diferencias de cambio relativo, no como efectos causales de una intervención específica.</w:t>
      </w:r>
    </w:p>
    <w:p>
      <w:pPr>
        <w:pStyle w:val="Heading1"/>
      </w:pPr>
      <w:r>
        <w:t>1. Datos, ponderación y diseño</w:t>
      </w:r>
    </w:p>
    <w:p>
      <w:r>
        <w:t>La unidad de análisis es la persona entrevistada en dos cortes transversales independientes (2023 y 2025). Las estimaciones utilizan el factor de expansión individual peso_az_estrato. Para cada Administración Zonal se define una comparación binaria: la zona de interés frente a todas las demás zonas de Quito.</w:t>
      </w:r>
    </w:p>
    <w:p>
      <w:r>
        <w:rPr>
          <w:b/>
        </w:rPr>
        <w:t xml:space="preserve">Especificación: </w:t>
      </w:r>
      <w:r>
        <w:t xml:space="preserve">Y = α + β₁·Zona + β₂·Post2025 + β₃·(Zona×Post2025) + ε. </w:t>
      </w:r>
      <w:r>
        <w:rPr>
          <w:b/>
        </w:rPr>
        <w:t>El parámetro β₃ es el DiD.</w:t>
      </w:r>
    </w:p>
    <w:p>
      <w:r>
        <w:t>Cuando el resultado está codificado como 1 = inseguridad, un DiD negativo indica mejora relativa frente al resto de Quito; un DiD positivo indica deterioro relativo. Los modelos se estiman como modelos lineales ponderados (WLS) con errores robustos HC1. Para las familias de 10 contrastes zonales se aplica corrección de Benjamini–Hochberg (FDR).</w:t>
      </w:r>
    </w:p>
    <w:p>
      <w:pPr>
        <w:pStyle w:val="Heading1"/>
      </w:pPr>
      <w:r>
        <w:t>2. Variables e índices</w:t>
      </w:r>
    </w:p>
    <w:p>
      <w:pPr>
        <w:pStyle w:val="Heading2"/>
        <w:spacing w:after="100"/>
      </w:pPr>
      <w:r>
        <w:t>2.1. Qué mide el índice</w:t>
      </w:r>
    </w:p>
    <w:p>
      <w:pPr>
        <w:spacing w:after="100"/>
      </w:pPr>
      <w:r>
        <w:t>El índice general resume, para cada persona entrevistada, su percepción de inseguridad en 13 ámbitos comparables entre 2023 y 2025. No es una escala latente estimada mediante análisis factorial ni asigna mayor importancia a unas preguntas que a otras: es un promedio aditivo de indicadores binarios con igual peso. Su objetivo es disponer de una medida sintética y transparente de cuántos de los ámbitos evaluados son percibidos como inseguros por cada encuestado.</w:t>
      </w:r>
    </w:p>
    <w:p>
      <w:r>
        <w:br w:type="page"/>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440"/>
            <w:vAlign w:val="center"/>
            <w:tcMar>
              <w:top w:w="80" w:type="dxa"/>
              <w:start w:w="80" w:type="dxa"/>
              <w:bottom w:w="80" w:type="dxa"/>
              <w:end w:w="80" w:type="dxa"/>
            </w:tcMar>
            <w:shd w:fill="D9EAF7"/>
          </w:tcPr>
          <w:p>
            <w:pPr>
              <w:spacing w:after="0" w:before="0"/>
            </w:pPr>
            <w:r>
              <w:rPr>
                <w:b/>
                <w:sz w:val="16"/>
              </w:rPr>
              <w:t>Código</w:t>
            </w:r>
          </w:p>
        </w:tc>
        <w:tc>
          <w:tcPr>
            <w:tcW w:type="dxa" w:w="8496"/>
            <w:vAlign w:val="center"/>
            <w:tcMar>
              <w:top w:w="80" w:type="dxa"/>
              <w:start w:w="80" w:type="dxa"/>
              <w:bottom w:w="80" w:type="dxa"/>
              <w:end w:w="80" w:type="dxa"/>
            </w:tcMar>
            <w:shd w:fill="D9EAF7"/>
          </w:tcPr>
          <w:p>
            <w:pPr>
              <w:spacing w:after="0" w:before="0"/>
            </w:pPr>
            <w:r>
              <w:rPr>
                <w:b/>
                <w:sz w:val="16"/>
              </w:rPr>
              <w:t>Ámbito evaluado</w:t>
            </w:r>
          </w:p>
        </w:tc>
      </w:tr>
      <w:tr>
        <w:trPr>
          <w:cantSplit/>
        </w:trPr>
        <w:tc>
          <w:tcPr>
            <w:tcW w:type="dxa" w:w="1440"/>
            <w:vAlign w:val="center"/>
            <w:tcMar>
              <w:top w:w="80" w:type="dxa"/>
              <w:start w:w="80" w:type="dxa"/>
              <w:bottom w:w="80" w:type="dxa"/>
              <w:end w:w="80" w:type="dxa"/>
            </w:tcMar>
          </w:tcPr>
          <w:p>
            <w:pPr>
              <w:spacing w:after="0" w:before="0"/>
            </w:pPr>
            <w:r>
              <w:rPr>
                <w:sz w:val="16"/>
              </w:rPr>
              <w:t>PSC_1</w:t>
            </w:r>
          </w:p>
        </w:tc>
        <w:tc>
          <w:tcPr>
            <w:tcW w:type="dxa" w:w="8496"/>
            <w:vAlign w:val="center"/>
            <w:tcMar>
              <w:top w:w="80" w:type="dxa"/>
              <w:start w:w="80" w:type="dxa"/>
              <w:bottom w:w="80" w:type="dxa"/>
              <w:end w:w="80" w:type="dxa"/>
            </w:tcMar>
          </w:tcPr>
          <w:p>
            <w:pPr>
              <w:spacing w:after="0" w:before="0"/>
            </w:pPr>
            <w:r>
              <w:rPr>
                <w:sz w:val="16"/>
              </w:rPr>
              <w:t>Alrededor de la casa: cuadra o manzana</w:t>
            </w:r>
          </w:p>
        </w:tc>
      </w:tr>
      <w:tr>
        <w:trPr>
          <w:cantSplit/>
        </w:trPr>
        <w:tc>
          <w:tcPr>
            <w:tcW w:type="dxa" w:w="1440"/>
            <w:vAlign w:val="center"/>
            <w:tcMar>
              <w:top w:w="80" w:type="dxa"/>
              <w:start w:w="80" w:type="dxa"/>
              <w:bottom w:w="80" w:type="dxa"/>
              <w:end w:w="80" w:type="dxa"/>
            </w:tcMar>
          </w:tcPr>
          <w:p>
            <w:pPr>
              <w:spacing w:after="0" w:before="0"/>
            </w:pPr>
            <w:r>
              <w:rPr>
                <w:sz w:val="16"/>
              </w:rPr>
              <w:t>PSC_2</w:t>
            </w:r>
          </w:p>
        </w:tc>
        <w:tc>
          <w:tcPr>
            <w:tcW w:type="dxa" w:w="8496"/>
            <w:vAlign w:val="center"/>
            <w:tcMar>
              <w:top w:w="80" w:type="dxa"/>
              <w:start w:w="80" w:type="dxa"/>
              <w:bottom w:w="80" w:type="dxa"/>
              <w:end w:w="80" w:type="dxa"/>
            </w:tcMar>
          </w:tcPr>
          <w:p>
            <w:pPr>
              <w:spacing w:after="0" w:before="0"/>
            </w:pPr>
            <w:r>
              <w:rPr>
                <w:sz w:val="16"/>
              </w:rPr>
              <w:t>Barrio</w:t>
            </w:r>
          </w:p>
        </w:tc>
      </w:tr>
      <w:tr>
        <w:trPr>
          <w:cantSplit/>
        </w:trPr>
        <w:tc>
          <w:tcPr>
            <w:tcW w:type="dxa" w:w="1440"/>
            <w:vAlign w:val="center"/>
            <w:tcMar>
              <w:top w:w="80" w:type="dxa"/>
              <w:start w:w="80" w:type="dxa"/>
              <w:bottom w:w="80" w:type="dxa"/>
              <w:end w:w="80" w:type="dxa"/>
            </w:tcMar>
          </w:tcPr>
          <w:p>
            <w:pPr>
              <w:spacing w:after="0" w:before="0"/>
            </w:pPr>
            <w:r>
              <w:rPr>
                <w:sz w:val="16"/>
              </w:rPr>
              <w:t>PSC_4</w:t>
            </w:r>
          </w:p>
        </w:tc>
        <w:tc>
          <w:tcPr>
            <w:tcW w:type="dxa" w:w="8496"/>
            <w:vAlign w:val="center"/>
            <w:tcMar>
              <w:top w:w="80" w:type="dxa"/>
              <w:start w:w="80" w:type="dxa"/>
              <w:bottom w:w="80" w:type="dxa"/>
              <w:end w:w="80" w:type="dxa"/>
            </w:tcMar>
          </w:tcPr>
          <w:p>
            <w:pPr>
              <w:spacing w:after="0" w:before="0"/>
            </w:pPr>
            <w:r>
              <w:rPr>
                <w:sz w:val="16"/>
              </w:rPr>
              <w:t>Cercanías de centros educativos</w:t>
            </w:r>
          </w:p>
        </w:tc>
      </w:tr>
      <w:tr>
        <w:trPr>
          <w:cantSplit/>
        </w:trPr>
        <w:tc>
          <w:tcPr>
            <w:tcW w:type="dxa" w:w="1440"/>
            <w:vAlign w:val="center"/>
            <w:tcMar>
              <w:top w:w="80" w:type="dxa"/>
              <w:start w:w="80" w:type="dxa"/>
              <w:bottom w:w="80" w:type="dxa"/>
              <w:end w:w="80" w:type="dxa"/>
            </w:tcMar>
          </w:tcPr>
          <w:p>
            <w:pPr>
              <w:spacing w:after="0" w:before="0"/>
            </w:pPr>
            <w:r>
              <w:rPr>
                <w:sz w:val="16"/>
              </w:rPr>
              <w:t>PSC_5</w:t>
            </w:r>
          </w:p>
        </w:tc>
        <w:tc>
          <w:tcPr>
            <w:tcW w:type="dxa" w:w="8496"/>
            <w:vAlign w:val="center"/>
            <w:tcMar>
              <w:top w:w="80" w:type="dxa"/>
              <w:start w:w="80" w:type="dxa"/>
              <w:bottom w:w="80" w:type="dxa"/>
              <w:end w:w="80" w:type="dxa"/>
            </w:tcMar>
          </w:tcPr>
          <w:p>
            <w:pPr>
              <w:spacing w:after="0" w:before="0"/>
            </w:pPr>
            <w:r>
              <w:rPr>
                <w:sz w:val="16"/>
              </w:rPr>
              <w:t>Mercados y/o ferias</w:t>
            </w:r>
          </w:p>
        </w:tc>
      </w:tr>
      <w:tr>
        <w:trPr>
          <w:cantSplit/>
        </w:trPr>
        <w:tc>
          <w:tcPr>
            <w:tcW w:type="dxa" w:w="1440"/>
            <w:vAlign w:val="center"/>
            <w:tcMar>
              <w:top w:w="80" w:type="dxa"/>
              <w:start w:w="80" w:type="dxa"/>
              <w:bottom w:w="80" w:type="dxa"/>
              <w:end w:w="80" w:type="dxa"/>
            </w:tcMar>
          </w:tcPr>
          <w:p>
            <w:pPr>
              <w:spacing w:after="0" w:before="0"/>
            </w:pPr>
            <w:r>
              <w:rPr>
                <w:sz w:val="16"/>
              </w:rPr>
              <w:t>PSC_6</w:t>
            </w:r>
          </w:p>
        </w:tc>
        <w:tc>
          <w:tcPr>
            <w:tcW w:type="dxa" w:w="8496"/>
            <w:vAlign w:val="center"/>
            <w:tcMar>
              <w:top w:w="80" w:type="dxa"/>
              <w:start w:w="80" w:type="dxa"/>
              <w:bottom w:w="80" w:type="dxa"/>
              <w:end w:w="80" w:type="dxa"/>
            </w:tcMar>
          </w:tcPr>
          <w:p>
            <w:pPr>
              <w:spacing w:after="0" w:before="0"/>
            </w:pPr>
            <w:r>
              <w:rPr>
                <w:sz w:val="16"/>
              </w:rPr>
              <w:t>Cajeros automáticos en la vía pública</w:t>
            </w:r>
          </w:p>
        </w:tc>
      </w:tr>
      <w:tr>
        <w:trPr>
          <w:cantSplit/>
        </w:trPr>
        <w:tc>
          <w:tcPr>
            <w:tcW w:type="dxa" w:w="1440"/>
            <w:vAlign w:val="center"/>
            <w:tcMar>
              <w:top w:w="80" w:type="dxa"/>
              <w:start w:w="80" w:type="dxa"/>
              <w:bottom w:w="80" w:type="dxa"/>
              <w:end w:w="80" w:type="dxa"/>
            </w:tcMar>
          </w:tcPr>
          <w:p>
            <w:pPr>
              <w:spacing w:after="0" w:before="0"/>
            </w:pPr>
            <w:r>
              <w:rPr>
                <w:sz w:val="16"/>
              </w:rPr>
              <w:t>PSC_7</w:t>
            </w:r>
          </w:p>
        </w:tc>
        <w:tc>
          <w:tcPr>
            <w:tcW w:type="dxa" w:w="8496"/>
            <w:vAlign w:val="center"/>
            <w:tcMar>
              <w:top w:w="80" w:type="dxa"/>
              <w:start w:w="80" w:type="dxa"/>
              <w:bottom w:w="80" w:type="dxa"/>
              <w:end w:w="80" w:type="dxa"/>
            </w:tcMar>
          </w:tcPr>
          <w:p>
            <w:pPr>
              <w:spacing w:after="0" w:before="0"/>
            </w:pPr>
            <w:r>
              <w:rPr>
                <w:sz w:val="16"/>
              </w:rPr>
              <w:t>Espacios públicos: avenidas, calles, plazas y parques</w:t>
            </w:r>
          </w:p>
        </w:tc>
      </w:tr>
      <w:tr>
        <w:trPr>
          <w:cantSplit/>
        </w:trPr>
        <w:tc>
          <w:tcPr>
            <w:tcW w:type="dxa" w:w="1440"/>
            <w:vAlign w:val="center"/>
            <w:tcMar>
              <w:top w:w="80" w:type="dxa"/>
              <w:start w:w="80" w:type="dxa"/>
              <w:bottom w:w="80" w:type="dxa"/>
              <w:end w:w="80" w:type="dxa"/>
            </w:tcMar>
          </w:tcPr>
          <w:p>
            <w:pPr>
              <w:spacing w:after="0" w:before="0"/>
            </w:pPr>
            <w:r>
              <w:rPr>
                <w:sz w:val="16"/>
              </w:rPr>
              <w:t>PSC_8</w:t>
            </w:r>
          </w:p>
        </w:tc>
        <w:tc>
          <w:tcPr>
            <w:tcW w:type="dxa" w:w="8496"/>
            <w:vAlign w:val="center"/>
            <w:tcMar>
              <w:top w:w="80" w:type="dxa"/>
              <w:start w:w="80" w:type="dxa"/>
              <w:bottom w:w="80" w:type="dxa"/>
              <w:end w:w="80" w:type="dxa"/>
            </w:tcMar>
          </w:tcPr>
          <w:p>
            <w:pPr>
              <w:spacing w:after="0" w:before="0"/>
            </w:pPr>
            <w:r>
              <w:rPr>
                <w:sz w:val="16"/>
              </w:rPr>
              <w:t>Metro de Quito</w:t>
            </w:r>
          </w:p>
        </w:tc>
      </w:tr>
      <w:tr>
        <w:trPr>
          <w:cantSplit/>
        </w:trPr>
        <w:tc>
          <w:tcPr>
            <w:tcW w:type="dxa" w:w="1440"/>
            <w:vAlign w:val="center"/>
            <w:tcMar>
              <w:top w:w="80" w:type="dxa"/>
              <w:start w:w="80" w:type="dxa"/>
              <w:bottom w:w="80" w:type="dxa"/>
              <w:end w:w="80" w:type="dxa"/>
            </w:tcMar>
          </w:tcPr>
          <w:p>
            <w:pPr>
              <w:spacing w:after="0" w:before="0"/>
            </w:pPr>
            <w:r>
              <w:rPr>
                <w:sz w:val="16"/>
              </w:rPr>
              <w:t>PSC_9</w:t>
            </w:r>
          </w:p>
        </w:tc>
        <w:tc>
          <w:tcPr>
            <w:tcW w:type="dxa" w:w="8496"/>
            <w:vAlign w:val="center"/>
            <w:tcMar>
              <w:top w:w="80" w:type="dxa"/>
              <w:start w:w="80" w:type="dxa"/>
              <w:bottom w:w="80" w:type="dxa"/>
              <w:end w:w="80" w:type="dxa"/>
            </w:tcMar>
          </w:tcPr>
          <w:p>
            <w:pPr>
              <w:spacing w:after="0" w:before="0"/>
            </w:pPr>
            <w:r>
              <w:rPr>
                <w:sz w:val="16"/>
              </w:rPr>
              <w:t>Trolebús, Ecovía y corredores metropolitanos</w:t>
            </w:r>
          </w:p>
        </w:tc>
      </w:tr>
      <w:tr>
        <w:trPr>
          <w:cantSplit/>
        </w:trPr>
        <w:tc>
          <w:tcPr>
            <w:tcW w:type="dxa" w:w="1440"/>
            <w:vAlign w:val="center"/>
            <w:tcMar>
              <w:top w:w="80" w:type="dxa"/>
              <w:start w:w="80" w:type="dxa"/>
              <w:bottom w:w="80" w:type="dxa"/>
              <w:end w:w="80" w:type="dxa"/>
            </w:tcMar>
          </w:tcPr>
          <w:p>
            <w:pPr>
              <w:spacing w:after="0" w:before="0"/>
            </w:pPr>
            <w:r>
              <w:rPr>
                <w:sz w:val="16"/>
              </w:rPr>
              <w:t>PSC_11</w:t>
            </w:r>
          </w:p>
        </w:tc>
        <w:tc>
          <w:tcPr>
            <w:tcW w:type="dxa" w:w="8496"/>
            <w:vAlign w:val="center"/>
            <w:tcMar>
              <w:top w:w="80" w:type="dxa"/>
              <w:start w:w="80" w:type="dxa"/>
              <w:bottom w:w="80" w:type="dxa"/>
              <w:end w:w="80" w:type="dxa"/>
            </w:tcMar>
          </w:tcPr>
          <w:p>
            <w:pPr>
              <w:spacing w:after="0" w:before="0"/>
            </w:pPr>
            <w:r>
              <w:rPr>
                <w:sz w:val="16"/>
              </w:rPr>
              <w:t>Taxis amarillos</w:t>
            </w:r>
          </w:p>
        </w:tc>
      </w:tr>
      <w:tr>
        <w:trPr>
          <w:cantSplit/>
        </w:trPr>
        <w:tc>
          <w:tcPr>
            <w:tcW w:type="dxa" w:w="1440"/>
            <w:vAlign w:val="center"/>
            <w:tcMar>
              <w:top w:w="80" w:type="dxa"/>
              <w:start w:w="80" w:type="dxa"/>
              <w:bottom w:w="80" w:type="dxa"/>
              <w:end w:w="80" w:type="dxa"/>
            </w:tcMar>
          </w:tcPr>
          <w:p>
            <w:pPr>
              <w:spacing w:after="0" w:before="0"/>
            </w:pPr>
            <w:r>
              <w:rPr>
                <w:sz w:val="16"/>
              </w:rPr>
              <w:t>PSC_12</w:t>
            </w:r>
          </w:p>
        </w:tc>
        <w:tc>
          <w:tcPr>
            <w:tcW w:type="dxa" w:w="8496"/>
            <w:vAlign w:val="center"/>
            <w:tcMar>
              <w:top w:w="80" w:type="dxa"/>
              <w:start w:w="80" w:type="dxa"/>
              <w:bottom w:w="80" w:type="dxa"/>
              <w:end w:w="80" w:type="dxa"/>
            </w:tcMar>
          </w:tcPr>
          <w:p>
            <w:pPr>
              <w:spacing w:after="0" w:before="0"/>
            </w:pPr>
            <w:r>
              <w:rPr>
                <w:sz w:val="16"/>
              </w:rPr>
              <w:t>Transporte por aplicaciones</w:t>
            </w:r>
          </w:p>
        </w:tc>
      </w:tr>
      <w:tr>
        <w:trPr>
          <w:cantSplit/>
        </w:trPr>
        <w:tc>
          <w:tcPr>
            <w:tcW w:type="dxa" w:w="1440"/>
            <w:vAlign w:val="center"/>
            <w:tcMar>
              <w:top w:w="80" w:type="dxa"/>
              <w:start w:w="80" w:type="dxa"/>
              <w:bottom w:w="80" w:type="dxa"/>
              <w:end w:w="80" w:type="dxa"/>
            </w:tcMar>
          </w:tcPr>
          <w:p>
            <w:pPr>
              <w:spacing w:after="0" w:before="0"/>
            </w:pPr>
            <w:r>
              <w:rPr>
                <w:sz w:val="16"/>
              </w:rPr>
              <w:t>PSC_13</w:t>
            </w:r>
          </w:p>
        </w:tc>
        <w:tc>
          <w:tcPr>
            <w:tcW w:type="dxa" w:w="8496"/>
            <w:vAlign w:val="center"/>
            <w:tcMar>
              <w:top w:w="80" w:type="dxa"/>
              <w:start w:w="80" w:type="dxa"/>
              <w:bottom w:w="80" w:type="dxa"/>
              <w:end w:w="80" w:type="dxa"/>
            </w:tcMar>
          </w:tcPr>
          <w:p>
            <w:pPr>
              <w:spacing w:after="0" w:before="0"/>
            </w:pPr>
            <w:r>
              <w:rPr>
                <w:sz w:val="16"/>
              </w:rPr>
              <w:t>Espectáculos públicos</w:t>
            </w:r>
          </w:p>
        </w:tc>
      </w:tr>
      <w:tr>
        <w:trPr>
          <w:cantSplit/>
        </w:trPr>
        <w:tc>
          <w:tcPr>
            <w:tcW w:type="dxa" w:w="1440"/>
            <w:vAlign w:val="center"/>
            <w:tcMar>
              <w:top w:w="80" w:type="dxa"/>
              <w:start w:w="80" w:type="dxa"/>
              <w:bottom w:w="80" w:type="dxa"/>
              <w:end w:w="80" w:type="dxa"/>
            </w:tcMar>
          </w:tcPr>
          <w:p>
            <w:pPr>
              <w:spacing w:after="0" w:before="0"/>
            </w:pPr>
            <w:r>
              <w:rPr>
                <w:sz w:val="16"/>
              </w:rPr>
              <w:t>PSC_14</w:t>
            </w:r>
          </w:p>
        </w:tc>
        <w:tc>
          <w:tcPr>
            <w:tcW w:type="dxa" w:w="8496"/>
            <w:vAlign w:val="center"/>
            <w:tcMar>
              <w:top w:w="80" w:type="dxa"/>
              <w:start w:w="80" w:type="dxa"/>
              <w:bottom w:w="80" w:type="dxa"/>
              <w:end w:w="80" w:type="dxa"/>
            </w:tcMar>
          </w:tcPr>
          <w:p>
            <w:pPr>
              <w:spacing w:after="0" w:before="0"/>
            </w:pPr>
            <w:r>
              <w:rPr>
                <w:sz w:val="16"/>
              </w:rPr>
              <w:t>Caminar solo/a por el barrio de día</w:t>
            </w:r>
          </w:p>
        </w:tc>
      </w:tr>
      <w:tr>
        <w:trPr>
          <w:cantSplit/>
        </w:trPr>
        <w:tc>
          <w:tcPr>
            <w:tcW w:type="dxa" w:w="1440"/>
            <w:vAlign w:val="center"/>
            <w:tcMar>
              <w:top w:w="80" w:type="dxa"/>
              <w:start w:w="80" w:type="dxa"/>
              <w:bottom w:w="80" w:type="dxa"/>
              <w:end w:w="80" w:type="dxa"/>
            </w:tcMar>
          </w:tcPr>
          <w:p>
            <w:pPr>
              <w:spacing w:after="0" w:before="0"/>
            </w:pPr>
            <w:r>
              <w:rPr>
                <w:sz w:val="16"/>
              </w:rPr>
              <w:t>PSC_15</w:t>
            </w:r>
          </w:p>
        </w:tc>
        <w:tc>
          <w:tcPr>
            <w:tcW w:type="dxa" w:w="8496"/>
            <w:vAlign w:val="center"/>
            <w:tcMar>
              <w:top w:w="80" w:type="dxa"/>
              <w:start w:w="80" w:type="dxa"/>
              <w:bottom w:w="80" w:type="dxa"/>
              <w:end w:w="80" w:type="dxa"/>
            </w:tcMar>
          </w:tcPr>
          <w:p>
            <w:pPr>
              <w:spacing w:after="0" w:before="0"/>
            </w:pPr>
            <w:r>
              <w:rPr>
                <w:sz w:val="16"/>
              </w:rPr>
              <w:t>Caminar solo/a por el barrio de noche</w:t>
            </w:r>
          </w:p>
        </w:tc>
      </w:tr>
    </w:tbl>
    <w:p>
      <w:pPr>
        <w:pStyle w:val="Heading2"/>
        <w:spacing w:after="100"/>
      </w:pPr>
      <w:r>
        <w:t>2.2. Paso 1: recodificación de cada pregunta</w:t>
      </w:r>
    </w:p>
    <w:p>
      <w:pPr>
        <w:spacing w:after="100"/>
      </w:pPr>
      <w:r>
        <w:t>Cada una de las 13 respuestas se transforma primero en un indicador dicotómico. “Muy inseguro + inseguro” recibe el valor 1 y “Muy seguro + seguro” recibe el valor 0. La categoría “No aplica” y las no respuestas se tratan como valores faltantes: no se codifican ni como seguridad ni como inseguridad y, por tanto, no entran en el denominador individual.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12"/>
            <w:vAlign w:val="center"/>
            <w:tcMar>
              <w:top w:w="80" w:type="dxa"/>
              <w:start w:w="80" w:type="dxa"/>
              <w:bottom w:w="80" w:type="dxa"/>
              <w:end w:w="80" w:type="dxa"/>
            </w:tcMar>
            <w:shd w:fill="D9EAF7"/>
          </w:tcPr>
          <w:p>
            <w:pPr>
              <w:spacing w:after="0" w:before="0"/>
            </w:pPr>
            <w:r>
              <w:rPr>
                <w:b/>
                <w:sz w:val="16"/>
              </w:rPr>
              <w:t>Respuesta original</w:t>
            </w:r>
          </w:p>
        </w:tc>
        <w:tc>
          <w:tcPr>
            <w:tcW w:type="dxa" w:w="2160"/>
            <w:vAlign w:val="center"/>
            <w:tcMar>
              <w:top w:w="80" w:type="dxa"/>
              <w:start w:w="80" w:type="dxa"/>
              <w:bottom w:w="80" w:type="dxa"/>
              <w:end w:w="80" w:type="dxa"/>
            </w:tcMar>
            <w:shd w:fill="D9EAF7"/>
          </w:tcPr>
          <w:p>
            <w:pPr>
              <w:spacing w:after="0" w:before="0"/>
            </w:pPr>
            <w:r>
              <w:rPr>
                <w:b/>
                <w:sz w:val="16"/>
              </w:rPr>
              <w:t>Valor en el índice</w:t>
            </w:r>
          </w:p>
        </w:tc>
        <w:tc>
          <w:tcPr>
            <w:tcW w:type="dxa" w:w="4464"/>
            <w:vAlign w:val="center"/>
            <w:tcMar>
              <w:top w:w="80" w:type="dxa"/>
              <w:start w:w="80" w:type="dxa"/>
              <w:bottom w:w="80" w:type="dxa"/>
              <w:end w:w="80" w:type="dxa"/>
            </w:tcMar>
            <w:shd w:fill="D9EAF7"/>
          </w:tcPr>
          <w:p>
            <w:pPr>
              <w:spacing w:after="0" w:before="0"/>
            </w:pPr>
            <w:r>
              <w:rPr>
                <w:b/>
                <w:sz w:val="16"/>
              </w:rPr>
              <w:t>Interpretación</w:t>
            </w:r>
          </w:p>
        </w:tc>
      </w:tr>
      <w:tr>
        <w:trPr>
          <w:cantSplit/>
        </w:trPr>
        <w:tc>
          <w:tcPr>
            <w:tcW w:type="dxa" w:w="3312"/>
            <w:vAlign w:val="center"/>
            <w:tcMar>
              <w:top w:w="80" w:type="dxa"/>
              <w:start w:w="80" w:type="dxa"/>
              <w:bottom w:w="80" w:type="dxa"/>
              <w:end w:w="80" w:type="dxa"/>
            </w:tcMar>
          </w:tcPr>
          <w:p>
            <w:pPr>
              <w:spacing w:after="0" w:before="0"/>
            </w:pPr>
            <w:r>
              <w:rPr>
                <w:sz w:val="16"/>
              </w:rPr>
              <w:t>Muy inseguro + inseguro</w:t>
            </w:r>
          </w:p>
        </w:tc>
        <w:tc>
          <w:tcPr>
            <w:tcW w:type="dxa" w:w="2160"/>
            <w:vAlign w:val="center"/>
            <w:tcMar>
              <w:top w:w="80" w:type="dxa"/>
              <w:start w:w="80" w:type="dxa"/>
              <w:bottom w:w="80" w:type="dxa"/>
              <w:end w:w="80" w:type="dxa"/>
            </w:tcMar>
          </w:tcPr>
          <w:p>
            <w:pPr>
              <w:spacing w:after="0" w:before="0"/>
            </w:pPr>
            <w:r>
              <w:rPr>
                <w:sz w:val="16"/>
              </w:rPr>
              <w:t>1</w:t>
            </w:r>
          </w:p>
        </w:tc>
        <w:tc>
          <w:tcPr>
            <w:tcW w:type="dxa" w:w="4464"/>
            <w:vAlign w:val="center"/>
            <w:tcMar>
              <w:top w:w="80" w:type="dxa"/>
              <w:start w:w="80" w:type="dxa"/>
              <w:bottom w:w="80" w:type="dxa"/>
              <w:end w:w="80" w:type="dxa"/>
            </w:tcMar>
          </w:tcPr>
          <w:p>
            <w:pPr>
              <w:spacing w:after="0" w:before="0"/>
            </w:pPr>
            <w:r>
              <w:rPr>
                <w:sz w:val="16"/>
              </w:rPr>
              <w:t>El ámbito aporta una unidad de inseguridad</w:t>
            </w:r>
          </w:p>
        </w:tc>
      </w:tr>
      <w:tr>
        <w:trPr>
          <w:cantSplit/>
        </w:trPr>
        <w:tc>
          <w:tcPr>
            <w:tcW w:type="dxa" w:w="3312"/>
            <w:vAlign w:val="center"/>
            <w:tcMar>
              <w:top w:w="80" w:type="dxa"/>
              <w:start w:w="80" w:type="dxa"/>
              <w:bottom w:w="80" w:type="dxa"/>
              <w:end w:w="80" w:type="dxa"/>
            </w:tcMar>
          </w:tcPr>
          <w:p>
            <w:pPr>
              <w:spacing w:after="0" w:before="0"/>
            </w:pPr>
            <w:r>
              <w:rPr>
                <w:sz w:val="16"/>
              </w:rPr>
              <w:t>Muy seguro + seguro</w:t>
            </w:r>
          </w:p>
        </w:tc>
        <w:tc>
          <w:tcPr>
            <w:tcW w:type="dxa" w:w="2160"/>
            <w:vAlign w:val="center"/>
            <w:tcMar>
              <w:top w:w="80" w:type="dxa"/>
              <w:start w:w="80" w:type="dxa"/>
              <w:bottom w:w="80" w:type="dxa"/>
              <w:end w:w="80" w:type="dxa"/>
            </w:tcMar>
          </w:tcPr>
          <w:p>
            <w:pPr>
              <w:spacing w:after="0" w:before="0"/>
            </w:pPr>
            <w:r>
              <w:rPr>
                <w:sz w:val="16"/>
              </w:rPr>
              <w:t>0</w:t>
            </w:r>
          </w:p>
        </w:tc>
        <w:tc>
          <w:tcPr>
            <w:tcW w:type="dxa" w:w="4464"/>
            <w:vAlign w:val="center"/>
            <w:tcMar>
              <w:top w:w="80" w:type="dxa"/>
              <w:start w:w="80" w:type="dxa"/>
              <w:bottom w:w="80" w:type="dxa"/>
              <w:end w:w="80" w:type="dxa"/>
            </w:tcMar>
          </w:tcPr>
          <w:p>
            <w:pPr>
              <w:spacing w:after="0" w:before="0"/>
            </w:pPr>
            <w:r>
              <w:rPr>
                <w:sz w:val="16"/>
              </w:rPr>
              <w:t>El ámbito no aporta una unidad de inseguridad</w:t>
            </w:r>
          </w:p>
        </w:tc>
      </w:tr>
      <w:tr>
        <w:trPr>
          <w:cantSplit/>
        </w:trPr>
        <w:tc>
          <w:tcPr>
            <w:tcW w:type="dxa" w:w="3312"/>
            <w:vAlign w:val="center"/>
            <w:tcMar>
              <w:top w:w="80" w:type="dxa"/>
              <w:start w:w="80" w:type="dxa"/>
              <w:bottom w:w="80" w:type="dxa"/>
              <w:end w:w="80" w:type="dxa"/>
            </w:tcMar>
          </w:tcPr>
          <w:p>
            <w:pPr>
              <w:spacing w:after="0" w:before="0"/>
            </w:pPr>
            <w:r>
              <w:rPr>
                <w:sz w:val="16"/>
              </w:rPr>
              <w:t>No aplica / sin respuesta</w:t>
            </w:r>
          </w:p>
        </w:tc>
        <w:tc>
          <w:tcPr>
            <w:tcW w:type="dxa" w:w="2160"/>
            <w:vAlign w:val="center"/>
            <w:tcMar>
              <w:top w:w="80" w:type="dxa"/>
              <w:start w:w="80" w:type="dxa"/>
              <w:bottom w:w="80" w:type="dxa"/>
              <w:end w:w="80" w:type="dxa"/>
            </w:tcMar>
          </w:tcPr>
          <w:p>
            <w:pPr>
              <w:spacing w:after="0" w:before="0"/>
            </w:pPr>
            <w:r>
              <w:rPr>
                <w:sz w:val="16"/>
              </w:rPr>
              <w:t>Faltante</w:t>
            </w:r>
          </w:p>
        </w:tc>
        <w:tc>
          <w:tcPr>
            <w:tcW w:type="dxa" w:w="4464"/>
            <w:vAlign w:val="center"/>
            <w:tcMar>
              <w:top w:w="80" w:type="dxa"/>
              <w:start w:w="80" w:type="dxa"/>
              <w:bottom w:w="80" w:type="dxa"/>
              <w:end w:w="80" w:type="dxa"/>
            </w:tcMar>
          </w:tcPr>
          <w:p>
            <w:pPr>
              <w:spacing w:after="0" w:before="0"/>
            </w:pPr>
            <w:r>
              <w:rPr>
                <w:sz w:val="16"/>
              </w:rPr>
              <w:t>Se excluye del numerador y del denominador</w:t>
            </w:r>
          </w:p>
        </w:tc>
      </w:tr>
    </w:tbl>
    <w:p>
      <w:pPr>
        <w:pStyle w:val="Heading2"/>
        <w:spacing w:after="100"/>
      </w:pPr>
      <w:r>
        <w:t>2.3. Paso 2: cálculo del índice para cada persona</w:t>
      </w:r>
    </w:p>
    <w:p>
      <w:pPr>
        <w:spacing w:after="100"/>
      </w:pPr>
      <w:r>
        <w:t>Para cada encuestado i se cuentan únicamente las preguntas válidas. Si xᵢⱼ es igual a 1 cuando la persona se siente insegura en el ámbito j y 0 cuando se siente segura, y mᵢ es el número de ámbitos válidamente respondidos, el índice individual se calcula como:</w:t>
      </w:r>
    </w:p>
    <w:p>
      <w:pPr>
        <w:spacing w:after="100"/>
        <w:jc w:val="center"/>
      </w:pPr>
      <w:r>
        <w:t>Índiceᵢ = (Σ xᵢⱼ) / mᵢ</w:t>
      </w:r>
    </w:p>
    <w:p>
      <w:pPr>
        <w:spacing w:after="100"/>
      </w:pPr>
      <w:r>
        <w:t>El índice queda entre 0 y 1. Un valor de 0 significa que la persona se declaró segura en todos los ámbitos que respondió; un valor de 1 significa que se declaró insegura en todos ellos. Para expresarlo de forma intuitiva, en el informe se multiplica por 100.</w:t>
      </w:r>
    </w:p>
    <w:tbl>
      <w:tblPr>
        <w:tblStyle w:val="TableGrid"/>
        <w:tblW w:type="auto" w:w="0"/>
        <w:jc w:val="center"/>
        <w:tblLook w:firstColumn="1" w:firstRow="1" w:lastColumn="0" w:lastRow="0" w:noHBand="0" w:noVBand="1" w:val="04A0"/>
      </w:tblPr>
      <w:tblGrid>
        <w:gridCol w:w="10080"/>
      </w:tblGrid>
      <w:tr>
        <w:trPr>
          <w:tblHeader w:val="true"/>
          <w:cantSplit/>
        </w:trPr>
        <w:tc>
          <w:tcPr>
            <w:tcW w:type="dxa" w:w="9936"/>
            <w:vAlign w:val="center"/>
            <w:tcMar>
              <w:top w:w="80" w:type="dxa"/>
              <w:start w:w="80" w:type="dxa"/>
              <w:bottom w:w="80" w:type="dxa"/>
              <w:end w:w="80" w:type="dxa"/>
            </w:tcMar>
            <w:shd w:fill="D9EAF7"/>
          </w:tcPr>
          <w:p>
            <w:pPr>
              <w:spacing w:after="0" w:before="0"/>
            </w:pPr>
            <w:r>
              <w:rPr>
                <w:b/>
                <w:sz w:val="17"/>
              </w:rPr>
              <w:t>Ejemplo de cálculo</w:t>
            </w:r>
          </w:p>
        </w:tc>
      </w:tr>
      <w:tr>
        <w:trPr>
          <w:cantSplit/>
        </w:trPr>
        <w:tc>
          <w:tcPr>
            <w:tcW w:type="dxa" w:w="9936"/>
            <w:vAlign w:val="center"/>
            <w:tcMar>
              <w:top w:w="80" w:type="dxa"/>
              <w:start w:w="80" w:type="dxa"/>
              <w:bottom w:w="80" w:type="dxa"/>
              <w:end w:w="80" w:type="dxa"/>
            </w:tcMar>
            <w:shd w:fill="F4F7FA"/>
          </w:tcPr>
          <w:p>
            <w:pPr>
              <w:spacing w:after="0" w:before="0"/>
            </w:pPr>
            <w:r>
              <w:rPr>
                <w:sz w:val="17"/>
              </w:rPr>
              <w:t>Una persona responde 10 de los 13 ámbitos. En 7 declara “inseguro/muy inseguro” y en 3 “seguro/muy seguro”. Su índice es 7/10 = 0,70, que se reporta como 70%. Las tres preguntas “No aplica” no cuentan como 0; simplemente quedan fuera del denominador.</w:t>
            </w:r>
          </w:p>
        </w:tc>
      </w:tr>
    </w:tbl>
    <w:p>
      <w:pPr>
        <w:pStyle w:val="Heading2"/>
        <w:spacing w:after="100"/>
      </w:pPr>
      <w:r>
        <w:t>2.4. Regla de respuestas válidas</w:t>
      </w:r>
    </w:p>
    <w:p>
      <w:pPr>
        <w:spacing w:after="100"/>
      </w:pPr>
      <w:r>
        <w:t>Para el índice general se exige que una persona tenga al menos 8 respuestas válidas de las 13 posibles. Si tiene 7 o menos, su índice general se considera faltante. Este es un criterio operativo para evitar que una medida denominada “general” se base en muy pocos ámbitos y, al mismo tiempo, no eliminar a quienes razonablemente no utilizan determinados servicios. Ocho de trece equivale a exigir información válida en al menos 61,5% de los componentes.</w:t>
      </w:r>
    </w:p>
    <w:p>
      <w:pPr>
        <w:spacing w:after="100"/>
      </w:pPr>
      <w:r>
        <w:t>Como comprobación de sensibilidad, cambiar este umbral a 7 o 9 respuestas válidas apenas modifica la tendencia agregada: con 7 componentes el índice pasa de 66,6% a 61,5% (-5,1 pp); con 8, de 66,9% a 61,7% (-5,1 pp); y con 9, de 67,3% a 62,0% (-5,3 pp). Los patrones territoriales principales también conservan su signo: La Mariscal mejora relativamente, mientras Tumbaco y Los Chillos muestran deterioro relativo.</w:t>
      </w:r>
    </w:p>
    <w:p>
      <w:pPr>
        <w:pStyle w:val="Heading2"/>
        <w:spacing w:after="100"/>
      </w:pPr>
      <w:r>
        <w:t>2.5. Paso 3: pasar del índice individual al promedio de Quito o de una zona</w:t>
      </w:r>
    </w:p>
    <w:p>
      <w:pPr>
        <w:spacing w:after="100"/>
      </w:pPr>
      <w:r>
        <w:t>El promedio de una ciudad, año o Administración Zonal no se obtiene tratando a todos los registros como si representaran a la misma cantidad de personas. Primero se calcula el índice individual anterior y después se obtiene su media ponderada con el factor de expansión peso_az_estrato:</w:t>
      </w:r>
    </w:p>
    <w:p>
      <w:pPr>
        <w:spacing w:after="100"/>
        <w:jc w:val="center"/>
      </w:pPr>
      <w:r>
        <w:t>Índice ponderado = [Σ (peso_az_estratoᵢ × Índiceᵢ)] / [Σ peso_az_estratoᵢ]</w:t>
      </w:r>
    </w:p>
    <w:p>
      <w:pPr>
        <w:spacing w:after="100"/>
      </w:pPr>
      <w:r>
        <w:t>Así, el valor de 66,9% para Quito en 2023 no debe leerse como “66,9% de los habitantes son inseguros”. La interpretación correcta es que, una vez aplicada la expansión muestral, el encuestado promedio reporta inseguridad en aproximadamente 66,9% de los ámbitos válidamente evaluados. En 2025 ese promedio baja a 61,7%.</w:t>
      </w:r>
    </w:p>
    <w:p>
      <w:pPr>
        <w:pStyle w:val="Heading2"/>
        <w:spacing w:after="100"/>
      </w:pPr>
      <w:r>
        <w:t>2.6. Cómo entra el índice en el Difference-in-Differences</w:t>
      </w:r>
    </w:p>
    <w:p>
      <w:pPr>
        <w:spacing w:after="100"/>
      </w:pPr>
      <w:r>
        <w:t>Para cada Administración Zonal se calcula el promedio ponderado del índice en 2023 y 2025. El mismo cálculo se realiza para todas las personas que viven en el resto de Quito. El DiD es la diferencia entre ambos cambios:</w:t>
      </w:r>
    </w:p>
    <w:p>
      <w:pPr>
        <w:spacing w:after="100"/>
        <w:jc w:val="center"/>
      </w:pPr>
      <w:r>
        <w:t>DiD zona = (Índice zona,2025 − Índice zona,2023) − (Índice resto,2025 − Índice resto,2023)</w:t>
      </w:r>
    </w:p>
    <w:p>
      <w:pPr>
        <w:spacing w:after="100"/>
      </w:pPr>
      <w:r>
        <w:t>Como valores altos significan mayor inseguridad, un DiD negativo indica que la zona mejoró más —o empeoró menos— que el resto de la ciudad. Un DiD positivo indica que la zona empeoró más —o mejoró menos— que el resto. Los coeficientes se reportan en puntos porcentuales para mantener una interpretación directa.</w:t>
      </w:r>
    </w:p>
    <w:p>
      <w:pPr>
        <w:pStyle w:val="Heading2"/>
        <w:spacing w:after="100"/>
      </w:pPr>
      <w:r>
        <w:t>2.7. Índices complementarios</w:t>
      </w:r>
    </w:p>
    <w:p>
      <w:pPr>
        <w:spacing w:after="100"/>
      </w:pPr>
      <w:r>
        <w:t>Además del índice general se utilizan dos medidas auxiliares para identificar si el cambio se concentra en el entorno residencial o en servicios y espacios de uso público. La lógica de recodificación y ponderación es exactamente la misma.</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vAlign w:val="center"/>
            <w:tcMar>
              <w:top w:w="80" w:type="dxa"/>
              <w:start w:w="80" w:type="dxa"/>
              <w:bottom w:w="80" w:type="dxa"/>
              <w:end w:w="80" w:type="dxa"/>
            </w:tcMar>
            <w:shd w:fill="D9EAF7"/>
          </w:tcPr>
          <w:p>
            <w:pPr>
              <w:spacing w:after="0" w:before="0"/>
            </w:pPr>
            <w:r>
              <w:rPr>
                <w:b/>
                <w:sz w:val="16"/>
              </w:rPr>
              <w:t>Índice</w:t>
            </w:r>
          </w:p>
        </w:tc>
        <w:tc>
          <w:tcPr>
            <w:tcW w:type="dxa" w:w="5472"/>
            <w:vAlign w:val="center"/>
            <w:tcMar>
              <w:top w:w="80" w:type="dxa"/>
              <w:start w:w="80" w:type="dxa"/>
              <w:bottom w:w="80" w:type="dxa"/>
              <w:end w:w="80" w:type="dxa"/>
            </w:tcMar>
            <w:shd w:fill="D9EAF7"/>
          </w:tcPr>
          <w:p>
            <w:pPr>
              <w:spacing w:after="0" w:before="0"/>
            </w:pPr>
            <w:r>
              <w:rPr>
                <w:b/>
                <w:sz w:val="16"/>
              </w:rPr>
              <w:t>Componentes</w:t>
            </w:r>
          </w:p>
        </w:tc>
        <w:tc>
          <w:tcPr>
            <w:tcW w:type="dxa" w:w="2016"/>
            <w:vAlign w:val="center"/>
            <w:tcMar>
              <w:top w:w="80" w:type="dxa"/>
              <w:start w:w="80" w:type="dxa"/>
              <w:bottom w:w="80" w:type="dxa"/>
              <w:end w:w="80" w:type="dxa"/>
            </w:tcMar>
            <w:shd w:fill="D9EAF7"/>
          </w:tcPr>
          <w:p>
            <w:pPr>
              <w:spacing w:after="0" w:before="0"/>
            </w:pPr>
            <w:r>
              <w:rPr>
                <w:b/>
                <w:sz w:val="16"/>
              </w:rPr>
              <w:t>Regla mínima</w:t>
            </w:r>
          </w:p>
        </w:tc>
      </w:tr>
      <w:tr>
        <w:trPr>
          <w:cantSplit/>
        </w:trPr>
        <w:tc>
          <w:tcPr>
            <w:tcW w:type="dxa" w:w="2448"/>
            <w:vAlign w:val="center"/>
            <w:tcMar>
              <w:top w:w="80" w:type="dxa"/>
              <w:start w:w="80" w:type="dxa"/>
              <w:bottom w:w="80" w:type="dxa"/>
              <w:end w:w="80" w:type="dxa"/>
            </w:tcMar>
          </w:tcPr>
          <w:p>
            <w:pPr>
              <w:spacing w:after="0" w:before="0"/>
            </w:pPr>
            <w:r>
              <w:rPr>
                <w:sz w:val="16"/>
              </w:rPr>
              <w:t>General</w:t>
            </w:r>
          </w:p>
        </w:tc>
        <w:tc>
          <w:tcPr>
            <w:tcW w:type="dxa" w:w="5472"/>
            <w:vAlign w:val="center"/>
            <w:tcMar>
              <w:top w:w="80" w:type="dxa"/>
              <w:start w:w="80" w:type="dxa"/>
              <w:bottom w:w="80" w:type="dxa"/>
              <w:end w:w="80" w:type="dxa"/>
            </w:tcMar>
          </w:tcPr>
          <w:p>
            <w:pPr>
              <w:spacing w:after="0" w:before="0"/>
            </w:pPr>
            <w:r>
              <w:rPr>
                <w:sz w:val="16"/>
              </w:rPr>
              <w:t>13 indicadores: PSC_1, 2, 4–9, 11–15</w:t>
            </w:r>
          </w:p>
        </w:tc>
        <w:tc>
          <w:tcPr>
            <w:tcW w:type="dxa" w:w="2016"/>
            <w:vAlign w:val="center"/>
            <w:tcMar>
              <w:top w:w="80" w:type="dxa"/>
              <w:start w:w="80" w:type="dxa"/>
              <w:bottom w:w="80" w:type="dxa"/>
              <w:end w:w="80" w:type="dxa"/>
            </w:tcMar>
          </w:tcPr>
          <w:p>
            <w:pPr>
              <w:spacing w:after="0" w:before="0"/>
            </w:pPr>
            <w:r>
              <w:rPr>
                <w:sz w:val="16"/>
              </w:rPr>
              <w:t>8 de 13 respuestas válidas</w:t>
            </w:r>
          </w:p>
        </w:tc>
      </w:tr>
      <w:tr>
        <w:trPr>
          <w:cantSplit/>
        </w:trPr>
        <w:tc>
          <w:tcPr>
            <w:tcW w:type="dxa" w:w="2448"/>
            <w:vAlign w:val="center"/>
            <w:tcMar>
              <w:top w:w="80" w:type="dxa"/>
              <w:start w:w="80" w:type="dxa"/>
              <w:bottom w:w="80" w:type="dxa"/>
              <w:end w:w="80" w:type="dxa"/>
            </w:tcMar>
          </w:tcPr>
          <w:p>
            <w:pPr>
              <w:spacing w:after="0" w:before="0"/>
            </w:pPr>
            <w:r>
              <w:rPr>
                <w:sz w:val="16"/>
              </w:rPr>
              <w:t>Barrial</w:t>
            </w:r>
          </w:p>
        </w:tc>
        <w:tc>
          <w:tcPr>
            <w:tcW w:type="dxa" w:w="5472"/>
            <w:vAlign w:val="center"/>
            <w:tcMar>
              <w:top w:w="80" w:type="dxa"/>
              <w:start w:w="80" w:type="dxa"/>
              <w:bottom w:w="80" w:type="dxa"/>
              <w:end w:w="80" w:type="dxa"/>
            </w:tcMar>
          </w:tcPr>
          <w:p>
            <w:pPr>
              <w:spacing w:after="0" w:before="0"/>
            </w:pPr>
            <w:r>
              <w:rPr>
                <w:sz w:val="16"/>
              </w:rPr>
              <w:t>Casa/cuadra, barrio, caminar de día y caminar de noche</w:t>
            </w:r>
          </w:p>
        </w:tc>
        <w:tc>
          <w:tcPr>
            <w:tcW w:type="dxa" w:w="2016"/>
            <w:vAlign w:val="center"/>
            <w:tcMar>
              <w:top w:w="80" w:type="dxa"/>
              <w:start w:w="80" w:type="dxa"/>
              <w:bottom w:w="80" w:type="dxa"/>
              <w:end w:w="80" w:type="dxa"/>
            </w:tcMar>
          </w:tcPr>
          <w:p>
            <w:pPr>
              <w:spacing w:after="0" w:before="0"/>
            </w:pPr>
            <w:r>
              <w:rPr>
                <w:sz w:val="16"/>
              </w:rPr>
              <w:t>3 de 4 respuestas válidas</w:t>
            </w:r>
          </w:p>
        </w:tc>
      </w:tr>
      <w:tr>
        <w:trPr>
          <w:cantSplit/>
        </w:trPr>
        <w:tc>
          <w:tcPr>
            <w:tcW w:type="dxa" w:w="2448"/>
            <w:vAlign w:val="center"/>
            <w:tcMar>
              <w:top w:w="80" w:type="dxa"/>
              <w:start w:w="80" w:type="dxa"/>
              <w:bottom w:w="80" w:type="dxa"/>
              <w:end w:w="80" w:type="dxa"/>
            </w:tcMar>
          </w:tcPr>
          <w:p>
            <w:pPr>
              <w:spacing w:after="0" w:before="0"/>
            </w:pPr>
            <w:r>
              <w:rPr>
                <w:sz w:val="16"/>
              </w:rPr>
              <w:t>Espacios públicos y transporte</w:t>
            </w:r>
          </w:p>
        </w:tc>
        <w:tc>
          <w:tcPr>
            <w:tcW w:type="dxa" w:w="5472"/>
            <w:vAlign w:val="center"/>
            <w:tcMar>
              <w:top w:w="80" w:type="dxa"/>
              <w:start w:w="80" w:type="dxa"/>
              <w:bottom w:w="80" w:type="dxa"/>
              <w:end w:w="80" w:type="dxa"/>
            </w:tcMar>
          </w:tcPr>
          <w:p>
            <w:pPr>
              <w:spacing w:after="0" w:before="0"/>
            </w:pPr>
            <w:r>
              <w:rPr>
                <w:sz w:val="16"/>
              </w:rPr>
              <w:t>Centros educativos, mercados, cajeros, espacios públicos, Metro, Trole/Ecovía/corredores, taxis, apps y espectáculos</w:t>
            </w:r>
          </w:p>
        </w:tc>
        <w:tc>
          <w:tcPr>
            <w:tcW w:type="dxa" w:w="2016"/>
            <w:vAlign w:val="center"/>
            <w:tcMar>
              <w:top w:w="80" w:type="dxa"/>
              <w:start w:w="80" w:type="dxa"/>
              <w:bottom w:w="80" w:type="dxa"/>
              <w:end w:w="80" w:type="dxa"/>
            </w:tcMar>
          </w:tcPr>
          <w:p>
            <w:pPr>
              <w:spacing w:after="0" w:before="0"/>
            </w:pPr>
            <w:r>
              <w:rPr>
                <w:sz w:val="16"/>
              </w:rPr>
              <w:t>6 de 9 respuestas válidas</w:t>
            </w:r>
          </w:p>
        </w:tc>
      </w:tr>
    </w:tbl>
    <w:p>
      <w:pPr>
        <w:pStyle w:val="Heading1"/>
      </w:pPr>
      <w:r>
        <w:t>3. Evolución de Quito en los 13 indicadores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816"/>
            <w:vAlign w:val="center"/>
            <w:shd w:fill="D9EAF7"/>
          </w:tcPr>
          <w:p>
            <w:r/>
            <w:r>
              <w:rPr>
                <w:rFonts w:ascii="Aptos" w:hAnsi="Aptos"/>
                <w:b/>
                <w:sz w:val="16"/>
              </w:rPr>
              <w:t>Indicador</w:t>
            </w:r>
          </w:p>
        </w:tc>
        <w:tc>
          <w:tcPr>
            <w:tcW w:type="dxa" w:w="1008"/>
            <w:vAlign w:val="center"/>
            <w:shd w:fill="D9EAF7"/>
          </w:tcPr>
          <w:p>
            <w:r/>
            <w:r>
              <w:rPr>
                <w:rFonts w:ascii="Aptos" w:hAnsi="Aptos"/>
                <w:b/>
                <w:sz w:val="16"/>
              </w:rPr>
              <w:t>2023</w:t>
            </w:r>
          </w:p>
        </w:tc>
        <w:tc>
          <w:tcPr>
            <w:tcW w:type="dxa" w:w="1008"/>
            <w:vAlign w:val="center"/>
            <w:shd w:fill="D9EAF7"/>
          </w:tcPr>
          <w:p>
            <w:r/>
            <w:r>
              <w:rPr>
                <w:rFonts w:ascii="Aptos" w:hAnsi="Aptos"/>
                <w:b/>
                <w:sz w:val="16"/>
              </w:rPr>
              <w:t>2025</w:t>
            </w:r>
          </w:p>
        </w:tc>
        <w:tc>
          <w:tcPr>
            <w:tcW w:type="dxa" w:w="1152"/>
            <w:vAlign w:val="center"/>
            <w:shd w:fill="D9EAF7"/>
          </w:tcPr>
          <w:p>
            <w:r/>
            <w:r>
              <w:rPr>
                <w:rFonts w:ascii="Aptos" w:hAnsi="Aptos"/>
                <w:b/>
                <w:sz w:val="16"/>
              </w:rPr>
              <w:t>Cambio</w:t>
            </w:r>
          </w:p>
        </w:tc>
      </w:tr>
      <w:tr>
        <w:trPr>
          <w:cantSplit/>
        </w:trPr>
        <w:tc>
          <w:tcPr>
            <w:tcW w:type="dxa" w:w="3816"/>
            <w:vAlign w:val="center"/>
          </w:tcPr>
          <w:p>
            <w:r/>
            <w:r>
              <w:rPr>
                <w:rFonts w:ascii="Aptos" w:hAnsi="Aptos"/>
                <w:b w:val="0"/>
                <w:sz w:val="16"/>
              </w:rPr>
              <w:t>Casa/cuadra</w:t>
            </w:r>
          </w:p>
        </w:tc>
        <w:tc>
          <w:tcPr>
            <w:tcW w:type="dxa" w:w="1008"/>
            <w:vAlign w:val="center"/>
          </w:tcPr>
          <w:p>
            <w:r/>
            <w:r>
              <w:rPr>
                <w:rFonts w:ascii="Aptos" w:hAnsi="Aptos"/>
                <w:b w:val="0"/>
                <w:sz w:val="16"/>
              </w:rPr>
              <w:t>56.3%</w:t>
            </w:r>
          </w:p>
        </w:tc>
        <w:tc>
          <w:tcPr>
            <w:tcW w:type="dxa" w:w="1008"/>
            <w:vAlign w:val="center"/>
          </w:tcPr>
          <w:p>
            <w:r/>
            <w:r>
              <w:rPr>
                <w:rFonts w:ascii="Aptos" w:hAnsi="Aptos"/>
                <w:b w:val="0"/>
                <w:sz w:val="16"/>
              </w:rPr>
              <w:t>55.7%</w:t>
            </w:r>
          </w:p>
        </w:tc>
        <w:tc>
          <w:tcPr>
            <w:tcW w:type="dxa" w:w="1152"/>
            <w:vAlign w:val="center"/>
          </w:tcPr>
          <w:p>
            <w:r/>
            <w:r>
              <w:rPr>
                <w:rFonts w:ascii="Aptos" w:hAnsi="Aptos"/>
                <w:b w:val="0"/>
                <w:sz w:val="16"/>
              </w:rPr>
              <w:t>-0.6 pp</w:t>
            </w:r>
          </w:p>
        </w:tc>
      </w:tr>
      <w:tr>
        <w:trPr>
          <w:cantSplit/>
        </w:trPr>
        <w:tc>
          <w:tcPr>
            <w:tcW w:type="dxa" w:w="3816"/>
            <w:vAlign w:val="center"/>
          </w:tcPr>
          <w:p>
            <w:r/>
            <w:r>
              <w:rPr>
                <w:rFonts w:ascii="Aptos" w:hAnsi="Aptos"/>
                <w:b w:val="0"/>
                <w:sz w:val="16"/>
              </w:rPr>
              <w:t>Barrio</w:t>
            </w:r>
          </w:p>
        </w:tc>
        <w:tc>
          <w:tcPr>
            <w:tcW w:type="dxa" w:w="1008"/>
            <w:vAlign w:val="center"/>
          </w:tcPr>
          <w:p>
            <w:r/>
            <w:r>
              <w:rPr>
                <w:rFonts w:ascii="Aptos" w:hAnsi="Aptos"/>
                <w:b w:val="0"/>
                <w:sz w:val="16"/>
              </w:rPr>
              <w:t>64.1%</w:t>
            </w:r>
          </w:p>
        </w:tc>
        <w:tc>
          <w:tcPr>
            <w:tcW w:type="dxa" w:w="1008"/>
            <w:vAlign w:val="center"/>
          </w:tcPr>
          <w:p>
            <w:r/>
            <w:r>
              <w:rPr>
                <w:rFonts w:ascii="Aptos" w:hAnsi="Aptos"/>
                <w:b w:val="0"/>
                <w:sz w:val="16"/>
              </w:rPr>
              <w:t>68.3%</w:t>
            </w:r>
          </w:p>
        </w:tc>
        <w:tc>
          <w:tcPr>
            <w:tcW w:type="dxa" w:w="1152"/>
            <w:vAlign w:val="center"/>
          </w:tcPr>
          <w:p>
            <w:r/>
            <w:r>
              <w:rPr>
                <w:rFonts w:ascii="Aptos" w:hAnsi="Aptos"/>
                <w:b w:val="0"/>
                <w:sz w:val="16"/>
              </w:rPr>
              <w:t>+4.2 pp</w:t>
            </w:r>
          </w:p>
        </w:tc>
      </w:tr>
      <w:tr>
        <w:trPr>
          <w:cantSplit/>
        </w:trPr>
        <w:tc>
          <w:tcPr>
            <w:tcW w:type="dxa" w:w="3816"/>
            <w:vAlign w:val="center"/>
          </w:tcPr>
          <w:p>
            <w:r/>
            <w:r>
              <w:rPr>
                <w:rFonts w:ascii="Aptos" w:hAnsi="Aptos"/>
                <w:b w:val="0"/>
                <w:sz w:val="16"/>
              </w:rPr>
              <w:t>Centros educativos</w:t>
            </w:r>
          </w:p>
        </w:tc>
        <w:tc>
          <w:tcPr>
            <w:tcW w:type="dxa" w:w="1008"/>
            <w:vAlign w:val="center"/>
          </w:tcPr>
          <w:p>
            <w:r/>
            <w:r>
              <w:rPr>
                <w:rFonts w:ascii="Aptos" w:hAnsi="Aptos"/>
                <w:b w:val="0"/>
                <w:sz w:val="16"/>
              </w:rPr>
              <w:t>60.7%</w:t>
            </w:r>
          </w:p>
        </w:tc>
        <w:tc>
          <w:tcPr>
            <w:tcW w:type="dxa" w:w="1008"/>
            <w:vAlign w:val="center"/>
          </w:tcPr>
          <w:p>
            <w:r/>
            <w:r>
              <w:rPr>
                <w:rFonts w:ascii="Aptos" w:hAnsi="Aptos"/>
                <w:b w:val="0"/>
                <w:sz w:val="16"/>
              </w:rPr>
              <w:t>56.5%</w:t>
            </w:r>
          </w:p>
        </w:tc>
        <w:tc>
          <w:tcPr>
            <w:tcW w:type="dxa" w:w="1152"/>
            <w:vAlign w:val="center"/>
          </w:tcPr>
          <w:p>
            <w:r/>
            <w:r>
              <w:rPr>
                <w:rFonts w:ascii="Aptos" w:hAnsi="Aptos"/>
                <w:b w:val="0"/>
                <w:sz w:val="16"/>
              </w:rPr>
              <w:t>-4.2 pp</w:t>
            </w:r>
          </w:p>
        </w:tc>
      </w:tr>
      <w:tr>
        <w:trPr>
          <w:cantSplit/>
        </w:trPr>
        <w:tc>
          <w:tcPr>
            <w:tcW w:type="dxa" w:w="3816"/>
            <w:vAlign w:val="center"/>
          </w:tcPr>
          <w:p>
            <w:r/>
            <w:r>
              <w:rPr>
                <w:rFonts w:ascii="Aptos" w:hAnsi="Aptos"/>
                <w:b w:val="0"/>
                <w:sz w:val="16"/>
              </w:rPr>
              <w:t>Mercados/ferias</w:t>
            </w:r>
          </w:p>
        </w:tc>
        <w:tc>
          <w:tcPr>
            <w:tcW w:type="dxa" w:w="1008"/>
            <w:vAlign w:val="center"/>
          </w:tcPr>
          <w:p>
            <w:r/>
            <w:r>
              <w:rPr>
                <w:rFonts w:ascii="Aptos" w:hAnsi="Aptos"/>
                <w:b w:val="0"/>
                <w:sz w:val="16"/>
              </w:rPr>
              <w:t>77.1%</w:t>
            </w:r>
          </w:p>
        </w:tc>
        <w:tc>
          <w:tcPr>
            <w:tcW w:type="dxa" w:w="1008"/>
            <w:vAlign w:val="center"/>
          </w:tcPr>
          <w:p>
            <w:r/>
            <w:r>
              <w:rPr>
                <w:rFonts w:ascii="Aptos" w:hAnsi="Aptos"/>
                <w:b w:val="0"/>
                <w:sz w:val="16"/>
              </w:rPr>
              <w:t>72.5%</w:t>
            </w:r>
          </w:p>
        </w:tc>
        <w:tc>
          <w:tcPr>
            <w:tcW w:type="dxa" w:w="1152"/>
            <w:vAlign w:val="center"/>
          </w:tcPr>
          <w:p>
            <w:r/>
            <w:r>
              <w:rPr>
                <w:rFonts w:ascii="Aptos" w:hAnsi="Aptos"/>
                <w:b w:val="0"/>
                <w:sz w:val="16"/>
              </w:rPr>
              <w:t>-4.6 pp</w:t>
            </w:r>
          </w:p>
        </w:tc>
      </w:tr>
      <w:tr>
        <w:trPr>
          <w:cantSplit/>
        </w:trPr>
        <w:tc>
          <w:tcPr>
            <w:tcW w:type="dxa" w:w="3816"/>
            <w:vAlign w:val="center"/>
          </w:tcPr>
          <w:p>
            <w:r/>
            <w:r>
              <w:rPr>
                <w:rFonts w:ascii="Aptos" w:hAnsi="Aptos"/>
                <w:b w:val="0"/>
                <w:sz w:val="16"/>
              </w:rPr>
              <w:t>Cajeros en vía pública</w:t>
            </w:r>
          </w:p>
        </w:tc>
        <w:tc>
          <w:tcPr>
            <w:tcW w:type="dxa" w:w="1008"/>
            <w:vAlign w:val="center"/>
          </w:tcPr>
          <w:p>
            <w:r/>
            <w:r>
              <w:rPr>
                <w:rFonts w:ascii="Aptos" w:hAnsi="Aptos"/>
                <w:b w:val="0"/>
                <w:sz w:val="16"/>
              </w:rPr>
              <w:t>79.5%</w:t>
            </w:r>
          </w:p>
        </w:tc>
        <w:tc>
          <w:tcPr>
            <w:tcW w:type="dxa" w:w="1008"/>
            <w:vAlign w:val="center"/>
          </w:tcPr>
          <w:p>
            <w:r/>
            <w:r>
              <w:rPr>
                <w:rFonts w:ascii="Aptos" w:hAnsi="Aptos"/>
                <w:b w:val="0"/>
                <w:sz w:val="16"/>
              </w:rPr>
              <w:t>79.2%</w:t>
            </w:r>
          </w:p>
        </w:tc>
        <w:tc>
          <w:tcPr>
            <w:tcW w:type="dxa" w:w="1152"/>
            <w:vAlign w:val="center"/>
          </w:tcPr>
          <w:p>
            <w:r/>
            <w:r>
              <w:rPr>
                <w:rFonts w:ascii="Aptos" w:hAnsi="Aptos"/>
                <w:b w:val="0"/>
                <w:sz w:val="16"/>
              </w:rPr>
              <w:t>-0.4 pp</w:t>
            </w:r>
          </w:p>
        </w:tc>
      </w:tr>
      <w:tr>
        <w:trPr>
          <w:cantSplit/>
        </w:trPr>
        <w:tc>
          <w:tcPr>
            <w:tcW w:type="dxa" w:w="3816"/>
            <w:vAlign w:val="center"/>
          </w:tcPr>
          <w:p>
            <w:r/>
            <w:r>
              <w:rPr>
                <w:rFonts w:ascii="Aptos" w:hAnsi="Aptos"/>
                <w:b w:val="0"/>
                <w:sz w:val="16"/>
              </w:rPr>
              <w:t>Espacios públicos</w:t>
            </w:r>
          </w:p>
        </w:tc>
        <w:tc>
          <w:tcPr>
            <w:tcW w:type="dxa" w:w="1008"/>
            <w:vAlign w:val="center"/>
          </w:tcPr>
          <w:p>
            <w:r/>
            <w:r>
              <w:rPr>
                <w:rFonts w:ascii="Aptos" w:hAnsi="Aptos"/>
                <w:b w:val="0"/>
                <w:sz w:val="16"/>
              </w:rPr>
              <w:t>79.8%</w:t>
            </w:r>
          </w:p>
        </w:tc>
        <w:tc>
          <w:tcPr>
            <w:tcW w:type="dxa" w:w="1008"/>
            <w:vAlign w:val="center"/>
          </w:tcPr>
          <w:p>
            <w:r/>
            <w:r>
              <w:rPr>
                <w:rFonts w:ascii="Aptos" w:hAnsi="Aptos"/>
                <w:b w:val="0"/>
                <w:sz w:val="16"/>
              </w:rPr>
              <w:t>78.3%</w:t>
            </w:r>
          </w:p>
        </w:tc>
        <w:tc>
          <w:tcPr>
            <w:tcW w:type="dxa" w:w="1152"/>
            <w:vAlign w:val="center"/>
          </w:tcPr>
          <w:p>
            <w:r/>
            <w:r>
              <w:rPr>
                <w:rFonts w:ascii="Aptos" w:hAnsi="Aptos"/>
                <w:b w:val="0"/>
                <w:sz w:val="16"/>
              </w:rPr>
              <w:t>-1.5 pp</w:t>
            </w:r>
          </w:p>
        </w:tc>
      </w:tr>
      <w:tr>
        <w:trPr>
          <w:cantSplit/>
        </w:trPr>
        <w:tc>
          <w:tcPr>
            <w:tcW w:type="dxa" w:w="3816"/>
            <w:vAlign w:val="center"/>
          </w:tcPr>
          <w:p>
            <w:r/>
            <w:r>
              <w:rPr>
                <w:rFonts w:ascii="Aptos" w:hAnsi="Aptos"/>
                <w:b w:val="0"/>
                <w:sz w:val="16"/>
              </w:rPr>
              <w:t>Metro</w:t>
            </w:r>
          </w:p>
        </w:tc>
        <w:tc>
          <w:tcPr>
            <w:tcW w:type="dxa" w:w="1008"/>
            <w:vAlign w:val="center"/>
          </w:tcPr>
          <w:p>
            <w:r/>
            <w:r>
              <w:rPr>
                <w:rFonts w:ascii="Aptos" w:hAnsi="Aptos"/>
                <w:b w:val="0"/>
                <w:sz w:val="16"/>
              </w:rPr>
              <w:t>29.6%</w:t>
            </w:r>
          </w:p>
        </w:tc>
        <w:tc>
          <w:tcPr>
            <w:tcW w:type="dxa" w:w="1008"/>
            <w:vAlign w:val="center"/>
          </w:tcPr>
          <w:p>
            <w:r/>
            <w:r>
              <w:rPr>
                <w:rFonts w:ascii="Aptos" w:hAnsi="Aptos"/>
                <w:b w:val="0"/>
                <w:sz w:val="16"/>
              </w:rPr>
              <w:t>15.4%</w:t>
            </w:r>
          </w:p>
        </w:tc>
        <w:tc>
          <w:tcPr>
            <w:tcW w:type="dxa" w:w="1152"/>
            <w:vAlign w:val="center"/>
          </w:tcPr>
          <w:p>
            <w:r/>
            <w:r>
              <w:rPr>
                <w:rFonts w:ascii="Aptos" w:hAnsi="Aptos"/>
                <w:b w:val="0"/>
                <w:sz w:val="16"/>
              </w:rPr>
              <w:t>-14.1 pp</w:t>
            </w:r>
          </w:p>
        </w:tc>
      </w:tr>
      <w:tr>
        <w:trPr>
          <w:cantSplit/>
        </w:trPr>
        <w:tc>
          <w:tcPr>
            <w:tcW w:type="dxa" w:w="3816"/>
            <w:vAlign w:val="center"/>
          </w:tcPr>
          <w:p>
            <w:r/>
            <w:r>
              <w:rPr>
                <w:rFonts w:ascii="Aptos" w:hAnsi="Aptos"/>
                <w:b w:val="0"/>
                <w:sz w:val="16"/>
              </w:rPr>
              <w:t>Trole/Ecovía/corredores</w:t>
            </w:r>
          </w:p>
        </w:tc>
        <w:tc>
          <w:tcPr>
            <w:tcW w:type="dxa" w:w="1008"/>
            <w:vAlign w:val="center"/>
          </w:tcPr>
          <w:p>
            <w:r/>
            <w:r>
              <w:rPr>
                <w:rFonts w:ascii="Aptos" w:hAnsi="Aptos"/>
                <w:b w:val="0"/>
                <w:sz w:val="16"/>
              </w:rPr>
              <w:t>85.4%</w:t>
            </w:r>
          </w:p>
        </w:tc>
        <w:tc>
          <w:tcPr>
            <w:tcW w:type="dxa" w:w="1008"/>
            <w:vAlign w:val="center"/>
          </w:tcPr>
          <w:p>
            <w:r/>
            <w:r>
              <w:rPr>
                <w:rFonts w:ascii="Aptos" w:hAnsi="Aptos"/>
                <w:b w:val="0"/>
                <w:sz w:val="16"/>
              </w:rPr>
              <w:t>79.1%</w:t>
            </w:r>
          </w:p>
        </w:tc>
        <w:tc>
          <w:tcPr>
            <w:tcW w:type="dxa" w:w="1152"/>
            <w:vAlign w:val="center"/>
          </w:tcPr>
          <w:p>
            <w:r/>
            <w:r>
              <w:rPr>
                <w:rFonts w:ascii="Aptos" w:hAnsi="Aptos"/>
                <w:b w:val="0"/>
                <w:sz w:val="16"/>
              </w:rPr>
              <w:t>-6.2 pp</w:t>
            </w:r>
          </w:p>
        </w:tc>
      </w:tr>
      <w:tr>
        <w:trPr>
          <w:cantSplit/>
        </w:trPr>
        <w:tc>
          <w:tcPr>
            <w:tcW w:type="dxa" w:w="3816"/>
            <w:vAlign w:val="center"/>
          </w:tcPr>
          <w:p>
            <w:r/>
            <w:r>
              <w:rPr>
                <w:rFonts w:ascii="Aptos" w:hAnsi="Aptos"/>
                <w:b w:val="0"/>
                <w:sz w:val="16"/>
              </w:rPr>
              <w:t>Taxis</w:t>
            </w:r>
          </w:p>
        </w:tc>
        <w:tc>
          <w:tcPr>
            <w:tcW w:type="dxa" w:w="1008"/>
            <w:vAlign w:val="center"/>
          </w:tcPr>
          <w:p>
            <w:r/>
            <w:r>
              <w:rPr>
                <w:rFonts w:ascii="Aptos" w:hAnsi="Aptos"/>
                <w:b w:val="0"/>
                <w:sz w:val="16"/>
              </w:rPr>
              <w:t>68.9%</w:t>
            </w:r>
          </w:p>
        </w:tc>
        <w:tc>
          <w:tcPr>
            <w:tcW w:type="dxa" w:w="1008"/>
            <w:vAlign w:val="center"/>
          </w:tcPr>
          <w:p>
            <w:r/>
            <w:r>
              <w:rPr>
                <w:rFonts w:ascii="Aptos" w:hAnsi="Aptos"/>
                <w:b w:val="0"/>
                <w:sz w:val="16"/>
              </w:rPr>
              <w:t>51.8%</w:t>
            </w:r>
          </w:p>
        </w:tc>
        <w:tc>
          <w:tcPr>
            <w:tcW w:type="dxa" w:w="1152"/>
            <w:vAlign w:val="center"/>
          </w:tcPr>
          <w:p>
            <w:r/>
            <w:r>
              <w:rPr>
                <w:rFonts w:ascii="Aptos" w:hAnsi="Aptos"/>
                <w:b w:val="0"/>
                <w:sz w:val="16"/>
              </w:rPr>
              <w:t>-17.1 pp</w:t>
            </w:r>
          </w:p>
        </w:tc>
      </w:tr>
      <w:tr>
        <w:trPr>
          <w:cantSplit/>
        </w:trPr>
        <w:tc>
          <w:tcPr>
            <w:tcW w:type="dxa" w:w="3816"/>
            <w:vAlign w:val="center"/>
          </w:tcPr>
          <w:p>
            <w:r/>
            <w:r>
              <w:rPr>
                <w:rFonts w:ascii="Aptos" w:hAnsi="Aptos"/>
                <w:b w:val="0"/>
                <w:sz w:val="16"/>
              </w:rPr>
              <w:t>Apps de transporte</w:t>
            </w:r>
          </w:p>
        </w:tc>
        <w:tc>
          <w:tcPr>
            <w:tcW w:type="dxa" w:w="1008"/>
            <w:vAlign w:val="center"/>
          </w:tcPr>
          <w:p>
            <w:r/>
            <w:r>
              <w:rPr>
                <w:rFonts w:ascii="Aptos" w:hAnsi="Aptos"/>
                <w:b w:val="0"/>
                <w:sz w:val="16"/>
              </w:rPr>
              <w:t>59.1%</w:t>
            </w:r>
          </w:p>
        </w:tc>
        <w:tc>
          <w:tcPr>
            <w:tcW w:type="dxa" w:w="1008"/>
            <w:vAlign w:val="center"/>
          </w:tcPr>
          <w:p>
            <w:r/>
            <w:r>
              <w:rPr>
                <w:rFonts w:ascii="Aptos" w:hAnsi="Aptos"/>
                <w:b w:val="0"/>
                <w:sz w:val="16"/>
              </w:rPr>
              <w:t>38.1%</w:t>
            </w:r>
          </w:p>
        </w:tc>
        <w:tc>
          <w:tcPr>
            <w:tcW w:type="dxa" w:w="1152"/>
            <w:vAlign w:val="center"/>
          </w:tcPr>
          <w:p>
            <w:r/>
            <w:r>
              <w:rPr>
                <w:rFonts w:ascii="Aptos" w:hAnsi="Aptos"/>
                <w:b w:val="0"/>
                <w:sz w:val="16"/>
              </w:rPr>
              <w:t>-21.0 pp</w:t>
            </w:r>
          </w:p>
        </w:tc>
      </w:tr>
      <w:tr>
        <w:trPr>
          <w:cantSplit/>
        </w:trPr>
        <w:tc>
          <w:tcPr>
            <w:tcW w:type="dxa" w:w="3816"/>
            <w:vAlign w:val="center"/>
          </w:tcPr>
          <w:p>
            <w:r/>
            <w:r>
              <w:rPr>
                <w:rFonts w:ascii="Aptos" w:hAnsi="Aptos"/>
                <w:b w:val="0"/>
                <w:sz w:val="16"/>
              </w:rPr>
              <w:t>Espectáculos públicos</w:t>
            </w:r>
          </w:p>
        </w:tc>
        <w:tc>
          <w:tcPr>
            <w:tcW w:type="dxa" w:w="1008"/>
            <w:vAlign w:val="center"/>
          </w:tcPr>
          <w:p>
            <w:r/>
            <w:r>
              <w:rPr>
                <w:rFonts w:ascii="Aptos" w:hAnsi="Aptos"/>
                <w:b w:val="0"/>
                <w:sz w:val="16"/>
              </w:rPr>
              <w:t>69.8%</w:t>
            </w:r>
          </w:p>
        </w:tc>
        <w:tc>
          <w:tcPr>
            <w:tcW w:type="dxa" w:w="1008"/>
            <w:vAlign w:val="center"/>
          </w:tcPr>
          <w:p>
            <w:r/>
            <w:r>
              <w:rPr>
                <w:rFonts w:ascii="Aptos" w:hAnsi="Aptos"/>
                <w:b w:val="0"/>
                <w:sz w:val="16"/>
              </w:rPr>
              <w:t>65.4%</w:t>
            </w:r>
          </w:p>
        </w:tc>
        <w:tc>
          <w:tcPr>
            <w:tcW w:type="dxa" w:w="1152"/>
            <w:vAlign w:val="center"/>
          </w:tcPr>
          <w:p>
            <w:r/>
            <w:r>
              <w:rPr>
                <w:rFonts w:ascii="Aptos" w:hAnsi="Aptos"/>
                <w:b w:val="0"/>
                <w:sz w:val="16"/>
              </w:rPr>
              <w:t>-4.4 pp</w:t>
            </w:r>
          </w:p>
        </w:tc>
      </w:tr>
      <w:tr>
        <w:trPr>
          <w:cantSplit/>
        </w:trPr>
        <w:tc>
          <w:tcPr>
            <w:tcW w:type="dxa" w:w="3816"/>
            <w:vAlign w:val="center"/>
          </w:tcPr>
          <w:p>
            <w:r/>
            <w:r>
              <w:rPr>
                <w:rFonts w:ascii="Aptos" w:hAnsi="Aptos"/>
                <w:b w:val="0"/>
                <w:sz w:val="16"/>
              </w:rPr>
              <w:t>Caminar barrio de día</w:t>
            </w:r>
          </w:p>
        </w:tc>
        <w:tc>
          <w:tcPr>
            <w:tcW w:type="dxa" w:w="1008"/>
            <w:vAlign w:val="center"/>
          </w:tcPr>
          <w:p>
            <w:r/>
            <w:r>
              <w:rPr>
                <w:rFonts w:ascii="Aptos" w:hAnsi="Aptos"/>
                <w:b w:val="0"/>
                <w:sz w:val="16"/>
              </w:rPr>
              <w:t>50.0%</w:t>
            </w:r>
          </w:p>
        </w:tc>
        <w:tc>
          <w:tcPr>
            <w:tcW w:type="dxa" w:w="1008"/>
            <w:vAlign w:val="center"/>
          </w:tcPr>
          <w:p>
            <w:r/>
            <w:r>
              <w:rPr>
                <w:rFonts w:ascii="Aptos" w:hAnsi="Aptos"/>
                <w:b w:val="0"/>
                <w:sz w:val="16"/>
              </w:rPr>
              <w:t>42.1%</w:t>
            </w:r>
          </w:p>
        </w:tc>
        <w:tc>
          <w:tcPr>
            <w:tcW w:type="dxa" w:w="1152"/>
            <w:vAlign w:val="center"/>
          </w:tcPr>
          <w:p>
            <w:r/>
            <w:r>
              <w:rPr>
                <w:rFonts w:ascii="Aptos" w:hAnsi="Aptos"/>
                <w:b w:val="0"/>
                <w:sz w:val="16"/>
              </w:rPr>
              <w:t>-7.9 pp</w:t>
            </w:r>
          </w:p>
        </w:tc>
      </w:tr>
      <w:tr>
        <w:trPr>
          <w:cantSplit/>
        </w:trPr>
        <w:tc>
          <w:tcPr>
            <w:tcW w:type="dxa" w:w="3816"/>
            <w:vAlign w:val="center"/>
          </w:tcPr>
          <w:p>
            <w:r/>
            <w:r>
              <w:rPr>
                <w:rFonts w:ascii="Aptos" w:hAnsi="Aptos"/>
                <w:b w:val="0"/>
                <w:sz w:val="16"/>
              </w:rPr>
              <w:t>Caminar barrio de noche</w:t>
            </w:r>
          </w:p>
        </w:tc>
        <w:tc>
          <w:tcPr>
            <w:tcW w:type="dxa" w:w="1008"/>
            <w:vAlign w:val="center"/>
          </w:tcPr>
          <w:p>
            <w:r/>
            <w:r>
              <w:rPr>
                <w:rFonts w:ascii="Aptos" w:hAnsi="Aptos"/>
                <w:b w:val="0"/>
                <w:sz w:val="16"/>
              </w:rPr>
              <w:t>83.6%</w:t>
            </w:r>
          </w:p>
        </w:tc>
        <w:tc>
          <w:tcPr>
            <w:tcW w:type="dxa" w:w="1008"/>
            <w:vAlign w:val="center"/>
          </w:tcPr>
          <w:p>
            <w:r/>
            <w:r>
              <w:rPr>
                <w:rFonts w:ascii="Aptos" w:hAnsi="Aptos"/>
                <w:b w:val="0"/>
                <w:sz w:val="16"/>
              </w:rPr>
              <w:t>87.0%</w:t>
            </w:r>
          </w:p>
        </w:tc>
        <w:tc>
          <w:tcPr>
            <w:tcW w:type="dxa" w:w="1152"/>
            <w:vAlign w:val="center"/>
          </w:tcPr>
          <w:p>
            <w:r/>
            <w:r>
              <w:rPr>
                <w:rFonts w:ascii="Aptos" w:hAnsi="Aptos"/>
                <w:b w:val="0"/>
                <w:sz w:val="16"/>
              </w:rPr>
              <w:t>+3.5 pp</w:t>
            </w:r>
          </w:p>
        </w:tc>
      </w:tr>
    </w:tbl>
    <w:p/>
    <w:p>
      <w:r>
        <w:t>La mejora agregada se concentra en transporte y algunos espacios de uso público: aplicaciones de transporte (-21.0 pp), taxis (-17.1 pp), Metro (-14.1 pp), caminar de día (-7.9 pp) y Trole/Ecovía/corredores (-6.2 pp). En cambio, la inseguridad percibida en el barrio aumenta 4.2 pp y caminar de noche aumenta 3.5 pp.</w:t>
      </w:r>
    </w:p>
    <w:p>
      <w:r>
        <w:drawing>
          <wp:inline xmlns:a="http://schemas.openxmlformats.org/drawingml/2006/main" xmlns:pic="http://schemas.openxmlformats.org/drawingml/2006/picture">
            <wp:extent cx="6035040" cy="4365519"/>
            <wp:docPr id="1" name="Picture 1"/>
            <wp:cNvGraphicFramePr>
              <a:graphicFrameLocks noChangeAspect="1"/>
            </wp:cNvGraphicFramePr>
            <a:graphic>
              <a:graphicData uri="http://schemas.openxmlformats.org/drawingml/2006/picture">
                <pic:pic>
                  <pic:nvPicPr>
                    <pic:cNvPr id="0" name="cambio_ciudad.png"/>
                    <pic:cNvPicPr/>
                  </pic:nvPicPr>
                  <pic:blipFill>
                    <a:blip r:embed="rId9"/>
                    <a:stretch>
                      <a:fillRect/>
                    </a:stretch>
                  </pic:blipFill>
                  <pic:spPr>
                    <a:xfrm>
                      <a:off x="0" y="0"/>
                      <a:ext cx="6035040" cy="4365519"/>
                    </a:xfrm>
                    <a:prstGeom prst="rect"/>
                  </pic:spPr>
                </pic:pic>
              </a:graphicData>
            </a:graphic>
          </wp:inline>
        </w:drawing>
      </w:r>
    </w:p>
    <w:p>
      <w:pPr>
        <w:jc w:val="center"/>
      </w:pPr>
      <w:r>
        <w:rPr>
          <w:i/>
          <w:sz w:val="18"/>
        </w:rPr>
        <w:t>Figura 1. Cambio 2025–2023 en percepción de inseguridad para Quito. Valores negativos indican mejora.</w:t>
      </w:r>
    </w:p>
    <w:p>
      <w:r>
        <w:br w:type="page"/>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456"/>
            <w:vAlign w:val="center"/>
            <w:shd w:fill="D9EAF7"/>
          </w:tcPr>
          <w:p>
            <w:r/>
            <w:r>
              <w:rPr>
                <w:rFonts w:ascii="Aptos" w:hAnsi="Aptos"/>
                <w:b/>
                <w:sz w:val="18"/>
              </w:rPr>
              <w:t>Índice</w:t>
            </w:r>
          </w:p>
        </w:tc>
        <w:tc>
          <w:tcPr>
            <w:tcW w:type="dxa" w:w="1152"/>
            <w:vAlign w:val="center"/>
            <w:shd w:fill="D9EAF7"/>
          </w:tcPr>
          <w:p>
            <w:r/>
            <w:r>
              <w:rPr>
                <w:rFonts w:ascii="Aptos" w:hAnsi="Aptos"/>
                <w:b/>
                <w:sz w:val="18"/>
              </w:rPr>
              <w:t>2023</w:t>
            </w:r>
          </w:p>
        </w:tc>
        <w:tc>
          <w:tcPr>
            <w:tcW w:type="dxa" w:w="1152"/>
            <w:vAlign w:val="center"/>
            <w:shd w:fill="D9EAF7"/>
          </w:tcPr>
          <w:p>
            <w:r/>
            <w:r>
              <w:rPr>
                <w:rFonts w:ascii="Aptos" w:hAnsi="Aptos"/>
                <w:b/>
                <w:sz w:val="18"/>
              </w:rPr>
              <w:t>2025</w:t>
            </w:r>
          </w:p>
        </w:tc>
        <w:tc>
          <w:tcPr>
            <w:tcW w:type="dxa" w:w="1296"/>
            <w:vAlign w:val="center"/>
            <w:shd w:fill="D9EAF7"/>
          </w:tcPr>
          <w:p>
            <w:r/>
            <w:r>
              <w:rPr>
                <w:rFonts w:ascii="Aptos" w:hAnsi="Aptos"/>
                <w:b/>
                <w:sz w:val="18"/>
              </w:rPr>
              <w:t>Cambio</w:t>
            </w:r>
          </w:p>
        </w:tc>
      </w:tr>
      <w:tr>
        <w:trPr>
          <w:cantSplit/>
        </w:trPr>
        <w:tc>
          <w:tcPr>
            <w:tcW w:type="dxa" w:w="3456"/>
            <w:vAlign w:val="center"/>
          </w:tcPr>
          <w:p>
            <w:r/>
            <w:r>
              <w:rPr>
                <w:rFonts w:ascii="Aptos" w:hAnsi="Aptos"/>
                <w:b w:val="0"/>
                <w:sz w:val="18"/>
              </w:rPr>
              <w:t>General</w:t>
            </w:r>
          </w:p>
        </w:tc>
        <w:tc>
          <w:tcPr>
            <w:tcW w:type="dxa" w:w="1152"/>
            <w:vAlign w:val="center"/>
          </w:tcPr>
          <w:p>
            <w:r/>
            <w:r>
              <w:rPr>
                <w:rFonts w:ascii="Aptos" w:hAnsi="Aptos"/>
                <w:b w:val="0"/>
                <w:sz w:val="18"/>
              </w:rPr>
              <w:t>66.9%</w:t>
            </w:r>
          </w:p>
        </w:tc>
        <w:tc>
          <w:tcPr>
            <w:tcW w:type="dxa" w:w="1152"/>
            <w:vAlign w:val="center"/>
          </w:tcPr>
          <w:p>
            <w:r/>
            <w:r>
              <w:rPr>
                <w:rFonts w:ascii="Aptos" w:hAnsi="Aptos"/>
                <w:b w:val="0"/>
                <w:sz w:val="18"/>
              </w:rPr>
              <w:t>61.7%</w:t>
            </w:r>
          </w:p>
        </w:tc>
        <w:tc>
          <w:tcPr>
            <w:tcW w:type="dxa" w:w="1296"/>
            <w:vAlign w:val="center"/>
          </w:tcPr>
          <w:p>
            <w:r/>
            <w:r>
              <w:rPr>
                <w:rFonts w:ascii="Aptos" w:hAnsi="Aptos"/>
                <w:b w:val="0"/>
                <w:sz w:val="18"/>
              </w:rPr>
              <w:t>-5.1 pp</w:t>
            </w:r>
          </w:p>
        </w:tc>
      </w:tr>
      <w:tr>
        <w:trPr>
          <w:cantSplit/>
        </w:trPr>
        <w:tc>
          <w:tcPr>
            <w:tcW w:type="dxa" w:w="3456"/>
            <w:vAlign w:val="center"/>
          </w:tcPr>
          <w:p>
            <w:r/>
            <w:r>
              <w:rPr>
                <w:rFonts w:ascii="Aptos" w:hAnsi="Aptos"/>
                <w:b w:val="0"/>
                <w:sz w:val="18"/>
              </w:rPr>
              <w:t>Barrial</w:t>
            </w:r>
          </w:p>
        </w:tc>
        <w:tc>
          <w:tcPr>
            <w:tcW w:type="dxa" w:w="1152"/>
            <w:vAlign w:val="center"/>
          </w:tcPr>
          <w:p>
            <w:r/>
            <w:r>
              <w:rPr>
                <w:rFonts w:ascii="Aptos" w:hAnsi="Aptos"/>
                <w:b w:val="0"/>
                <w:sz w:val="18"/>
              </w:rPr>
              <w:t>62.8%</w:t>
            </w:r>
          </w:p>
        </w:tc>
        <w:tc>
          <w:tcPr>
            <w:tcW w:type="dxa" w:w="1152"/>
            <w:vAlign w:val="center"/>
          </w:tcPr>
          <w:p>
            <w:r/>
            <w:r>
              <w:rPr>
                <w:rFonts w:ascii="Aptos" w:hAnsi="Aptos"/>
                <w:b w:val="0"/>
                <w:sz w:val="18"/>
              </w:rPr>
              <w:t>62.6%</w:t>
            </w:r>
          </w:p>
        </w:tc>
        <w:tc>
          <w:tcPr>
            <w:tcW w:type="dxa" w:w="1296"/>
            <w:vAlign w:val="center"/>
          </w:tcPr>
          <w:p>
            <w:r/>
            <w:r>
              <w:rPr>
                <w:rFonts w:ascii="Aptos" w:hAnsi="Aptos"/>
                <w:b w:val="0"/>
                <w:sz w:val="18"/>
              </w:rPr>
              <w:t>-0.2 pp</w:t>
            </w:r>
          </w:p>
        </w:tc>
      </w:tr>
      <w:tr>
        <w:trPr>
          <w:cantSplit/>
        </w:trPr>
        <w:tc>
          <w:tcPr>
            <w:tcW w:type="dxa" w:w="3456"/>
            <w:vAlign w:val="center"/>
          </w:tcPr>
          <w:p>
            <w:r/>
            <w:r>
              <w:rPr>
                <w:rFonts w:ascii="Aptos" w:hAnsi="Aptos"/>
                <w:b w:val="0"/>
                <w:sz w:val="18"/>
              </w:rPr>
              <w:t>Espacios/transporte</w:t>
            </w:r>
          </w:p>
        </w:tc>
        <w:tc>
          <w:tcPr>
            <w:tcW w:type="dxa" w:w="1152"/>
            <w:vAlign w:val="center"/>
          </w:tcPr>
          <w:p>
            <w:r/>
            <w:r>
              <w:rPr>
                <w:rFonts w:ascii="Aptos" w:hAnsi="Aptos"/>
                <w:b w:val="0"/>
                <w:sz w:val="18"/>
              </w:rPr>
              <w:t>68.9%</w:t>
            </w:r>
          </w:p>
        </w:tc>
        <w:tc>
          <w:tcPr>
            <w:tcW w:type="dxa" w:w="1152"/>
            <w:vAlign w:val="center"/>
          </w:tcPr>
          <w:p>
            <w:r/>
            <w:r>
              <w:rPr>
                <w:rFonts w:ascii="Aptos" w:hAnsi="Aptos"/>
                <w:b w:val="0"/>
                <w:sz w:val="18"/>
              </w:rPr>
              <w:t>60.9%</w:t>
            </w:r>
          </w:p>
        </w:tc>
        <w:tc>
          <w:tcPr>
            <w:tcW w:type="dxa" w:w="1296"/>
            <w:vAlign w:val="center"/>
          </w:tcPr>
          <w:p>
            <w:r/>
            <w:r>
              <w:rPr>
                <w:rFonts w:ascii="Aptos" w:hAnsi="Aptos"/>
                <w:b w:val="0"/>
                <w:sz w:val="18"/>
              </w:rPr>
              <w:t>-8.0 pp</w:t>
            </w:r>
          </w:p>
        </w:tc>
      </w:tr>
    </w:tbl>
    <w:p/>
    <w:p>
      <w:pPr>
        <w:pStyle w:val="Heading1"/>
      </w:pPr>
      <w:r>
        <w:t>4. DiD del índice general por Administración Zonal</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cantSplit/>
        </w:trPr>
        <w:tc>
          <w:tcPr>
            <w:tcW w:type="dxa" w:w="1872"/>
            <w:vAlign w:val="center"/>
            <w:shd w:fill="D9EAF7"/>
          </w:tcPr>
          <w:p>
            <w:r/>
            <w:r>
              <w:rPr>
                <w:rFonts w:ascii="Aptos" w:hAnsi="Aptos"/>
                <w:b/>
                <w:sz w:val="14"/>
              </w:rPr>
              <w:t>Zona</w:t>
            </w:r>
          </w:p>
        </w:tc>
        <w:tc>
          <w:tcPr>
            <w:tcW w:type="dxa" w:w="792"/>
            <w:vAlign w:val="center"/>
            <w:shd w:fill="D9EAF7"/>
          </w:tcPr>
          <w:p>
            <w:r/>
            <w:r>
              <w:rPr>
                <w:rFonts w:ascii="Aptos" w:hAnsi="Aptos"/>
                <w:b/>
                <w:sz w:val="14"/>
              </w:rPr>
              <w:t>2023</w:t>
            </w:r>
          </w:p>
        </w:tc>
        <w:tc>
          <w:tcPr>
            <w:tcW w:type="dxa" w:w="792"/>
            <w:vAlign w:val="center"/>
            <w:shd w:fill="D9EAF7"/>
          </w:tcPr>
          <w:p>
            <w:r/>
            <w:r>
              <w:rPr>
                <w:rFonts w:ascii="Aptos" w:hAnsi="Aptos"/>
                <w:b/>
                <w:sz w:val="14"/>
              </w:rPr>
              <w:t>2025</w:t>
            </w:r>
          </w:p>
        </w:tc>
        <w:tc>
          <w:tcPr>
            <w:tcW w:type="dxa" w:w="893"/>
            <w:vAlign w:val="center"/>
            <w:shd w:fill="D9EAF7"/>
          </w:tcPr>
          <w:p>
            <w:r/>
            <w:r>
              <w:rPr>
                <w:rFonts w:ascii="Aptos" w:hAnsi="Aptos"/>
                <w:b/>
                <w:sz w:val="14"/>
              </w:rPr>
              <w:t>Δ zona</w:t>
            </w:r>
          </w:p>
        </w:tc>
        <w:tc>
          <w:tcPr>
            <w:tcW w:type="dxa" w:w="893"/>
            <w:vAlign w:val="center"/>
            <w:shd w:fill="D9EAF7"/>
          </w:tcPr>
          <w:p>
            <w:r/>
            <w:r>
              <w:rPr>
                <w:rFonts w:ascii="Aptos" w:hAnsi="Aptos"/>
                <w:b/>
                <w:sz w:val="14"/>
              </w:rPr>
              <w:t>Δ resto</w:t>
            </w:r>
          </w:p>
        </w:tc>
        <w:tc>
          <w:tcPr>
            <w:tcW w:type="dxa" w:w="893"/>
            <w:vAlign w:val="center"/>
            <w:shd w:fill="D9EAF7"/>
          </w:tcPr>
          <w:p>
            <w:r/>
            <w:r>
              <w:rPr>
                <w:rFonts w:ascii="Aptos" w:hAnsi="Aptos"/>
                <w:b/>
                <w:sz w:val="14"/>
              </w:rPr>
              <w:t>DiD</w:t>
            </w:r>
          </w:p>
        </w:tc>
        <w:tc>
          <w:tcPr>
            <w:tcW w:type="dxa" w:w="1584"/>
            <w:vAlign w:val="center"/>
            <w:shd w:fill="D9EAF7"/>
          </w:tcPr>
          <w:p>
            <w:r/>
            <w:r>
              <w:rPr>
                <w:rFonts w:ascii="Aptos" w:hAnsi="Aptos"/>
                <w:b/>
                <w:sz w:val="14"/>
              </w:rPr>
              <w:t>IC 95%</w:t>
            </w:r>
          </w:p>
        </w:tc>
        <w:tc>
          <w:tcPr>
            <w:tcW w:type="dxa" w:w="936"/>
            <w:vAlign w:val="center"/>
            <w:shd w:fill="D9EAF7"/>
          </w:tcPr>
          <w:p>
            <w:r/>
            <w:r>
              <w:rPr>
                <w:rFonts w:ascii="Aptos" w:hAnsi="Aptos"/>
                <w:b/>
                <w:sz w:val="14"/>
              </w:rPr>
              <w:t>q FDR</w:t>
            </w:r>
          </w:p>
        </w:tc>
      </w:tr>
      <w:tr>
        <w:trPr>
          <w:cantSplit/>
        </w:trPr>
        <w:tc>
          <w:tcPr>
            <w:tcW w:type="dxa" w:w="1872"/>
            <w:vAlign w:val="center"/>
          </w:tcPr>
          <w:p>
            <w:r/>
            <w:r>
              <w:rPr>
                <w:rFonts w:ascii="Aptos" w:hAnsi="Aptos"/>
                <w:b w:val="0"/>
                <w:sz w:val="14"/>
              </w:rPr>
              <w:t>La Mariscal</w:t>
            </w:r>
          </w:p>
        </w:tc>
        <w:tc>
          <w:tcPr>
            <w:tcW w:type="dxa" w:w="792"/>
            <w:vAlign w:val="center"/>
          </w:tcPr>
          <w:p>
            <w:r/>
            <w:r>
              <w:rPr>
                <w:rFonts w:ascii="Aptos" w:hAnsi="Aptos"/>
                <w:b w:val="0"/>
                <w:sz w:val="14"/>
              </w:rPr>
              <w:t>68.6</w:t>
            </w:r>
          </w:p>
        </w:tc>
        <w:tc>
          <w:tcPr>
            <w:tcW w:type="dxa" w:w="792"/>
            <w:vAlign w:val="center"/>
          </w:tcPr>
          <w:p>
            <w:r/>
            <w:r>
              <w:rPr>
                <w:rFonts w:ascii="Aptos" w:hAnsi="Aptos"/>
                <w:b w:val="0"/>
                <w:sz w:val="14"/>
              </w:rPr>
              <w:t>56.2</w:t>
            </w:r>
          </w:p>
        </w:tc>
        <w:tc>
          <w:tcPr>
            <w:tcW w:type="dxa" w:w="893"/>
            <w:vAlign w:val="center"/>
          </w:tcPr>
          <w:p>
            <w:r/>
            <w:r>
              <w:rPr>
                <w:rFonts w:ascii="Aptos" w:hAnsi="Aptos"/>
                <w:b w:val="0"/>
                <w:sz w:val="14"/>
              </w:rPr>
              <w:t>-12.4</w:t>
            </w:r>
          </w:p>
        </w:tc>
        <w:tc>
          <w:tcPr>
            <w:tcW w:type="dxa" w:w="893"/>
            <w:vAlign w:val="center"/>
          </w:tcPr>
          <w:p>
            <w:r/>
            <w:r>
              <w:rPr>
                <w:rFonts w:ascii="Aptos" w:hAnsi="Aptos"/>
                <w:b w:val="0"/>
                <w:sz w:val="14"/>
              </w:rPr>
              <w:t>-4.9</w:t>
            </w:r>
          </w:p>
        </w:tc>
        <w:tc>
          <w:tcPr>
            <w:tcW w:type="dxa" w:w="893"/>
            <w:vAlign w:val="center"/>
          </w:tcPr>
          <w:p>
            <w:r/>
            <w:r>
              <w:rPr>
                <w:rFonts w:ascii="Aptos" w:hAnsi="Aptos"/>
                <w:b w:val="0"/>
                <w:sz w:val="14"/>
              </w:rPr>
              <w:t>-7.5</w:t>
            </w:r>
          </w:p>
        </w:tc>
        <w:tc>
          <w:tcPr>
            <w:tcW w:type="dxa" w:w="1584"/>
            <w:vAlign w:val="center"/>
          </w:tcPr>
          <w:p>
            <w:r/>
            <w:r>
              <w:rPr>
                <w:rFonts w:ascii="Aptos" w:hAnsi="Aptos"/>
                <w:b w:val="0"/>
                <w:sz w:val="14"/>
              </w:rPr>
              <w:t>[-12.8, -2.2]</w:t>
            </w:r>
          </w:p>
        </w:tc>
        <w:tc>
          <w:tcPr>
            <w:tcW w:type="dxa" w:w="936"/>
            <w:vAlign w:val="center"/>
          </w:tcPr>
          <w:p>
            <w:r/>
            <w:r>
              <w:rPr>
                <w:rFonts w:ascii="Aptos" w:hAnsi="Aptos"/>
                <w:b w:val="0"/>
                <w:sz w:val="14"/>
              </w:rPr>
              <w:t>0.018</w:t>
            </w:r>
          </w:p>
        </w:tc>
      </w:tr>
      <w:tr>
        <w:trPr>
          <w:cantSplit/>
        </w:trPr>
        <w:tc>
          <w:tcPr>
            <w:tcW w:type="dxa" w:w="1872"/>
            <w:vAlign w:val="center"/>
          </w:tcPr>
          <w:p>
            <w:r/>
            <w:r>
              <w:rPr>
                <w:rFonts w:ascii="Aptos" w:hAnsi="Aptos"/>
                <w:b w:val="0"/>
                <w:sz w:val="14"/>
              </w:rPr>
              <w:t>Calderón</w:t>
            </w:r>
          </w:p>
        </w:tc>
        <w:tc>
          <w:tcPr>
            <w:tcW w:type="dxa" w:w="792"/>
            <w:vAlign w:val="center"/>
          </w:tcPr>
          <w:p>
            <w:r/>
            <w:r>
              <w:rPr>
                <w:rFonts w:ascii="Aptos" w:hAnsi="Aptos"/>
                <w:b w:val="0"/>
                <w:sz w:val="14"/>
              </w:rPr>
              <w:t>74.5</w:t>
            </w:r>
          </w:p>
        </w:tc>
        <w:tc>
          <w:tcPr>
            <w:tcW w:type="dxa" w:w="792"/>
            <w:vAlign w:val="center"/>
          </w:tcPr>
          <w:p>
            <w:r/>
            <w:r>
              <w:rPr>
                <w:rFonts w:ascii="Aptos" w:hAnsi="Aptos"/>
                <w:b w:val="0"/>
                <w:sz w:val="14"/>
              </w:rPr>
              <w:t>65.7</w:t>
            </w:r>
          </w:p>
        </w:tc>
        <w:tc>
          <w:tcPr>
            <w:tcW w:type="dxa" w:w="893"/>
            <w:vAlign w:val="center"/>
          </w:tcPr>
          <w:p>
            <w:r/>
            <w:r>
              <w:rPr>
                <w:rFonts w:ascii="Aptos" w:hAnsi="Aptos"/>
                <w:b w:val="0"/>
                <w:sz w:val="14"/>
              </w:rPr>
              <w:t>-8.8</w:t>
            </w:r>
          </w:p>
        </w:tc>
        <w:tc>
          <w:tcPr>
            <w:tcW w:type="dxa" w:w="893"/>
            <w:vAlign w:val="center"/>
          </w:tcPr>
          <w:p>
            <w:r/>
            <w:r>
              <w:rPr>
                <w:rFonts w:ascii="Aptos" w:hAnsi="Aptos"/>
                <w:b w:val="0"/>
                <w:sz w:val="14"/>
              </w:rPr>
              <w:t>-4.4</w:t>
            </w:r>
          </w:p>
        </w:tc>
        <w:tc>
          <w:tcPr>
            <w:tcW w:type="dxa" w:w="893"/>
            <w:vAlign w:val="center"/>
          </w:tcPr>
          <w:p>
            <w:r/>
            <w:r>
              <w:rPr>
                <w:rFonts w:ascii="Aptos" w:hAnsi="Aptos"/>
                <w:b w:val="0"/>
                <w:sz w:val="14"/>
              </w:rPr>
              <w:t>-4.5</w:t>
            </w:r>
          </w:p>
        </w:tc>
        <w:tc>
          <w:tcPr>
            <w:tcW w:type="dxa" w:w="1584"/>
            <w:vAlign w:val="center"/>
          </w:tcPr>
          <w:p>
            <w:r/>
            <w:r>
              <w:rPr>
                <w:rFonts w:ascii="Aptos" w:hAnsi="Aptos"/>
                <w:b w:val="0"/>
                <w:sz w:val="14"/>
              </w:rPr>
              <w:t>[-8.4, -0.5]</w:t>
            </w:r>
          </w:p>
        </w:tc>
        <w:tc>
          <w:tcPr>
            <w:tcW w:type="dxa" w:w="936"/>
            <w:vAlign w:val="center"/>
          </w:tcPr>
          <w:p>
            <w:r/>
            <w:r>
              <w:rPr>
                <w:rFonts w:ascii="Aptos" w:hAnsi="Aptos"/>
                <w:b w:val="0"/>
                <w:sz w:val="14"/>
              </w:rPr>
              <w:t>0.068</w:t>
            </w:r>
          </w:p>
        </w:tc>
      </w:tr>
      <w:tr>
        <w:trPr>
          <w:cantSplit/>
        </w:trPr>
        <w:tc>
          <w:tcPr>
            <w:tcW w:type="dxa" w:w="1872"/>
            <w:vAlign w:val="center"/>
          </w:tcPr>
          <w:p>
            <w:r/>
            <w:r>
              <w:rPr>
                <w:rFonts w:ascii="Aptos" w:hAnsi="Aptos"/>
                <w:b w:val="0"/>
                <w:sz w:val="14"/>
              </w:rPr>
              <w:t>Eloy Alfaro</w:t>
            </w:r>
          </w:p>
        </w:tc>
        <w:tc>
          <w:tcPr>
            <w:tcW w:type="dxa" w:w="792"/>
            <w:vAlign w:val="center"/>
          </w:tcPr>
          <w:p>
            <w:r/>
            <w:r>
              <w:rPr>
                <w:rFonts w:ascii="Aptos" w:hAnsi="Aptos"/>
                <w:b w:val="0"/>
                <w:sz w:val="14"/>
              </w:rPr>
              <w:t>70.9</w:t>
            </w:r>
          </w:p>
        </w:tc>
        <w:tc>
          <w:tcPr>
            <w:tcW w:type="dxa" w:w="792"/>
            <w:vAlign w:val="center"/>
          </w:tcPr>
          <w:p>
            <w:r/>
            <w:r>
              <w:rPr>
                <w:rFonts w:ascii="Aptos" w:hAnsi="Aptos"/>
                <w:b w:val="0"/>
                <w:sz w:val="14"/>
              </w:rPr>
              <w:t>63.5</w:t>
            </w:r>
          </w:p>
        </w:tc>
        <w:tc>
          <w:tcPr>
            <w:tcW w:type="dxa" w:w="893"/>
            <w:vAlign w:val="center"/>
          </w:tcPr>
          <w:p>
            <w:r/>
            <w:r>
              <w:rPr>
                <w:rFonts w:ascii="Aptos" w:hAnsi="Aptos"/>
                <w:b w:val="0"/>
                <w:sz w:val="14"/>
              </w:rPr>
              <w:t>-7.5</w:t>
            </w:r>
          </w:p>
        </w:tc>
        <w:tc>
          <w:tcPr>
            <w:tcW w:type="dxa" w:w="893"/>
            <w:vAlign w:val="center"/>
          </w:tcPr>
          <w:p>
            <w:r/>
            <w:r>
              <w:rPr>
                <w:rFonts w:ascii="Aptos" w:hAnsi="Aptos"/>
                <w:b w:val="0"/>
                <w:sz w:val="14"/>
              </w:rPr>
              <w:t>-4.9</w:t>
            </w:r>
          </w:p>
        </w:tc>
        <w:tc>
          <w:tcPr>
            <w:tcW w:type="dxa" w:w="893"/>
            <w:vAlign w:val="center"/>
          </w:tcPr>
          <w:p>
            <w:r/>
            <w:r>
              <w:rPr>
                <w:rFonts w:ascii="Aptos" w:hAnsi="Aptos"/>
                <w:b w:val="0"/>
                <w:sz w:val="14"/>
              </w:rPr>
              <w:t>-2.6</w:t>
            </w:r>
          </w:p>
        </w:tc>
        <w:tc>
          <w:tcPr>
            <w:tcW w:type="dxa" w:w="1584"/>
            <w:vAlign w:val="center"/>
          </w:tcPr>
          <w:p>
            <w:r/>
            <w:r>
              <w:rPr>
                <w:rFonts w:ascii="Aptos" w:hAnsi="Aptos"/>
                <w:b w:val="0"/>
                <w:sz w:val="14"/>
              </w:rPr>
              <w:t>[-6.7, +1.6]</w:t>
            </w:r>
          </w:p>
        </w:tc>
        <w:tc>
          <w:tcPr>
            <w:tcW w:type="dxa" w:w="936"/>
            <w:vAlign w:val="center"/>
          </w:tcPr>
          <w:p>
            <w:r/>
            <w:r>
              <w:rPr>
                <w:rFonts w:ascii="Aptos" w:hAnsi="Aptos"/>
                <w:b w:val="0"/>
                <w:sz w:val="14"/>
              </w:rPr>
              <w:t>0.430</w:t>
            </w:r>
          </w:p>
        </w:tc>
      </w:tr>
      <w:tr>
        <w:trPr>
          <w:cantSplit/>
        </w:trPr>
        <w:tc>
          <w:tcPr>
            <w:tcW w:type="dxa" w:w="1872"/>
            <w:vAlign w:val="center"/>
          </w:tcPr>
          <w:p>
            <w:r/>
            <w:r>
              <w:rPr>
                <w:rFonts w:ascii="Aptos" w:hAnsi="Aptos"/>
                <w:b w:val="0"/>
                <w:sz w:val="14"/>
              </w:rPr>
              <w:t>Eugenio Espejo</w:t>
            </w:r>
          </w:p>
        </w:tc>
        <w:tc>
          <w:tcPr>
            <w:tcW w:type="dxa" w:w="792"/>
            <w:vAlign w:val="center"/>
          </w:tcPr>
          <w:p>
            <w:r/>
            <w:r>
              <w:rPr>
                <w:rFonts w:ascii="Aptos" w:hAnsi="Aptos"/>
                <w:b w:val="0"/>
                <w:sz w:val="14"/>
              </w:rPr>
              <w:t>60.4</w:t>
            </w:r>
          </w:p>
        </w:tc>
        <w:tc>
          <w:tcPr>
            <w:tcW w:type="dxa" w:w="792"/>
            <w:vAlign w:val="center"/>
          </w:tcPr>
          <w:p>
            <w:r/>
            <w:r>
              <w:rPr>
                <w:rFonts w:ascii="Aptos" w:hAnsi="Aptos"/>
                <w:b w:val="0"/>
                <w:sz w:val="14"/>
              </w:rPr>
              <w:t>53.4</w:t>
            </w:r>
          </w:p>
        </w:tc>
        <w:tc>
          <w:tcPr>
            <w:tcW w:type="dxa" w:w="893"/>
            <w:vAlign w:val="center"/>
          </w:tcPr>
          <w:p>
            <w:r/>
            <w:r>
              <w:rPr>
                <w:rFonts w:ascii="Aptos" w:hAnsi="Aptos"/>
                <w:b w:val="0"/>
                <w:sz w:val="14"/>
              </w:rPr>
              <w:t>-6.9</w:t>
            </w:r>
          </w:p>
        </w:tc>
        <w:tc>
          <w:tcPr>
            <w:tcW w:type="dxa" w:w="893"/>
            <w:vAlign w:val="center"/>
          </w:tcPr>
          <w:p>
            <w:r/>
            <w:r>
              <w:rPr>
                <w:rFonts w:ascii="Aptos" w:hAnsi="Aptos"/>
                <w:b w:val="0"/>
                <w:sz w:val="14"/>
              </w:rPr>
              <w:t>-4.4</w:t>
            </w:r>
          </w:p>
        </w:tc>
        <w:tc>
          <w:tcPr>
            <w:tcW w:type="dxa" w:w="893"/>
            <w:vAlign w:val="center"/>
          </w:tcPr>
          <w:p>
            <w:r/>
            <w:r>
              <w:rPr>
                <w:rFonts w:ascii="Aptos" w:hAnsi="Aptos"/>
                <w:b w:val="0"/>
                <w:sz w:val="14"/>
              </w:rPr>
              <w:t>-2.5</w:t>
            </w:r>
          </w:p>
        </w:tc>
        <w:tc>
          <w:tcPr>
            <w:tcW w:type="dxa" w:w="1584"/>
            <w:vAlign w:val="center"/>
          </w:tcPr>
          <w:p>
            <w:r/>
            <w:r>
              <w:rPr>
                <w:rFonts w:ascii="Aptos" w:hAnsi="Aptos"/>
                <w:b w:val="0"/>
                <w:sz w:val="14"/>
              </w:rPr>
              <w:t>[-7.6, +2.6]</w:t>
            </w:r>
          </w:p>
        </w:tc>
        <w:tc>
          <w:tcPr>
            <w:tcW w:type="dxa" w:w="936"/>
            <w:vAlign w:val="center"/>
          </w:tcPr>
          <w:p>
            <w:r/>
            <w:r>
              <w:rPr>
                <w:rFonts w:ascii="Aptos" w:hAnsi="Aptos"/>
                <w:b w:val="0"/>
                <w:sz w:val="14"/>
              </w:rPr>
              <w:t>0.472</w:t>
            </w:r>
          </w:p>
        </w:tc>
      </w:tr>
      <w:tr>
        <w:trPr>
          <w:cantSplit/>
        </w:trPr>
        <w:tc>
          <w:tcPr>
            <w:tcW w:type="dxa" w:w="1872"/>
            <w:vAlign w:val="center"/>
          </w:tcPr>
          <w:p>
            <w:r/>
            <w:r>
              <w:rPr>
                <w:rFonts w:ascii="Aptos" w:hAnsi="Aptos"/>
                <w:b w:val="0"/>
                <w:sz w:val="14"/>
              </w:rPr>
              <w:t>La Delicia</w:t>
            </w:r>
          </w:p>
        </w:tc>
        <w:tc>
          <w:tcPr>
            <w:tcW w:type="dxa" w:w="792"/>
            <w:vAlign w:val="center"/>
          </w:tcPr>
          <w:p>
            <w:r/>
            <w:r>
              <w:rPr>
                <w:rFonts w:ascii="Aptos" w:hAnsi="Aptos"/>
                <w:b w:val="0"/>
                <w:sz w:val="14"/>
              </w:rPr>
              <w:t>67.6</w:t>
            </w:r>
          </w:p>
        </w:tc>
        <w:tc>
          <w:tcPr>
            <w:tcW w:type="dxa" w:w="792"/>
            <w:vAlign w:val="center"/>
          </w:tcPr>
          <w:p>
            <w:r/>
            <w:r>
              <w:rPr>
                <w:rFonts w:ascii="Aptos" w:hAnsi="Aptos"/>
                <w:b w:val="0"/>
                <w:sz w:val="14"/>
              </w:rPr>
              <w:t>60.4</w:t>
            </w:r>
          </w:p>
        </w:tc>
        <w:tc>
          <w:tcPr>
            <w:tcW w:type="dxa" w:w="893"/>
            <w:vAlign w:val="center"/>
          </w:tcPr>
          <w:p>
            <w:r/>
            <w:r>
              <w:rPr>
                <w:rFonts w:ascii="Aptos" w:hAnsi="Aptos"/>
                <w:b w:val="0"/>
                <w:sz w:val="14"/>
              </w:rPr>
              <w:t>-7.2</w:t>
            </w:r>
          </w:p>
        </w:tc>
        <w:tc>
          <w:tcPr>
            <w:tcW w:type="dxa" w:w="893"/>
            <w:vAlign w:val="center"/>
          </w:tcPr>
          <w:p>
            <w:r/>
            <w:r>
              <w:rPr>
                <w:rFonts w:ascii="Aptos" w:hAnsi="Aptos"/>
                <w:b w:val="0"/>
                <w:sz w:val="14"/>
              </w:rPr>
              <w:t>-4.8</w:t>
            </w:r>
          </w:p>
        </w:tc>
        <w:tc>
          <w:tcPr>
            <w:tcW w:type="dxa" w:w="893"/>
            <w:vAlign w:val="center"/>
          </w:tcPr>
          <w:p>
            <w:r/>
            <w:r>
              <w:rPr>
                <w:rFonts w:ascii="Aptos" w:hAnsi="Aptos"/>
                <w:b w:val="0"/>
                <w:sz w:val="14"/>
              </w:rPr>
              <w:t>-2.4</w:t>
            </w:r>
          </w:p>
        </w:tc>
        <w:tc>
          <w:tcPr>
            <w:tcW w:type="dxa" w:w="1584"/>
            <w:vAlign w:val="center"/>
          </w:tcPr>
          <w:p>
            <w:r/>
            <w:r>
              <w:rPr>
                <w:rFonts w:ascii="Aptos" w:hAnsi="Aptos"/>
                <w:b w:val="0"/>
                <w:sz w:val="14"/>
              </w:rPr>
              <w:t>[-6.7, +1.8]</w:t>
            </w:r>
          </w:p>
        </w:tc>
        <w:tc>
          <w:tcPr>
            <w:tcW w:type="dxa" w:w="936"/>
            <w:vAlign w:val="center"/>
          </w:tcPr>
          <w:p>
            <w:r/>
            <w:r>
              <w:rPr>
                <w:rFonts w:ascii="Aptos" w:hAnsi="Aptos"/>
                <w:b w:val="0"/>
                <w:sz w:val="14"/>
              </w:rPr>
              <w:t>0.430</w:t>
            </w:r>
          </w:p>
        </w:tc>
      </w:tr>
      <w:tr>
        <w:trPr>
          <w:cantSplit/>
        </w:trPr>
        <w:tc>
          <w:tcPr>
            <w:tcW w:type="dxa" w:w="1872"/>
            <w:vAlign w:val="center"/>
          </w:tcPr>
          <w:p>
            <w:r/>
            <w:r>
              <w:rPr>
                <w:rFonts w:ascii="Aptos" w:hAnsi="Aptos"/>
                <w:b w:val="0"/>
                <w:sz w:val="14"/>
              </w:rPr>
              <w:t>Quitumbe</w:t>
            </w:r>
          </w:p>
        </w:tc>
        <w:tc>
          <w:tcPr>
            <w:tcW w:type="dxa" w:w="792"/>
            <w:vAlign w:val="center"/>
          </w:tcPr>
          <w:p>
            <w:r/>
            <w:r>
              <w:rPr>
                <w:rFonts w:ascii="Aptos" w:hAnsi="Aptos"/>
                <w:b w:val="0"/>
                <w:sz w:val="14"/>
              </w:rPr>
              <w:t>72.8</w:t>
            </w:r>
          </w:p>
        </w:tc>
        <w:tc>
          <w:tcPr>
            <w:tcW w:type="dxa" w:w="792"/>
            <w:vAlign w:val="center"/>
          </w:tcPr>
          <w:p>
            <w:r/>
            <w:r>
              <w:rPr>
                <w:rFonts w:ascii="Aptos" w:hAnsi="Aptos"/>
                <w:b w:val="0"/>
                <w:sz w:val="14"/>
              </w:rPr>
              <w:t>66.0</w:t>
            </w:r>
          </w:p>
        </w:tc>
        <w:tc>
          <w:tcPr>
            <w:tcW w:type="dxa" w:w="893"/>
            <w:vAlign w:val="center"/>
          </w:tcPr>
          <w:p>
            <w:r/>
            <w:r>
              <w:rPr>
                <w:rFonts w:ascii="Aptos" w:hAnsi="Aptos"/>
                <w:b w:val="0"/>
                <w:sz w:val="14"/>
              </w:rPr>
              <w:t>-6.8</w:t>
            </w:r>
          </w:p>
        </w:tc>
        <w:tc>
          <w:tcPr>
            <w:tcW w:type="dxa" w:w="893"/>
            <w:vAlign w:val="center"/>
          </w:tcPr>
          <w:p>
            <w:r/>
            <w:r>
              <w:rPr>
                <w:rFonts w:ascii="Aptos" w:hAnsi="Aptos"/>
                <w:b w:val="0"/>
                <w:sz w:val="14"/>
              </w:rPr>
              <w:t>-5.0</w:t>
            </w:r>
          </w:p>
        </w:tc>
        <w:tc>
          <w:tcPr>
            <w:tcW w:type="dxa" w:w="893"/>
            <w:vAlign w:val="center"/>
          </w:tcPr>
          <w:p>
            <w:r/>
            <w:r>
              <w:rPr>
                <w:rFonts w:ascii="Aptos" w:hAnsi="Aptos"/>
                <w:b w:val="0"/>
                <w:sz w:val="14"/>
              </w:rPr>
              <w:t>-1.8</w:t>
            </w:r>
          </w:p>
        </w:tc>
        <w:tc>
          <w:tcPr>
            <w:tcW w:type="dxa" w:w="1584"/>
            <w:vAlign w:val="center"/>
          </w:tcPr>
          <w:p>
            <w:r/>
            <w:r>
              <w:rPr>
                <w:rFonts w:ascii="Aptos" w:hAnsi="Aptos"/>
                <w:b w:val="0"/>
                <w:sz w:val="14"/>
              </w:rPr>
              <w:t>[-6.0, +2.4]</w:t>
            </w:r>
          </w:p>
        </w:tc>
        <w:tc>
          <w:tcPr>
            <w:tcW w:type="dxa" w:w="936"/>
            <w:vAlign w:val="center"/>
          </w:tcPr>
          <w:p>
            <w:r/>
            <w:r>
              <w:rPr>
                <w:rFonts w:ascii="Aptos" w:hAnsi="Aptos"/>
                <w:b w:val="0"/>
                <w:sz w:val="14"/>
              </w:rPr>
              <w:t>0.472</w:t>
            </w:r>
          </w:p>
        </w:tc>
      </w:tr>
      <w:tr>
        <w:trPr>
          <w:cantSplit/>
        </w:trPr>
        <w:tc>
          <w:tcPr>
            <w:tcW w:type="dxa" w:w="1872"/>
            <w:vAlign w:val="center"/>
          </w:tcPr>
          <w:p>
            <w:r/>
            <w:r>
              <w:rPr>
                <w:rFonts w:ascii="Aptos" w:hAnsi="Aptos"/>
                <w:b w:val="0"/>
                <w:sz w:val="14"/>
              </w:rPr>
              <w:t>Manuela Sáenz</w:t>
            </w:r>
          </w:p>
        </w:tc>
        <w:tc>
          <w:tcPr>
            <w:tcW w:type="dxa" w:w="792"/>
            <w:vAlign w:val="center"/>
          </w:tcPr>
          <w:p>
            <w:r/>
            <w:r>
              <w:rPr>
                <w:rFonts w:ascii="Aptos" w:hAnsi="Aptos"/>
                <w:b w:val="0"/>
                <w:sz w:val="14"/>
              </w:rPr>
              <w:t>68.8</w:t>
            </w:r>
          </w:p>
        </w:tc>
        <w:tc>
          <w:tcPr>
            <w:tcW w:type="dxa" w:w="792"/>
            <w:vAlign w:val="center"/>
          </w:tcPr>
          <w:p>
            <w:r/>
            <w:r>
              <w:rPr>
                <w:rFonts w:ascii="Aptos" w:hAnsi="Aptos"/>
                <w:b w:val="0"/>
                <w:sz w:val="14"/>
              </w:rPr>
              <w:t>62.3</w:t>
            </w:r>
          </w:p>
        </w:tc>
        <w:tc>
          <w:tcPr>
            <w:tcW w:type="dxa" w:w="893"/>
            <w:vAlign w:val="center"/>
          </w:tcPr>
          <w:p>
            <w:r/>
            <w:r>
              <w:rPr>
                <w:rFonts w:ascii="Aptos" w:hAnsi="Aptos"/>
                <w:b w:val="0"/>
                <w:sz w:val="14"/>
              </w:rPr>
              <w:t>-6.5</w:t>
            </w:r>
          </w:p>
        </w:tc>
        <w:tc>
          <w:tcPr>
            <w:tcW w:type="dxa" w:w="893"/>
            <w:vAlign w:val="center"/>
          </w:tcPr>
          <w:p>
            <w:r/>
            <w:r>
              <w:rPr>
                <w:rFonts w:ascii="Aptos" w:hAnsi="Aptos"/>
                <w:b w:val="0"/>
                <w:sz w:val="14"/>
              </w:rPr>
              <w:t>-5.0</w:t>
            </w:r>
          </w:p>
        </w:tc>
        <w:tc>
          <w:tcPr>
            <w:tcW w:type="dxa" w:w="893"/>
            <w:vAlign w:val="center"/>
          </w:tcPr>
          <w:p>
            <w:r/>
            <w:r>
              <w:rPr>
                <w:rFonts w:ascii="Aptos" w:hAnsi="Aptos"/>
                <w:b w:val="0"/>
                <w:sz w:val="14"/>
              </w:rPr>
              <w:t>-1.5</w:t>
            </w:r>
          </w:p>
        </w:tc>
        <w:tc>
          <w:tcPr>
            <w:tcW w:type="dxa" w:w="1584"/>
            <w:vAlign w:val="center"/>
          </w:tcPr>
          <w:p>
            <w:r/>
            <w:r>
              <w:rPr>
                <w:rFonts w:ascii="Aptos" w:hAnsi="Aptos"/>
                <w:b w:val="0"/>
                <w:sz w:val="14"/>
              </w:rPr>
              <w:t>[-5.3, +2.3]</w:t>
            </w:r>
          </w:p>
        </w:tc>
        <w:tc>
          <w:tcPr>
            <w:tcW w:type="dxa" w:w="936"/>
            <w:vAlign w:val="center"/>
          </w:tcPr>
          <w:p>
            <w:r/>
            <w:r>
              <w:rPr>
                <w:rFonts w:ascii="Aptos" w:hAnsi="Aptos"/>
                <w:b w:val="0"/>
                <w:sz w:val="14"/>
              </w:rPr>
              <w:t>0.472</w:t>
            </w:r>
          </w:p>
        </w:tc>
      </w:tr>
      <w:tr>
        <w:trPr>
          <w:cantSplit/>
        </w:trPr>
        <w:tc>
          <w:tcPr>
            <w:tcW w:type="dxa" w:w="1872"/>
            <w:vAlign w:val="center"/>
          </w:tcPr>
          <w:p>
            <w:r/>
            <w:r>
              <w:rPr>
                <w:rFonts w:ascii="Aptos" w:hAnsi="Aptos"/>
                <w:b w:val="0"/>
                <w:sz w:val="14"/>
              </w:rPr>
              <w:t>Chocó Andino</w:t>
            </w:r>
          </w:p>
        </w:tc>
        <w:tc>
          <w:tcPr>
            <w:tcW w:type="dxa" w:w="792"/>
            <w:vAlign w:val="center"/>
          </w:tcPr>
          <w:p>
            <w:r/>
            <w:r>
              <w:rPr>
                <w:rFonts w:ascii="Aptos" w:hAnsi="Aptos"/>
                <w:b w:val="0"/>
                <w:sz w:val="14"/>
              </w:rPr>
              <w:t>42.4</w:t>
            </w:r>
          </w:p>
        </w:tc>
        <w:tc>
          <w:tcPr>
            <w:tcW w:type="dxa" w:w="792"/>
            <w:vAlign w:val="center"/>
          </w:tcPr>
          <w:p>
            <w:r/>
            <w:r>
              <w:rPr>
                <w:rFonts w:ascii="Aptos" w:hAnsi="Aptos"/>
                <w:b w:val="0"/>
                <w:sz w:val="14"/>
              </w:rPr>
              <w:t>39.3</w:t>
            </w:r>
          </w:p>
        </w:tc>
        <w:tc>
          <w:tcPr>
            <w:tcW w:type="dxa" w:w="893"/>
            <w:vAlign w:val="center"/>
          </w:tcPr>
          <w:p>
            <w:r/>
            <w:r>
              <w:rPr>
                <w:rFonts w:ascii="Aptos" w:hAnsi="Aptos"/>
                <w:b w:val="0"/>
                <w:sz w:val="14"/>
              </w:rPr>
              <w:t>-3.2</w:t>
            </w:r>
          </w:p>
        </w:tc>
        <w:tc>
          <w:tcPr>
            <w:tcW w:type="dxa" w:w="893"/>
            <w:vAlign w:val="center"/>
          </w:tcPr>
          <w:p>
            <w:r/>
            <w:r>
              <w:rPr>
                <w:rFonts w:ascii="Aptos" w:hAnsi="Aptos"/>
                <w:b w:val="0"/>
                <w:sz w:val="14"/>
              </w:rPr>
              <w:t>-5.3</w:t>
            </w:r>
          </w:p>
        </w:tc>
        <w:tc>
          <w:tcPr>
            <w:tcW w:type="dxa" w:w="893"/>
            <w:vAlign w:val="center"/>
          </w:tcPr>
          <w:p>
            <w:r/>
            <w:r>
              <w:rPr>
                <w:rFonts w:ascii="Aptos" w:hAnsi="Aptos"/>
                <w:b w:val="0"/>
                <w:sz w:val="14"/>
              </w:rPr>
              <w:t>+2.2</w:t>
            </w:r>
          </w:p>
        </w:tc>
        <w:tc>
          <w:tcPr>
            <w:tcW w:type="dxa" w:w="1584"/>
            <w:vAlign w:val="center"/>
          </w:tcPr>
          <w:p>
            <w:r/>
            <w:r>
              <w:rPr>
                <w:rFonts w:ascii="Aptos" w:hAnsi="Aptos"/>
                <w:b w:val="0"/>
                <w:sz w:val="14"/>
              </w:rPr>
              <w:t>[-5.5, +9.8]</w:t>
            </w:r>
          </w:p>
        </w:tc>
        <w:tc>
          <w:tcPr>
            <w:tcW w:type="dxa" w:w="936"/>
            <w:vAlign w:val="center"/>
          </w:tcPr>
          <w:p>
            <w:r/>
            <w:r>
              <w:rPr>
                <w:rFonts w:ascii="Aptos" w:hAnsi="Aptos"/>
                <w:b w:val="0"/>
                <w:sz w:val="14"/>
              </w:rPr>
              <w:t>0.580</w:t>
            </w:r>
          </w:p>
        </w:tc>
      </w:tr>
      <w:tr>
        <w:trPr>
          <w:cantSplit/>
        </w:trPr>
        <w:tc>
          <w:tcPr>
            <w:tcW w:type="dxa" w:w="1872"/>
            <w:vAlign w:val="center"/>
          </w:tcPr>
          <w:p>
            <w:r/>
            <w:r>
              <w:rPr>
                <w:rFonts w:ascii="Aptos" w:hAnsi="Aptos"/>
                <w:b w:val="0"/>
                <w:sz w:val="14"/>
              </w:rPr>
              <w:t>Tumbaco</w:t>
            </w:r>
          </w:p>
        </w:tc>
        <w:tc>
          <w:tcPr>
            <w:tcW w:type="dxa" w:w="792"/>
            <w:vAlign w:val="center"/>
          </w:tcPr>
          <w:p>
            <w:r/>
            <w:r>
              <w:rPr>
                <w:rFonts w:ascii="Aptos" w:hAnsi="Aptos"/>
                <w:b w:val="0"/>
                <w:sz w:val="14"/>
              </w:rPr>
              <w:t>61.2</w:t>
            </w:r>
          </w:p>
        </w:tc>
        <w:tc>
          <w:tcPr>
            <w:tcW w:type="dxa" w:w="792"/>
            <w:vAlign w:val="center"/>
          </w:tcPr>
          <w:p>
            <w:r/>
            <w:r>
              <w:rPr>
                <w:rFonts w:ascii="Aptos" w:hAnsi="Aptos"/>
                <w:b w:val="0"/>
                <w:sz w:val="14"/>
              </w:rPr>
              <w:t>63.7</w:t>
            </w:r>
          </w:p>
        </w:tc>
        <w:tc>
          <w:tcPr>
            <w:tcW w:type="dxa" w:w="893"/>
            <w:vAlign w:val="center"/>
          </w:tcPr>
          <w:p>
            <w:r/>
            <w:r>
              <w:rPr>
                <w:rFonts w:ascii="Aptos" w:hAnsi="Aptos"/>
                <w:b w:val="0"/>
                <w:sz w:val="14"/>
              </w:rPr>
              <w:t>+2.5</w:t>
            </w:r>
          </w:p>
        </w:tc>
        <w:tc>
          <w:tcPr>
            <w:tcW w:type="dxa" w:w="893"/>
            <w:vAlign w:val="center"/>
          </w:tcPr>
          <w:p>
            <w:r/>
            <w:r>
              <w:rPr>
                <w:rFonts w:ascii="Aptos" w:hAnsi="Aptos"/>
                <w:b w:val="0"/>
                <w:sz w:val="14"/>
              </w:rPr>
              <w:t>-5.9</w:t>
            </w:r>
          </w:p>
        </w:tc>
        <w:tc>
          <w:tcPr>
            <w:tcW w:type="dxa" w:w="893"/>
            <w:vAlign w:val="center"/>
          </w:tcPr>
          <w:p>
            <w:r/>
            <w:r>
              <w:rPr>
                <w:rFonts w:ascii="Aptos" w:hAnsi="Aptos"/>
                <w:b w:val="0"/>
                <w:sz w:val="14"/>
              </w:rPr>
              <w:t>+8.4</w:t>
            </w:r>
          </w:p>
        </w:tc>
        <w:tc>
          <w:tcPr>
            <w:tcW w:type="dxa" w:w="1584"/>
            <w:vAlign w:val="center"/>
          </w:tcPr>
          <w:p>
            <w:r/>
            <w:r>
              <w:rPr>
                <w:rFonts w:ascii="Aptos" w:hAnsi="Aptos"/>
                <w:b w:val="0"/>
                <w:sz w:val="14"/>
              </w:rPr>
              <w:t>[+4.1, +12.6]</w:t>
            </w:r>
          </w:p>
        </w:tc>
        <w:tc>
          <w:tcPr>
            <w:tcW w:type="dxa" w:w="936"/>
            <w:vAlign w:val="center"/>
          </w:tcPr>
          <w:p>
            <w:r/>
            <w:r>
              <w:rPr>
                <w:rFonts w:ascii="Aptos" w:hAnsi="Aptos"/>
                <w:b w:val="0"/>
                <w:sz w:val="14"/>
              </w:rPr>
              <w:t>&lt;0.001</w:t>
            </w:r>
          </w:p>
        </w:tc>
      </w:tr>
      <w:tr>
        <w:trPr>
          <w:cantSplit/>
        </w:trPr>
        <w:tc>
          <w:tcPr>
            <w:tcW w:type="dxa" w:w="1872"/>
            <w:vAlign w:val="center"/>
          </w:tcPr>
          <w:p>
            <w:r/>
            <w:r>
              <w:rPr>
                <w:rFonts w:ascii="Aptos" w:hAnsi="Aptos"/>
                <w:b w:val="0"/>
                <w:sz w:val="14"/>
              </w:rPr>
              <w:t>Los Chillos</w:t>
            </w:r>
          </w:p>
        </w:tc>
        <w:tc>
          <w:tcPr>
            <w:tcW w:type="dxa" w:w="792"/>
            <w:vAlign w:val="center"/>
          </w:tcPr>
          <w:p>
            <w:r/>
            <w:r>
              <w:rPr>
                <w:rFonts w:ascii="Aptos" w:hAnsi="Aptos"/>
                <w:b w:val="0"/>
                <w:sz w:val="14"/>
              </w:rPr>
              <w:t>59.2</w:t>
            </w:r>
          </w:p>
        </w:tc>
        <w:tc>
          <w:tcPr>
            <w:tcW w:type="dxa" w:w="792"/>
            <w:vAlign w:val="center"/>
          </w:tcPr>
          <w:p>
            <w:r/>
            <w:r>
              <w:rPr>
                <w:rFonts w:ascii="Aptos" w:hAnsi="Aptos"/>
                <w:b w:val="0"/>
                <w:sz w:val="14"/>
              </w:rPr>
              <w:t>68.2</w:t>
            </w:r>
          </w:p>
        </w:tc>
        <w:tc>
          <w:tcPr>
            <w:tcW w:type="dxa" w:w="893"/>
            <w:vAlign w:val="center"/>
          </w:tcPr>
          <w:p>
            <w:r/>
            <w:r>
              <w:rPr>
                <w:rFonts w:ascii="Aptos" w:hAnsi="Aptos"/>
                <w:b w:val="0"/>
                <w:sz w:val="14"/>
              </w:rPr>
              <w:t>+9.0</w:t>
            </w:r>
          </w:p>
        </w:tc>
        <w:tc>
          <w:tcPr>
            <w:tcW w:type="dxa" w:w="893"/>
            <w:vAlign w:val="center"/>
          </w:tcPr>
          <w:p>
            <w:r/>
            <w:r>
              <w:rPr>
                <w:rFonts w:ascii="Aptos" w:hAnsi="Aptos"/>
                <w:b w:val="0"/>
                <w:sz w:val="14"/>
              </w:rPr>
              <w:t>-6.6</w:t>
            </w:r>
          </w:p>
        </w:tc>
        <w:tc>
          <w:tcPr>
            <w:tcW w:type="dxa" w:w="893"/>
            <w:vAlign w:val="center"/>
          </w:tcPr>
          <w:p>
            <w:r/>
            <w:r>
              <w:rPr>
                <w:rFonts w:ascii="Aptos" w:hAnsi="Aptos"/>
                <w:b w:val="0"/>
                <w:sz w:val="14"/>
              </w:rPr>
              <w:t>+15.6</w:t>
            </w:r>
          </w:p>
        </w:tc>
        <w:tc>
          <w:tcPr>
            <w:tcW w:type="dxa" w:w="1584"/>
            <w:vAlign w:val="center"/>
          </w:tcPr>
          <w:p>
            <w:r/>
            <w:r>
              <w:rPr>
                <w:rFonts w:ascii="Aptos" w:hAnsi="Aptos"/>
                <w:b w:val="0"/>
                <w:sz w:val="14"/>
              </w:rPr>
              <w:t>[+11.1, +20.2]</w:t>
            </w:r>
          </w:p>
        </w:tc>
        <w:tc>
          <w:tcPr>
            <w:tcW w:type="dxa" w:w="936"/>
            <w:vAlign w:val="center"/>
          </w:tcPr>
          <w:p>
            <w:r/>
            <w:r>
              <w:rPr>
                <w:rFonts w:ascii="Aptos" w:hAnsi="Aptos"/>
                <w:b w:val="0"/>
                <w:sz w:val="14"/>
              </w:rPr>
              <w:t>&lt;0.001</w:t>
            </w:r>
          </w:p>
        </w:tc>
      </w:tr>
    </w:tbl>
    <w:p/>
    <w:p>
      <w:r>
        <w:drawing>
          <wp:inline xmlns:a="http://schemas.openxmlformats.org/drawingml/2006/main" xmlns:pic="http://schemas.openxmlformats.org/drawingml/2006/picture">
            <wp:extent cx="6035040" cy="4075249"/>
            <wp:docPr id="2" name="Picture 2"/>
            <wp:cNvGraphicFramePr>
              <a:graphicFrameLocks noChangeAspect="1"/>
            </wp:cNvGraphicFramePr>
            <a:graphic>
              <a:graphicData uri="http://schemas.openxmlformats.org/drawingml/2006/picture">
                <pic:pic>
                  <pic:nvPicPr>
                    <pic:cNvPr id="0" name="did_general_ci.png"/>
                    <pic:cNvPicPr/>
                  </pic:nvPicPr>
                  <pic:blipFill>
                    <a:blip r:embed="rId10"/>
                    <a:stretch>
                      <a:fillRect/>
                    </a:stretch>
                  </pic:blipFill>
                  <pic:spPr>
                    <a:xfrm>
                      <a:off x="0" y="0"/>
                      <a:ext cx="6035040" cy="4075249"/>
                    </a:xfrm>
                    <a:prstGeom prst="rect"/>
                  </pic:spPr>
                </pic:pic>
              </a:graphicData>
            </a:graphic>
          </wp:inline>
        </w:drawing>
      </w:r>
    </w:p>
    <w:p>
      <w:pPr>
        <w:jc w:val="center"/>
      </w:pPr>
      <w:r>
        <w:rPr>
          <w:i/>
          <w:sz w:val="18"/>
        </w:rPr>
        <w:t>Figura 2. DiD del índice general con intervalos de confianza del 95%.</w:t>
      </w:r>
    </w:p>
    <w:p>
      <w:pPr>
        <w:pStyle w:val="Heading1"/>
      </w:pPr>
      <w:r>
        <w:t>5. Patrones territoriales principales</w:t>
      </w:r>
    </w:p>
    <w:p>
      <w:pPr>
        <w:pStyle w:val="Heading2"/>
      </w:pPr>
      <w:r>
        <w:t>Los Chillos: deterioro multidimensional</w:t>
      </w:r>
    </w:p>
    <w:p>
      <w:r>
        <w:t>Los Chillos presenta 12 DiD positivos de 13. En el índice general el DiD es +15.6 pp (IC 95%: +11.1 a +20.2; FDR &lt; 0.001). El patrón es especialmente fuerte en casa/cuadra (+29.3 pp), barrio (+25.3 pp), centros educativos (+25.7 pp), caminar de día (+15.7 pp) y caminar de noche (+15.9 pp). Esto indica que el deterioro no depende de una sola pregunta, sino que aparece en varias dimensiones de percepción de inseguridad.</w:t>
      </w:r>
    </w:p>
    <w:p>
      <w:pPr>
        <w:pStyle w:val="Heading2"/>
      </w:pPr>
      <w:r>
        <w:t>Tumbaco: rezago frente a la mejora del resto de Quito</w:t>
      </w:r>
    </w:p>
    <w:p>
      <w:r>
        <w:t>Tumbaco presenta DiD positivo en los 13 indicadores. El índice general arroja +8.4 pp (FDR &lt; 0.001). En varios servicios Tumbaco puede mejorar en términos absolutos, pero mejora menos que el resto de Quito; por ejemplo, en taxis el DiD es +12.7 pp aunque la inseguridad en Tumbaco cae, porque la reducción del resto de la ciudad es mucho mayor. También existen deterioros absolutos en algunos espacios, particularmente espacios públicos y caminar de noche.</w:t>
      </w:r>
    </w:p>
    <w:p>
      <w:pPr>
        <w:pStyle w:val="Heading2"/>
      </w:pPr>
      <w:r>
        <w:t>La Mariscal: mejora relativa amplia</w:t>
      </w:r>
    </w:p>
    <w:p>
      <w:r>
        <w:t>La Mariscal presenta 12 DiD negativos de 13. El índice general muestra -7.5 pp (IC 95%: -12.8 a -2.2; FDR &lt; 0.05). En percepción de inseguridad en el barrio, la zona baja 9.5 pp mientras el resto de Quito aumenta 4.7 pp, produciendo un DiD de -14.2 pp.</w:t>
      </w:r>
    </w:p>
    <w:p>
      <w:pPr>
        <w:pStyle w:val="Heading2"/>
      </w:pPr>
      <w:r>
        <w:t>Otros resultados específicos</w:t>
      </w:r>
    </w:p>
    <w:p>
      <w:r>
        <w:t>Quitumbe registra una mejora relativa fuerte en centros educativos (DiD -16.1 pp, significativo con FDR), mientras Eloy Alfaro mejora especialmente en Trole/Ecovía/corredores (DiD -13.5 pp, significativo con FDR). Calderón presenta 11 de 13 DiD negativos y un DiD de -4.5 pp en el índice general, aunque este último no supera la corrección FDR al 5%.</w:t>
      </w:r>
    </w:p>
    <w:p>
      <w:r>
        <w:drawing>
          <wp:inline xmlns:a="http://schemas.openxmlformats.org/drawingml/2006/main" xmlns:pic="http://schemas.openxmlformats.org/drawingml/2006/picture">
            <wp:extent cx="6400800" cy="3396016"/>
            <wp:docPr id="3" name="Picture 3"/>
            <wp:cNvGraphicFramePr>
              <a:graphicFrameLocks noChangeAspect="1"/>
            </wp:cNvGraphicFramePr>
            <a:graphic>
              <a:graphicData uri="http://schemas.openxmlformats.org/drawingml/2006/picture">
                <pic:pic>
                  <pic:nvPicPr>
                    <pic:cNvPr id="0" name="heatmap_did.png"/>
                    <pic:cNvPicPr/>
                  </pic:nvPicPr>
                  <pic:blipFill>
                    <a:blip r:embed="rId11"/>
                    <a:stretch>
                      <a:fillRect/>
                    </a:stretch>
                  </pic:blipFill>
                  <pic:spPr>
                    <a:xfrm>
                      <a:off x="0" y="0"/>
                      <a:ext cx="6400800" cy="3396016"/>
                    </a:xfrm>
                    <a:prstGeom prst="rect"/>
                  </pic:spPr>
                </pic:pic>
              </a:graphicData>
            </a:graphic>
          </wp:inline>
        </w:drawing>
      </w:r>
    </w:p>
    <w:p>
      <w:pPr>
        <w:jc w:val="center"/>
      </w:pPr>
      <w:r>
        <w:rPr>
          <w:i/>
          <w:sz w:val="18"/>
        </w:rPr>
        <w:t>Figura 3. Matriz de DiD por indicador y Administración Zonal. Valores negativos = mejora relativa; positivos = deterioro relativo.</w:t>
      </w:r>
    </w:p>
    <w:p>
      <w:pPr>
        <w:pStyle w:val="Heading1"/>
      </w:pPr>
      <w:r>
        <w:t>6. Contrastes zona–indicador que sobreviven FDR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528"/>
            <w:vAlign w:val="center"/>
            <w:shd w:fill="D9EAF7"/>
          </w:tcPr>
          <w:p>
            <w:r/>
            <w:r>
              <w:rPr>
                <w:rFonts w:ascii="Aptos" w:hAnsi="Aptos"/>
                <w:b/>
                <w:sz w:val="16"/>
              </w:rPr>
              <w:t>Indicador</w:t>
            </w:r>
          </w:p>
        </w:tc>
        <w:tc>
          <w:tcPr>
            <w:tcW w:type="dxa" w:w="1944"/>
            <w:vAlign w:val="center"/>
            <w:shd w:fill="D9EAF7"/>
          </w:tcPr>
          <w:p>
            <w:r/>
            <w:r>
              <w:rPr>
                <w:rFonts w:ascii="Aptos" w:hAnsi="Aptos"/>
                <w:b/>
                <w:sz w:val="16"/>
              </w:rPr>
              <w:t>Zona</w:t>
            </w:r>
          </w:p>
        </w:tc>
        <w:tc>
          <w:tcPr>
            <w:tcW w:type="dxa" w:w="1080"/>
            <w:vAlign w:val="center"/>
            <w:shd w:fill="D9EAF7"/>
          </w:tcPr>
          <w:p>
            <w:r/>
            <w:r>
              <w:rPr>
                <w:rFonts w:ascii="Aptos" w:hAnsi="Aptos"/>
                <w:b/>
                <w:sz w:val="16"/>
              </w:rPr>
              <w:t>DiD</w:t>
            </w:r>
          </w:p>
        </w:tc>
        <w:tc>
          <w:tcPr>
            <w:tcW w:type="dxa" w:w="1008"/>
            <w:vAlign w:val="center"/>
            <w:shd w:fill="D9EAF7"/>
          </w:tcPr>
          <w:p>
            <w:r/>
            <w:r>
              <w:rPr>
                <w:rFonts w:ascii="Aptos" w:hAnsi="Aptos"/>
                <w:b/>
                <w:sz w:val="16"/>
              </w:rPr>
              <w:t>q FDR</w:t>
            </w:r>
          </w:p>
        </w:tc>
      </w:tr>
      <w:tr>
        <w:trPr>
          <w:cantSplit/>
        </w:trPr>
        <w:tc>
          <w:tcPr>
            <w:tcW w:type="dxa" w:w="3528"/>
            <w:vAlign w:val="center"/>
          </w:tcPr>
          <w:p>
            <w:r/>
            <w:r>
              <w:rPr>
                <w:rFonts w:ascii="Aptos" w:hAnsi="Aptos"/>
                <w:b w:val="0"/>
                <w:sz w:val="16"/>
              </w:rPr>
              <w:t>Barrio</w:t>
            </w:r>
          </w:p>
        </w:tc>
        <w:tc>
          <w:tcPr>
            <w:tcW w:type="dxa" w:w="1944"/>
            <w:vAlign w:val="center"/>
          </w:tcPr>
          <w:p>
            <w:r/>
            <w:r>
              <w:rPr>
                <w:rFonts w:ascii="Aptos" w:hAnsi="Aptos"/>
                <w:b w:val="0"/>
                <w:sz w:val="16"/>
              </w:rPr>
              <w:t>La Mariscal</w:t>
            </w:r>
          </w:p>
        </w:tc>
        <w:tc>
          <w:tcPr>
            <w:tcW w:type="dxa" w:w="1080"/>
            <w:vAlign w:val="center"/>
          </w:tcPr>
          <w:p>
            <w:r/>
            <w:r>
              <w:rPr>
                <w:rFonts w:ascii="Aptos" w:hAnsi="Aptos"/>
                <w:b w:val="0"/>
                <w:sz w:val="16"/>
              </w:rPr>
              <w:t>-14.2 pp</w:t>
            </w:r>
          </w:p>
        </w:tc>
        <w:tc>
          <w:tcPr>
            <w:tcW w:type="dxa" w:w="1008"/>
            <w:vAlign w:val="center"/>
          </w:tcPr>
          <w:p>
            <w:r/>
            <w:r>
              <w:rPr>
                <w:rFonts w:ascii="Aptos" w:hAnsi="Aptos"/>
                <w:b w:val="0"/>
                <w:sz w:val="16"/>
              </w:rPr>
              <w:t>0.023</w:t>
            </w:r>
          </w:p>
        </w:tc>
      </w:tr>
      <w:tr>
        <w:trPr>
          <w:cantSplit/>
        </w:trPr>
        <w:tc>
          <w:tcPr>
            <w:tcW w:type="dxa" w:w="3528"/>
            <w:vAlign w:val="center"/>
          </w:tcPr>
          <w:p>
            <w:r/>
            <w:r>
              <w:rPr>
                <w:rFonts w:ascii="Aptos" w:hAnsi="Aptos"/>
                <w:b w:val="0"/>
                <w:sz w:val="16"/>
              </w:rPr>
              <w:t>Barrio</w:t>
            </w:r>
          </w:p>
        </w:tc>
        <w:tc>
          <w:tcPr>
            <w:tcW w:type="dxa" w:w="1944"/>
            <w:vAlign w:val="center"/>
          </w:tcPr>
          <w:p>
            <w:r/>
            <w:r>
              <w:rPr>
                <w:rFonts w:ascii="Aptos" w:hAnsi="Aptos"/>
                <w:b w:val="0"/>
                <w:sz w:val="16"/>
              </w:rPr>
              <w:t>Los Chillos</w:t>
            </w:r>
          </w:p>
        </w:tc>
        <w:tc>
          <w:tcPr>
            <w:tcW w:type="dxa" w:w="1080"/>
            <w:vAlign w:val="center"/>
          </w:tcPr>
          <w:p>
            <w:r/>
            <w:r>
              <w:rPr>
                <w:rFonts w:ascii="Aptos" w:hAnsi="Aptos"/>
                <w:b w:val="0"/>
                <w:sz w:val="16"/>
              </w:rPr>
              <w:t>+25.3 pp</w:t>
            </w:r>
          </w:p>
        </w:tc>
        <w:tc>
          <w:tcPr>
            <w:tcW w:type="dxa" w:w="1008"/>
            <w:vAlign w:val="center"/>
          </w:tcPr>
          <w:p>
            <w:r/>
            <w:r>
              <w:rPr>
                <w:rFonts w:ascii="Aptos" w:hAnsi="Aptos"/>
                <w:b w:val="0"/>
                <w:sz w:val="16"/>
              </w:rPr>
              <w:t>&lt;0.001</w:t>
            </w:r>
          </w:p>
        </w:tc>
      </w:tr>
      <w:tr>
        <w:trPr>
          <w:cantSplit/>
        </w:trPr>
        <w:tc>
          <w:tcPr>
            <w:tcW w:type="dxa" w:w="3528"/>
            <w:vAlign w:val="center"/>
          </w:tcPr>
          <w:p>
            <w:r/>
            <w:r>
              <w:rPr>
                <w:rFonts w:ascii="Aptos" w:hAnsi="Aptos"/>
                <w:b w:val="0"/>
                <w:sz w:val="16"/>
              </w:rPr>
              <w:t>Cajeros en vía pública</w:t>
            </w:r>
          </w:p>
        </w:tc>
        <w:tc>
          <w:tcPr>
            <w:tcW w:type="dxa" w:w="1944"/>
            <w:vAlign w:val="center"/>
          </w:tcPr>
          <w:p>
            <w:r/>
            <w:r>
              <w:rPr>
                <w:rFonts w:ascii="Aptos" w:hAnsi="Aptos"/>
                <w:b w:val="0"/>
                <w:sz w:val="16"/>
              </w:rPr>
              <w:t>Los Chillos</w:t>
            </w:r>
          </w:p>
        </w:tc>
        <w:tc>
          <w:tcPr>
            <w:tcW w:type="dxa" w:w="1080"/>
            <w:vAlign w:val="center"/>
          </w:tcPr>
          <w:p>
            <w:r/>
            <w:r>
              <w:rPr>
                <w:rFonts w:ascii="Aptos" w:hAnsi="Aptos"/>
                <w:b w:val="0"/>
                <w:sz w:val="16"/>
              </w:rPr>
              <w:t>+11.0 pp</w:t>
            </w:r>
          </w:p>
        </w:tc>
        <w:tc>
          <w:tcPr>
            <w:tcW w:type="dxa" w:w="1008"/>
            <w:vAlign w:val="center"/>
          </w:tcPr>
          <w:p>
            <w:r/>
            <w:r>
              <w:rPr>
                <w:rFonts w:ascii="Aptos" w:hAnsi="Aptos"/>
                <w:b w:val="0"/>
                <w:sz w:val="16"/>
              </w:rPr>
              <w:t>0.036</w:t>
            </w:r>
          </w:p>
        </w:tc>
      </w:tr>
      <w:tr>
        <w:trPr>
          <w:cantSplit/>
        </w:trPr>
        <w:tc>
          <w:tcPr>
            <w:tcW w:type="dxa" w:w="3528"/>
            <w:vAlign w:val="center"/>
          </w:tcPr>
          <w:p>
            <w:r/>
            <w:r>
              <w:rPr>
                <w:rFonts w:ascii="Aptos" w:hAnsi="Aptos"/>
                <w:b w:val="0"/>
                <w:sz w:val="16"/>
              </w:rPr>
              <w:t>Caminar barrio de día</w:t>
            </w:r>
          </w:p>
        </w:tc>
        <w:tc>
          <w:tcPr>
            <w:tcW w:type="dxa" w:w="1944"/>
            <w:vAlign w:val="center"/>
          </w:tcPr>
          <w:p>
            <w:r/>
            <w:r>
              <w:rPr>
                <w:rFonts w:ascii="Aptos" w:hAnsi="Aptos"/>
                <w:b w:val="0"/>
                <w:sz w:val="16"/>
              </w:rPr>
              <w:t>Los Chillos</w:t>
            </w:r>
          </w:p>
        </w:tc>
        <w:tc>
          <w:tcPr>
            <w:tcW w:type="dxa" w:w="1080"/>
            <w:vAlign w:val="center"/>
          </w:tcPr>
          <w:p>
            <w:r/>
            <w:r>
              <w:rPr>
                <w:rFonts w:ascii="Aptos" w:hAnsi="Aptos"/>
                <w:b w:val="0"/>
                <w:sz w:val="16"/>
              </w:rPr>
              <w:t>+15.7 pp</w:t>
            </w:r>
          </w:p>
        </w:tc>
        <w:tc>
          <w:tcPr>
            <w:tcW w:type="dxa" w:w="1008"/>
            <w:vAlign w:val="center"/>
          </w:tcPr>
          <w:p>
            <w:r/>
            <w:r>
              <w:rPr>
                <w:rFonts w:ascii="Aptos" w:hAnsi="Aptos"/>
                <w:b w:val="0"/>
                <w:sz w:val="16"/>
              </w:rPr>
              <w:t>0.007</w:t>
            </w:r>
          </w:p>
        </w:tc>
      </w:tr>
      <w:tr>
        <w:trPr>
          <w:cantSplit/>
        </w:trPr>
        <w:tc>
          <w:tcPr>
            <w:tcW w:type="dxa" w:w="3528"/>
            <w:vAlign w:val="center"/>
          </w:tcPr>
          <w:p>
            <w:r/>
            <w:r>
              <w:rPr>
                <w:rFonts w:ascii="Aptos" w:hAnsi="Aptos"/>
                <w:b w:val="0"/>
                <w:sz w:val="16"/>
              </w:rPr>
              <w:t>Caminar barrio de noche</w:t>
            </w:r>
          </w:p>
        </w:tc>
        <w:tc>
          <w:tcPr>
            <w:tcW w:type="dxa" w:w="1944"/>
            <w:vAlign w:val="center"/>
          </w:tcPr>
          <w:p>
            <w:r/>
            <w:r>
              <w:rPr>
                <w:rFonts w:ascii="Aptos" w:hAnsi="Aptos"/>
                <w:b w:val="0"/>
                <w:sz w:val="16"/>
              </w:rPr>
              <w:t>Tumbaco</w:t>
            </w:r>
          </w:p>
        </w:tc>
        <w:tc>
          <w:tcPr>
            <w:tcW w:type="dxa" w:w="1080"/>
            <w:vAlign w:val="center"/>
          </w:tcPr>
          <w:p>
            <w:r/>
            <w:r>
              <w:rPr>
                <w:rFonts w:ascii="Aptos" w:hAnsi="Aptos"/>
                <w:b w:val="0"/>
                <w:sz w:val="16"/>
              </w:rPr>
              <w:t>+14.0 pp</w:t>
            </w:r>
          </w:p>
        </w:tc>
        <w:tc>
          <w:tcPr>
            <w:tcW w:type="dxa" w:w="1008"/>
            <w:vAlign w:val="center"/>
          </w:tcPr>
          <w:p>
            <w:r/>
            <w:r>
              <w:rPr>
                <w:rFonts w:ascii="Aptos" w:hAnsi="Aptos"/>
                <w:b w:val="0"/>
                <w:sz w:val="16"/>
              </w:rPr>
              <w:t>&lt;0.001</w:t>
            </w:r>
          </w:p>
        </w:tc>
      </w:tr>
      <w:tr>
        <w:trPr>
          <w:cantSplit/>
        </w:trPr>
        <w:tc>
          <w:tcPr>
            <w:tcW w:type="dxa" w:w="3528"/>
            <w:vAlign w:val="center"/>
          </w:tcPr>
          <w:p>
            <w:r/>
            <w:r>
              <w:rPr>
                <w:rFonts w:ascii="Aptos" w:hAnsi="Aptos"/>
                <w:b w:val="0"/>
                <w:sz w:val="16"/>
              </w:rPr>
              <w:t>Caminar barrio de noche</w:t>
            </w:r>
          </w:p>
        </w:tc>
        <w:tc>
          <w:tcPr>
            <w:tcW w:type="dxa" w:w="1944"/>
            <w:vAlign w:val="center"/>
          </w:tcPr>
          <w:p>
            <w:r/>
            <w:r>
              <w:rPr>
                <w:rFonts w:ascii="Aptos" w:hAnsi="Aptos"/>
                <w:b w:val="0"/>
                <w:sz w:val="16"/>
              </w:rPr>
              <w:t>Los Chillos</w:t>
            </w:r>
          </w:p>
        </w:tc>
        <w:tc>
          <w:tcPr>
            <w:tcW w:type="dxa" w:w="1080"/>
            <w:vAlign w:val="center"/>
          </w:tcPr>
          <w:p>
            <w:r/>
            <w:r>
              <w:rPr>
                <w:rFonts w:ascii="Aptos" w:hAnsi="Aptos"/>
                <w:b w:val="0"/>
                <w:sz w:val="16"/>
              </w:rPr>
              <w:t>+15.9 pp</w:t>
            </w:r>
          </w:p>
        </w:tc>
        <w:tc>
          <w:tcPr>
            <w:tcW w:type="dxa" w:w="1008"/>
            <w:vAlign w:val="center"/>
          </w:tcPr>
          <w:p>
            <w:r/>
            <w:r>
              <w:rPr>
                <w:rFonts w:ascii="Aptos" w:hAnsi="Aptos"/>
                <w:b w:val="0"/>
                <w:sz w:val="16"/>
              </w:rPr>
              <w:t>&lt;0.001</w:t>
            </w:r>
          </w:p>
        </w:tc>
      </w:tr>
      <w:tr>
        <w:trPr>
          <w:cantSplit/>
        </w:trPr>
        <w:tc>
          <w:tcPr>
            <w:tcW w:type="dxa" w:w="3528"/>
            <w:vAlign w:val="center"/>
          </w:tcPr>
          <w:p>
            <w:r/>
            <w:r>
              <w:rPr>
                <w:rFonts w:ascii="Aptos" w:hAnsi="Aptos"/>
                <w:b w:val="0"/>
                <w:sz w:val="16"/>
              </w:rPr>
              <w:t>Casa/cuadra</w:t>
            </w:r>
          </w:p>
        </w:tc>
        <w:tc>
          <w:tcPr>
            <w:tcW w:type="dxa" w:w="1944"/>
            <w:vAlign w:val="center"/>
          </w:tcPr>
          <w:p>
            <w:r/>
            <w:r>
              <w:rPr>
                <w:rFonts w:ascii="Aptos" w:hAnsi="Aptos"/>
                <w:b w:val="0"/>
                <w:sz w:val="16"/>
              </w:rPr>
              <w:t>Los Chillos</w:t>
            </w:r>
          </w:p>
        </w:tc>
        <w:tc>
          <w:tcPr>
            <w:tcW w:type="dxa" w:w="1080"/>
            <w:vAlign w:val="center"/>
          </w:tcPr>
          <w:p>
            <w:r/>
            <w:r>
              <w:rPr>
                <w:rFonts w:ascii="Aptos" w:hAnsi="Aptos"/>
                <w:b w:val="0"/>
                <w:sz w:val="16"/>
              </w:rPr>
              <w:t>+29.3 pp</w:t>
            </w:r>
          </w:p>
        </w:tc>
        <w:tc>
          <w:tcPr>
            <w:tcW w:type="dxa" w:w="1008"/>
            <w:vAlign w:val="center"/>
          </w:tcPr>
          <w:p>
            <w:r/>
            <w:r>
              <w:rPr>
                <w:rFonts w:ascii="Aptos" w:hAnsi="Aptos"/>
                <w:b w:val="0"/>
                <w:sz w:val="16"/>
              </w:rPr>
              <w:t>&lt;0.001</w:t>
            </w:r>
          </w:p>
        </w:tc>
      </w:tr>
      <w:tr>
        <w:trPr>
          <w:cantSplit/>
        </w:trPr>
        <w:tc>
          <w:tcPr>
            <w:tcW w:type="dxa" w:w="3528"/>
            <w:vAlign w:val="center"/>
          </w:tcPr>
          <w:p>
            <w:r/>
            <w:r>
              <w:rPr>
                <w:rFonts w:ascii="Aptos" w:hAnsi="Aptos"/>
                <w:b w:val="0"/>
                <w:sz w:val="16"/>
              </w:rPr>
              <w:t>Centros educativos</w:t>
            </w:r>
          </w:p>
        </w:tc>
        <w:tc>
          <w:tcPr>
            <w:tcW w:type="dxa" w:w="1944"/>
            <w:vAlign w:val="center"/>
          </w:tcPr>
          <w:p>
            <w:r/>
            <w:r>
              <w:rPr>
                <w:rFonts w:ascii="Aptos" w:hAnsi="Aptos"/>
                <w:b w:val="0"/>
                <w:sz w:val="16"/>
              </w:rPr>
              <w:t>Quitumbe</w:t>
            </w:r>
          </w:p>
        </w:tc>
        <w:tc>
          <w:tcPr>
            <w:tcW w:type="dxa" w:w="1080"/>
            <w:vAlign w:val="center"/>
          </w:tcPr>
          <w:p>
            <w:r/>
            <w:r>
              <w:rPr>
                <w:rFonts w:ascii="Aptos" w:hAnsi="Aptos"/>
                <w:b w:val="0"/>
                <w:sz w:val="16"/>
              </w:rPr>
              <w:t>-16.1 pp</w:t>
            </w:r>
          </w:p>
        </w:tc>
        <w:tc>
          <w:tcPr>
            <w:tcW w:type="dxa" w:w="1008"/>
            <w:vAlign w:val="center"/>
          </w:tcPr>
          <w:p>
            <w:r/>
            <w:r>
              <w:rPr>
                <w:rFonts w:ascii="Aptos" w:hAnsi="Aptos"/>
                <w:b w:val="0"/>
                <w:sz w:val="16"/>
              </w:rPr>
              <w:t>&lt;0.001</w:t>
            </w:r>
          </w:p>
        </w:tc>
      </w:tr>
      <w:tr>
        <w:trPr>
          <w:cantSplit/>
        </w:trPr>
        <w:tc>
          <w:tcPr>
            <w:tcW w:type="dxa" w:w="3528"/>
            <w:vAlign w:val="center"/>
          </w:tcPr>
          <w:p>
            <w:r/>
            <w:r>
              <w:rPr>
                <w:rFonts w:ascii="Aptos" w:hAnsi="Aptos"/>
                <w:b w:val="0"/>
                <w:sz w:val="16"/>
              </w:rPr>
              <w:t>Centros educativos</w:t>
            </w:r>
          </w:p>
        </w:tc>
        <w:tc>
          <w:tcPr>
            <w:tcW w:type="dxa" w:w="1944"/>
            <w:vAlign w:val="center"/>
          </w:tcPr>
          <w:p>
            <w:r/>
            <w:r>
              <w:rPr>
                <w:rFonts w:ascii="Aptos" w:hAnsi="Aptos"/>
                <w:b w:val="0"/>
                <w:sz w:val="16"/>
              </w:rPr>
              <w:t>La Delicia</w:t>
            </w:r>
          </w:p>
        </w:tc>
        <w:tc>
          <w:tcPr>
            <w:tcW w:type="dxa" w:w="1080"/>
            <w:vAlign w:val="center"/>
          </w:tcPr>
          <w:p>
            <w:r/>
            <w:r>
              <w:rPr>
                <w:rFonts w:ascii="Aptos" w:hAnsi="Aptos"/>
                <w:b w:val="0"/>
                <w:sz w:val="16"/>
              </w:rPr>
              <w:t>-11.2 pp</w:t>
            </w:r>
          </w:p>
        </w:tc>
        <w:tc>
          <w:tcPr>
            <w:tcW w:type="dxa" w:w="1008"/>
            <w:vAlign w:val="center"/>
          </w:tcPr>
          <w:p>
            <w:r/>
            <w:r>
              <w:rPr>
                <w:rFonts w:ascii="Aptos" w:hAnsi="Aptos"/>
                <w:b w:val="0"/>
                <w:sz w:val="16"/>
              </w:rPr>
              <w:t>0.032</w:t>
            </w:r>
          </w:p>
        </w:tc>
      </w:tr>
      <w:tr>
        <w:trPr>
          <w:cantSplit/>
        </w:trPr>
        <w:tc>
          <w:tcPr>
            <w:tcW w:type="dxa" w:w="3528"/>
            <w:vAlign w:val="center"/>
          </w:tcPr>
          <w:p>
            <w:r/>
            <w:r>
              <w:rPr>
                <w:rFonts w:ascii="Aptos" w:hAnsi="Aptos"/>
                <w:b w:val="0"/>
                <w:sz w:val="16"/>
              </w:rPr>
              <w:t>Centros educativos</w:t>
            </w:r>
          </w:p>
        </w:tc>
        <w:tc>
          <w:tcPr>
            <w:tcW w:type="dxa" w:w="1944"/>
            <w:vAlign w:val="center"/>
          </w:tcPr>
          <w:p>
            <w:r/>
            <w:r>
              <w:rPr>
                <w:rFonts w:ascii="Aptos" w:hAnsi="Aptos"/>
                <w:b w:val="0"/>
                <w:sz w:val="16"/>
              </w:rPr>
              <w:t>Tumbaco</w:t>
            </w:r>
          </w:p>
        </w:tc>
        <w:tc>
          <w:tcPr>
            <w:tcW w:type="dxa" w:w="1080"/>
            <w:vAlign w:val="center"/>
          </w:tcPr>
          <w:p>
            <w:r/>
            <w:r>
              <w:rPr>
                <w:rFonts w:ascii="Aptos" w:hAnsi="Aptos"/>
                <w:b w:val="0"/>
                <w:sz w:val="16"/>
              </w:rPr>
              <w:t>+11.7 pp</w:t>
            </w:r>
          </w:p>
        </w:tc>
        <w:tc>
          <w:tcPr>
            <w:tcW w:type="dxa" w:w="1008"/>
            <w:vAlign w:val="center"/>
          </w:tcPr>
          <w:p>
            <w:r/>
            <w:r>
              <w:rPr>
                <w:rFonts w:ascii="Aptos" w:hAnsi="Aptos"/>
                <w:b w:val="0"/>
                <w:sz w:val="16"/>
              </w:rPr>
              <w:t>0.018</w:t>
            </w:r>
          </w:p>
        </w:tc>
      </w:tr>
      <w:tr>
        <w:trPr>
          <w:cantSplit/>
        </w:trPr>
        <w:tc>
          <w:tcPr>
            <w:tcW w:type="dxa" w:w="3528"/>
            <w:vAlign w:val="center"/>
          </w:tcPr>
          <w:p>
            <w:r/>
            <w:r>
              <w:rPr>
                <w:rFonts w:ascii="Aptos" w:hAnsi="Aptos"/>
                <w:b w:val="0"/>
                <w:sz w:val="16"/>
              </w:rPr>
              <w:t>Centros educativos</w:t>
            </w:r>
          </w:p>
        </w:tc>
        <w:tc>
          <w:tcPr>
            <w:tcW w:type="dxa" w:w="1944"/>
            <w:vAlign w:val="center"/>
          </w:tcPr>
          <w:p>
            <w:r/>
            <w:r>
              <w:rPr>
                <w:rFonts w:ascii="Aptos" w:hAnsi="Aptos"/>
                <w:b w:val="0"/>
                <w:sz w:val="16"/>
              </w:rPr>
              <w:t>Los Chillos</w:t>
            </w:r>
          </w:p>
        </w:tc>
        <w:tc>
          <w:tcPr>
            <w:tcW w:type="dxa" w:w="1080"/>
            <w:vAlign w:val="center"/>
          </w:tcPr>
          <w:p>
            <w:r/>
            <w:r>
              <w:rPr>
                <w:rFonts w:ascii="Aptos" w:hAnsi="Aptos"/>
                <w:b w:val="0"/>
                <w:sz w:val="16"/>
              </w:rPr>
              <w:t>+25.7 pp</w:t>
            </w:r>
          </w:p>
        </w:tc>
        <w:tc>
          <w:tcPr>
            <w:tcW w:type="dxa" w:w="1008"/>
            <w:vAlign w:val="center"/>
          </w:tcPr>
          <w:p>
            <w:r/>
            <w:r>
              <w:rPr>
                <w:rFonts w:ascii="Aptos" w:hAnsi="Aptos"/>
                <w:b w:val="0"/>
                <w:sz w:val="16"/>
              </w:rPr>
              <w:t>&lt;0.001</w:t>
            </w:r>
          </w:p>
        </w:tc>
      </w:tr>
      <w:tr>
        <w:trPr>
          <w:cantSplit/>
        </w:trPr>
        <w:tc>
          <w:tcPr>
            <w:tcW w:type="dxa" w:w="3528"/>
            <w:vAlign w:val="center"/>
          </w:tcPr>
          <w:p>
            <w:r/>
            <w:r>
              <w:rPr>
                <w:rFonts w:ascii="Aptos" w:hAnsi="Aptos"/>
                <w:b w:val="0"/>
                <w:sz w:val="16"/>
              </w:rPr>
              <w:t>Espacios públicos</w:t>
            </w:r>
          </w:p>
        </w:tc>
        <w:tc>
          <w:tcPr>
            <w:tcW w:type="dxa" w:w="1944"/>
            <w:vAlign w:val="center"/>
          </w:tcPr>
          <w:p>
            <w:r/>
            <w:r>
              <w:rPr>
                <w:rFonts w:ascii="Aptos" w:hAnsi="Aptos"/>
                <w:b w:val="0"/>
                <w:sz w:val="16"/>
              </w:rPr>
              <w:t>Tumbaco</w:t>
            </w:r>
          </w:p>
        </w:tc>
        <w:tc>
          <w:tcPr>
            <w:tcW w:type="dxa" w:w="1080"/>
            <w:vAlign w:val="center"/>
          </w:tcPr>
          <w:p>
            <w:r/>
            <w:r>
              <w:rPr>
                <w:rFonts w:ascii="Aptos" w:hAnsi="Aptos"/>
                <w:b w:val="0"/>
                <w:sz w:val="16"/>
              </w:rPr>
              <w:t>+13.6 pp</w:t>
            </w:r>
          </w:p>
        </w:tc>
        <w:tc>
          <w:tcPr>
            <w:tcW w:type="dxa" w:w="1008"/>
            <w:vAlign w:val="center"/>
          </w:tcPr>
          <w:p>
            <w:r/>
            <w:r>
              <w:rPr>
                <w:rFonts w:ascii="Aptos" w:hAnsi="Aptos"/>
                <w:b w:val="0"/>
                <w:sz w:val="16"/>
              </w:rPr>
              <w:t>&lt;0.001</w:t>
            </w:r>
          </w:p>
        </w:tc>
      </w:tr>
      <w:tr>
        <w:trPr>
          <w:cantSplit/>
        </w:trPr>
        <w:tc>
          <w:tcPr>
            <w:tcW w:type="dxa" w:w="3528"/>
            <w:vAlign w:val="center"/>
          </w:tcPr>
          <w:p>
            <w:r/>
            <w:r>
              <w:rPr>
                <w:rFonts w:ascii="Aptos" w:hAnsi="Aptos"/>
                <w:b w:val="0"/>
                <w:sz w:val="16"/>
              </w:rPr>
              <w:t>Espectáculos públicos</w:t>
            </w:r>
          </w:p>
        </w:tc>
        <w:tc>
          <w:tcPr>
            <w:tcW w:type="dxa" w:w="1944"/>
            <w:vAlign w:val="center"/>
          </w:tcPr>
          <w:p>
            <w:r/>
            <w:r>
              <w:rPr>
                <w:rFonts w:ascii="Aptos" w:hAnsi="Aptos"/>
                <w:b w:val="0"/>
                <w:sz w:val="16"/>
              </w:rPr>
              <w:t>Tumbaco</w:t>
            </w:r>
          </w:p>
        </w:tc>
        <w:tc>
          <w:tcPr>
            <w:tcW w:type="dxa" w:w="1080"/>
            <w:vAlign w:val="center"/>
          </w:tcPr>
          <w:p>
            <w:r/>
            <w:r>
              <w:rPr>
                <w:rFonts w:ascii="Aptos" w:hAnsi="Aptos"/>
                <w:b w:val="0"/>
                <w:sz w:val="16"/>
              </w:rPr>
              <w:t>+12.7 pp</w:t>
            </w:r>
          </w:p>
        </w:tc>
        <w:tc>
          <w:tcPr>
            <w:tcW w:type="dxa" w:w="1008"/>
            <w:vAlign w:val="center"/>
          </w:tcPr>
          <w:p>
            <w:r/>
            <w:r>
              <w:rPr>
                <w:rFonts w:ascii="Aptos" w:hAnsi="Aptos"/>
                <w:b w:val="0"/>
                <w:sz w:val="16"/>
              </w:rPr>
              <w:t>0.018</w:t>
            </w:r>
          </w:p>
        </w:tc>
      </w:tr>
      <w:tr>
        <w:trPr>
          <w:cantSplit/>
        </w:trPr>
        <w:tc>
          <w:tcPr>
            <w:tcW w:type="dxa" w:w="3528"/>
            <w:vAlign w:val="center"/>
          </w:tcPr>
          <w:p>
            <w:r/>
            <w:r>
              <w:rPr>
                <w:rFonts w:ascii="Aptos" w:hAnsi="Aptos"/>
                <w:b w:val="0"/>
                <w:sz w:val="16"/>
              </w:rPr>
              <w:t>Mercados/ferias</w:t>
            </w:r>
          </w:p>
        </w:tc>
        <w:tc>
          <w:tcPr>
            <w:tcW w:type="dxa" w:w="1944"/>
            <w:vAlign w:val="center"/>
          </w:tcPr>
          <w:p>
            <w:r/>
            <w:r>
              <w:rPr>
                <w:rFonts w:ascii="Aptos" w:hAnsi="Aptos"/>
                <w:b w:val="0"/>
                <w:sz w:val="16"/>
              </w:rPr>
              <w:t>Tumbaco</w:t>
            </w:r>
          </w:p>
        </w:tc>
        <w:tc>
          <w:tcPr>
            <w:tcW w:type="dxa" w:w="1080"/>
            <w:vAlign w:val="center"/>
          </w:tcPr>
          <w:p>
            <w:r/>
            <w:r>
              <w:rPr>
                <w:rFonts w:ascii="Aptos" w:hAnsi="Aptos"/>
                <w:b w:val="0"/>
                <w:sz w:val="16"/>
              </w:rPr>
              <w:t>+11.7 pp</w:t>
            </w:r>
          </w:p>
        </w:tc>
        <w:tc>
          <w:tcPr>
            <w:tcW w:type="dxa" w:w="1008"/>
            <w:vAlign w:val="center"/>
          </w:tcPr>
          <w:p>
            <w:r/>
            <w:r>
              <w:rPr>
                <w:rFonts w:ascii="Aptos" w:hAnsi="Aptos"/>
                <w:b w:val="0"/>
                <w:sz w:val="16"/>
              </w:rPr>
              <w:t>0.014</w:t>
            </w:r>
          </w:p>
        </w:tc>
      </w:tr>
      <w:tr>
        <w:trPr>
          <w:cantSplit/>
        </w:trPr>
        <w:tc>
          <w:tcPr>
            <w:tcW w:type="dxa" w:w="3528"/>
            <w:vAlign w:val="center"/>
          </w:tcPr>
          <w:p>
            <w:r/>
            <w:r>
              <w:rPr>
                <w:rFonts w:ascii="Aptos" w:hAnsi="Aptos"/>
                <w:b w:val="0"/>
                <w:sz w:val="16"/>
              </w:rPr>
              <w:t>Metro</w:t>
            </w:r>
          </w:p>
        </w:tc>
        <w:tc>
          <w:tcPr>
            <w:tcW w:type="dxa" w:w="1944"/>
            <w:vAlign w:val="center"/>
          </w:tcPr>
          <w:p>
            <w:r/>
            <w:r>
              <w:rPr>
                <w:rFonts w:ascii="Aptos" w:hAnsi="Aptos"/>
                <w:b w:val="0"/>
                <w:sz w:val="16"/>
              </w:rPr>
              <w:t>Tumbaco</w:t>
            </w:r>
          </w:p>
        </w:tc>
        <w:tc>
          <w:tcPr>
            <w:tcW w:type="dxa" w:w="1080"/>
            <w:vAlign w:val="center"/>
          </w:tcPr>
          <w:p>
            <w:r/>
            <w:r>
              <w:rPr>
                <w:rFonts w:ascii="Aptos" w:hAnsi="Aptos"/>
                <w:b w:val="0"/>
                <w:sz w:val="16"/>
              </w:rPr>
              <w:t>+15.0 pp</w:t>
            </w:r>
          </w:p>
        </w:tc>
        <w:tc>
          <w:tcPr>
            <w:tcW w:type="dxa" w:w="1008"/>
            <w:vAlign w:val="center"/>
          </w:tcPr>
          <w:p>
            <w:r/>
            <w:r>
              <w:rPr>
                <w:rFonts w:ascii="Aptos" w:hAnsi="Aptos"/>
                <w:b w:val="0"/>
                <w:sz w:val="16"/>
              </w:rPr>
              <w:t>0.013</w:t>
            </w:r>
          </w:p>
        </w:tc>
      </w:tr>
      <w:tr>
        <w:trPr>
          <w:cantSplit/>
        </w:trPr>
        <w:tc>
          <w:tcPr>
            <w:tcW w:type="dxa" w:w="3528"/>
            <w:vAlign w:val="center"/>
          </w:tcPr>
          <w:p>
            <w:r/>
            <w:r>
              <w:rPr>
                <w:rFonts w:ascii="Aptos" w:hAnsi="Aptos"/>
                <w:b w:val="0"/>
                <w:sz w:val="16"/>
              </w:rPr>
              <w:t>Taxis</w:t>
            </w:r>
          </w:p>
        </w:tc>
        <w:tc>
          <w:tcPr>
            <w:tcW w:type="dxa" w:w="1944"/>
            <w:vAlign w:val="center"/>
          </w:tcPr>
          <w:p>
            <w:r/>
            <w:r>
              <w:rPr>
                <w:rFonts w:ascii="Aptos" w:hAnsi="Aptos"/>
                <w:b w:val="0"/>
                <w:sz w:val="16"/>
              </w:rPr>
              <w:t>Tumbaco</w:t>
            </w:r>
          </w:p>
        </w:tc>
        <w:tc>
          <w:tcPr>
            <w:tcW w:type="dxa" w:w="1080"/>
            <w:vAlign w:val="center"/>
          </w:tcPr>
          <w:p>
            <w:r/>
            <w:r>
              <w:rPr>
                <w:rFonts w:ascii="Aptos" w:hAnsi="Aptos"/>
                <w:b w:val="0"/>
                <w:sz w:val="16"/>
              </w:rPr>
              <w:t>+12.7 pp</w:t>
            </w:r>
          </w:p>
        </w:tc>
        <w:tc>
          <w:tcPr>
            <w:tcW w:type="dxa" w:w="1008"/>
            <w:vAlign w:val="center"/>
          </w:tcPr>
          <w:p>
            <w:r/>
            <w:r>
              <w:rPr>
                <w:rFonts w:ascii="Aptos" w:hAnsi="Aptos"/>
                <w:b w:val="0"/>
                <w:sz w:val="16"/>
              </w:rPr>
              <w:t>0.022</w:t>
            </w:r>
          </w:p>
        </w:tc>
      </w:tr>
      <w:tr>
        <w:trPr>
          <w:cantSplit/>
        </w:trPr>
        <w:tc>
          <w:tcPr>
            <w:tcW w:type="dxa" w:w="3528"/>
            <w:vAlign w:val="center"/>
          </w:tcPr>
          <w:p>
            <w:r/>
            <w:r>
              <w:rPr>
                <w:rFonts w:ascii="Aptos" w:hAnsi="Aptos"/>
                <w:b w:val="0"/>
                <w:sz w:val="16"/>
              </w:rPr>
              <w:t>Trole/Ecovía/corredores</w:t>
            </w:r>
          </w:p>
        </w:tc>
        <w:tc>
          <w:tcPr>
            <w:tcW w:type="dxa" w:w="1944"/>
            <w:vAlign w:val="center"/>
          </w:tcPr>
          <w:p>
            <w:r/>
            <w:r>
              <w:rPr>
                <w:rFonts w:ascii="Aptos" w:hAnsi="Aptos"/>
                <w:b w:val="0"/>
                <w:sz w:val="16"/>
              </w:rPr>
              <w:t>Eloy Alfaro</w:t>
            </w:r>
          </w:p>
        </w:tc>
        <w:tc>
          <w:tcPr>
            <w:tcW w:type="dxa" w:w="1080"/>
            <w:vAlign w:val="center"/>
          </w:tcPr>
          <w:p>
            <w:r/>
            <w:r>
              <w:rPr>
                <w:rFonts w:ascii="Aptos" w:hAnsi="Aptos"/>
                <w:b w:val="0"/>
                <w:sz w:val="16"/>
              </w:rPr>
              <w:t>-13.5 pp</w:t>
            </w:r>
          </w:p>
        </w:tc>
        <w:tc>
          <w:tcPr>
            <w:tcW w:type="dxa" w:w="1008"/>
            <w:vAlign w:val="center"/>
          </w:tcPr>
          <w:p>
            <w:r/>
            <w:r>
              <w:rPr>
                <w:rFonts w:ascii="Aptos" w:hAnsi="Aptos"/>
                <w:b w:val="0"/>
                <w:sz w:val="16"/>
              </w:rPr>
              <w:t>&lt;0.001</w:t>
            </w:r>
          </w:p>
        </w:tc>
      </w:tr>
      <w:tr>
        <w:trPr>
          <w:cantSplit/>
        </w:trPr>
        <w:tc>
          <w:tcPr>
            <w:tcW w:type="dxa" w:w="3528"/>
            <w:vAlign w:val="center"/>
          </w:tcPr>
          <w:p>
            <w:r/>
            <w:r>
              <w:rPr>
                <w:rFonts w:ascii="Aptos" w:hAnsi="Aptos"/>
                <w:b w:val="0"/>
                <w:sz w:val="16"/>
              </w:rPr>
              <w:t>Trole/Ecovía/corredores</w:t>
            </w:r>
          </w:p>
        </w:tc>
        <w:tc>
          <w:tcPr>
            <w:tcW w:type="dxa" w:w="1944"/>
            <w:vAlign w:val="center"/>
          </w:tcPr>
          <w:p>
            <w:r/>
            <w:r>
              <w:rPr>
                <w:rFonts w:ascii="Aptos" w:hAnsi="Aptos"/>
                <w:b w:val="0"/>
                <w:sz w:val="16"/>
              </w:rPr>
              <w:t>Los Chillos</w:t>
            </w:r>
          </w:p>
        </w:tc>
        <w:tc>
          <w:tcPr>
            <w:tcW w:type="dxa" w:w="1080"/>
            <w:vAlign w:val="center"/>
          </w:tcPr>
          <w:p>
            <w:r/>
            <w:r>
              <w:rPr>
                <w:rFonts w:ascii="Aptos" w:hAnsi="Aptos"/>
                <w:b w:val="0"/>
                <w:sz w:val="16"/>
              </w:rPr>
              <w:t>+11.2 pp</w:t>
            </w:r>
          </w:p>
        </w:tc>
        <w:tc>
          <w:tcPr>
            <w:tcW w:type="dxa" w:w="1008"/>
            <w:vAlign w:val="center"/>
          </w:tcPr>
          <w:p>
            <w:r/>
            <w:r>
              <w:rPr>
                <w:rFonts w:ascii="Aptos" w:hAnsi="Aptos"/>
                <w:b w:val="0"/>
                <w:sz w:val="16"/>
              </w:rPr>
              <w:t>0.004</w:t>
            </w:r>
          </w:p>
        </w:tc>
      </w:tr>
      <w:tr>
        <w:trPr>
          <w:cantSplit/>
        </w:trPr>
        <w:tc>
          <w:tcPr>
            <w:tcW w:type="dxa" w:w="3528"/>
            <w:vAlign w:val="center"/>
          </w:tcPr>
          <w:p>
            <w:r/>
            <w:r>
              <w:rPr>
                <w:rFonts w:ascii="Aptos" w:hAnsi="Aptos"/>
                <w:b w:val="0"/>
                <w:sz w:val="16"/>
              </w:rPr>
              <w:t>Trole/Ecovía/corredores</w:t>
            </w:r>
          </w:p>
        </w:tc>
        <w:tc>
          <w:tcPr>
            <w:tcW w:type="dxa" w:w="1944"/>
            <w:vAlign w:val="center"/>
          </w:tcPr>
          <w:p>
            <w:r/>
            <w:r>
              <w:rPr>
                <w:rFonts w:ascii="Aptos" w:hAnsi="Aptos"/>
                <w:b w:val="0"/>
                <w:sz w:val="16"/>
              </w:rPr>
              <w:t>Tumbaco</w:t>
            </w:r>
          </w:p>
        </w:tc>
        <w:tc>
          <w:tcPr>
            <w:tcW w:type="dxa" w:w="1080"/>
            <w:vAlign w:val="center"/>
          </w:tcPr>
          <w:p>
            <w:r/>
            <w:r>
              <w:rPr>
                <w:rFonts w:ascii="Aptos" w:hAnsi="Aptos"/>
                <w:b w:val="0"/>
                <w:sz w:val="16"/>
              </w:rPr>
              <w:t>+11.3 pp</w:t>
            </w:r>
          </w:p>
        </w:tc>
        <w:tc>
          <w:tcPr>
            <w:tcW w:type="dxa" w:w="1008"/>
            <w:vAlign w:val="center"/>
          </w:tcPr>
          <w:p>
            <w:r/>
            <w:r>
              <w:rPr>
                <w:rFonts w:ascii="Aptos" w:hAnsi="Aptos"/>
                <w:b w:val="0"/>
                <w:sz w:val="16"/>
              </w:rPr>
              <w:t>0.001</w:t>
            </w:r>
          </w:p>
        </w:tc>
      </w:tr>
      <w:tr>
        <w:trPr>
          <w:cantSplit/>
        </w:trPr>
        <w:tc>
          <w:tcPr>
            <w:tcW w:type="dxa" w:w="3528"/>
            <w:vAlign w:val="center"/>
          </w:tcPr>
          <w:p>
            <w:r/>
            <w:r>
              <w:rPr>
                <w:rFonts w:ascii="Aptos" w:hAnsi="Aptos"/>
                <w:b w:val="0"/>
                <w:sz w:val="16"/>
              </w:rPr>
              <w:t>Trole/Ecovía/corredores</w:t>
            </w:r>
          </w:p>
        </w:tc>
        <w:tc>
          <w:tcPr>
            <w:tcW w:type="dxa" w:w="1944"/>
            <w:vAlign w:val="center"/>
          </w:tcPr>
          <w:p>
            <w:r/>
            <w:r>
              <w:rPr>
                <w:rFonts w:ascii="Aptos" w:hAnsi="Aptos"/>
                <w:b w:val="0"/>
                <w:sz w:val="16"/>
              </w:rPr>
              <w:t>Chocó Andino</w:t>
            </w:r>
          </w:p>
        </w:tc>
        <w:tc>
          <w:tcPr>
            <w:tcW w:type="dxa" w:w="1080"/>
            <w:vAlign w:val="center"/>
          </w:tcPr>
          <w:p>
            <w:r/>
            <w:r>
              <w:rPr>
                <w:rFonts w:ascii="Aptos" w:hAnsi="Aptos"/>
                <w:b w:val="0"/>
                <w:sz w:val="16"/>
              </w:rPr>
              <w:t>+21.1 pp</w:t>
            </w:r>
          </w:p>
        </w:tc>
        <w:tc>
          <w:tcPr>
            <w:tcW w:type="dxa" w:w="1008"/>
            <w:vAlign w:val="center"/>
          </w:tcPr>
          <w:p>
            <w:r/>
            <w:r>
              <w:rPr>
                <w:rFonts w:ascii="Aptos" w:hAnsi="Aptos"/>
                <w:b w:val="0"/>
                <w:sz w:val="16"/>
              </w:rPr>
              <w:t>0.001</w:t>
            </w:r>
          </w:p>
        </w:tc>
      </w:tr>
    </w:tbl>
    <w:p/>
    <w:p>
      <w:r>
        <w:br w:type="page"/>
      </w:r>
    </w:p>
    <w:p>
      <w:pPr>
        <w:pStyle w:val="Heading1"/>
      </w:pPr>
      <w:r>
        <w:t>7. Robustez: percepción de si la inseguridad aumentó</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4176"/>
            <w:vAlign w:val="center"/>
            <w:shd w:fill="D9EAF7"/>
          </w:tcPr>
          <w:p>
            <w:r/>
            <w:r>
              <w:rPr>
                <w:rFonts w:ascii="Aptos" w:hAnsi="Aptos"/>
                <w:b/>
                <w:sz w:val="17"/>
              </w:rPr>
              <w:t>Pregunta</w:t>
            </w:r>
          </w:p>
        </w:tc>
        <w:tc>
          <w:tcPr>
            <w:tcW w:type="dxa" w:w="1008"/>
            <w:vAlign w:val="center"/>
            <w:shd w:fill="D9EAF7"/>
          </w:tcPr>
          <w:p>
            <w:r/>
            <w:r>
              <w:rPr>
                <w:rFonts w:ascii="Aptos" w:hAnsi="Aptos"/>
                <w:b/>
                <w:sz w:val="17"/>
              </w:rPr>
              <w:t>2023</w:t>
            </w:r>
          </w:p>
        </w:tc>
        <w:tc>
          <w:tcPr>
            <w:tcW w:type="dxa" w:w="1008"/>
            <w:vAlign w:val="center"/>
            <w:shd w:fill="D9EAF7"/>
          </w:tcPr>
          <w:p>
            <w:r/>
            <w:r>
              <w:rPr>
                <w:rFonts w:ascii="Aptos" w:hAnsi="Aptos"/>
                <w:b/>
                <w:sz w:val="17"/>
              </w:rPr>
              <w:t>2025</w:t>
            </w:r>
          </w:p>
        </w:tc>
        <w:tc>
          <w:tcPr>
            <w:tcW w:type="dxa" w:w="1152"/>
            <w:vAlign w:val="center"/>
            <w:shd w:fill="D9EAF7"/>
          </w:tcPr>
          <w:p>
            <w:r/>
            <w:r>
              <w:rPr>
                <w:rFonts w:ascii="Aptos" w:hAnsi="Aptos"/>
                <w:b/>
                <w:sz w:val="17"/>
              </w:rPr>
              <w:t>Cambio</w:t>
            </w:r>
          </w:p>
        </w:tc>
      </w:tr>
      <w:tr>
        <w:trPr>
          <w:cantSplit/>
        </w:trPr>
        <w:tc>
          <w:tcPr>
            <w:tcW w:type="dxa" w:w="4176"/>
            <w:vAlign w:val="center"/>
          </w:tcPr>
          <w:p>
            <w:r/>
            <w:r>
              <w:rPr>
                <w:rFonts w:ascii="Aptos" w:hAnsi="Aptos"/>
                <w:b w:val="0"/>
                <w:sz w:val="17"/>
              </w:rPr>
              <w:t>Inseguridad aumentó en el barrio</w:t>
            </w:r>
          </w:p>
        </w:tc>
        <w:tc>
          <w:tcPr>
            <w:tcW w:type="dxa" w:w="1008"/>
            <w:vAlign w:val="center"/>
          </w:tcPr>
          <w:p>
            <w:r/>
            <w:r>
              <w:rPr>
                <w:rFonts w:ascii="Aptos" w:hAnsi="Aptos"/>
                <w:b w:val="0"/>
                <w:sz w:val="17"/>
              </w:rPr>
              <w:t>58.1%</w:t>
            </w:r>
          </w:p>
        </w:tc>
        <w:tc>
          <w:tcPr>
            <w:tcW w:type="dxa" w:w="1008"/>
            <w:vAlign w:val="center"/>
          </w:tcPr>
          <w:p>
            <w:r/>
            <w:r>
              <w:rPr>
                <w:rFonts w:ascii="Aptos" w:hAnsi="Aptos"/>
                <w:b w:val="0"/>
                <w:sz w:val="17"/>
              </w:rPr>
              <w:t>51.4%</w:t>
            </w:r>
          </w:p>
        </w:tc>
        <w:tc>
          <w:tcPr>
            <w:tcW w:type="dxa" w:w="1152"/>
            <w:vAlign w:val="center"/>
          </w:tcPr>
          <w:p>
            <w:r/>
            <w:r>
              <w:rPr>
                <w:rFonts w:ascii="Aptos" w:hAnsi="Aptos"/>
                <w:b w:val="0"/>
                <w:sz w:val="17"/>
              </w:rPr>
              <w:t>-6.7 pp</w:t>
            </w:r>
          </w:p>
        </w:tc>
      </w:tr>
      <w:tr>
        <w:trPr>
          <w:cantSplit/>
        </w:trPr>
        <w:tc>
          <w:tcPr>
            <w:tcW w:type="dxa" w:w="4176"/>
            <w:vAlign w:val="center"/>
          </w:tcPr>
          <w:p>
            <w:r/>
            <w:r>
              <w:rPr>
                <w:rFonts w:ascii="Aptos" w:hAnsi="Aptos"/>
                <w:b w:val="0"/>
                <w:sz w:val="17"/>
              </w:rPr>
              <w:t>Inseguridad aumentó en Quito</w:t>
            </w:r>
          </w:p>
        </w:tc>
        <w:tc>
          <w:tcPr>
            <w:tcW w:type="dxa" w:w="1008"/>
            <w:vAlign w:val="center"/>
          </w:tcPr>
          <w:p>
            <w:r/>
            <w:r>
              <w:rPr>
                <w:rFonts w:ascii="Aptos" w:hAnsi="Aptos"/>
                <w:b w:val="0"/>
                <w:sz w:val="17"/>
              </w:rPr>
              <w:t>90.8%</w:t>
            </w:r>
          </w:p>
        </w:tc>
        <w:tc>
          <w:tcPr>
            <w:tcW w:type="dxa" w:w="1008"/>
            <w:vAlign w:val="center"/>
          </w:tcPr>
          <w:p>
            <w:r/>
            <w:r>
              <w:rPr>
                <w:rFonts w:ascii="Aptos" w:hAnsi="Aptos"/>
                <w:b w:val="0"/>
                <w:sz w:val="17"/>
              </w:rPr>
              <w:t>87.7%</w:t>
            </w:r>
          </w:p>
        </w:tc>
        <w:tc>
          <w:tcPr>
            <w:tcW w:type="dxa" w:w="1152"/>
            <w:vAlign w:val="center"/>
          </w:tcPr>
          <w:p>
            <w:r/>
            <w:r>
              <w:rPr>
                <w:rFonts w:ascii="Aptos" w:hAnsi="Aptos"/>
                <w:b w:val="0"/>
                <w:sz w:val="17"/>
              </w:rPr>
              <w:t>-3.1 pp</w:t>
            </w:r>
          </w:p>
        </w:tc>
      </w:tr>
      <w:tr>
        <w:trPr>
          <w:cantSplit/>
        </w:trPr>
        <w:tc>
          <w:tcPr>
            <w:tcW w:type="dxa" w:w="4176"/>
            <w:vAlign w:val="center"/>
          </w:tcPr>
          <w:p>
            <w:r/>
            <w:r>
              <w:rPr>
                <w:rFonts w:ascii="Aptos" w:hAnsi="Aptos"/>
                <w:b w:val="0"/>
                <w:sz w:val="17"/>
              </w:rPr>
              <w:t>Inseguridad aumentó en el país</w:t>
            </w:r>
          </w:p>
        </w:tc>
        <w:tc>
          <w:tcPr>
            <w:tcW w:type="dxa" w:w="1008"/>
            <w:vAlign w:val="center"/>
          </w:tcPr>
          <w:p>
            <w:r/>
            <w:r>
              <w:rPr>
                <w:rFonts w:ascii="Aptos" w:hAnsi="Aptos"/>
                <w:b w:val="0"/>
                <w:sz w:val="17"/>
              </w:rPr>
              <w:t>95.1%</w:t>
            </w:r>
          </w:p>
        </w:tc>
        <w:tc>
          <w:tcPr>
            <w:tcW w:type="dxa" w:w="1008"/>
            <w:vAlign w:val="center"/>
          </w:tcPr>
          <w:p>
            <w:r/>
            <w:r>
              <w:rPr>
                <w:rFonts w:ascii="Aptos" w:hAnsi="Aptos"/>
                <w:b w:val="0"/>
                <w:sz w:val="17"/>
              </w:rPr>
              <w:t>91.4%</w:t>
            </w:r>
          </w:p>
        </w:tc>
        <w:tc>
          <w:tcPr>
            <w:tcW w:type="dxa" w:w="1152"/>
            <w:vAlign w:val="center"/>
          </w:tcPr>
          <w:p>
            <w:r/>
            <w:r>
              <w:rPr>
                <w:rFonts w:ascii="Aptos" w:hAnsi="Aptos"/>
                <w:b w:val="0"/>
                <w:sz w:val="17"/>
              </w:rPr>
              <w:t>-3.7 pp</w:t>
            </w:r>
          </w:p>
        </w:tc>
      </w:tr>
    </w:tbl>
    <w:p/>
    <w:p>
      <w:r>
        <w:t>La proporción que considera que la inseguridad aumentó disminuye en el agregado de Quito. No obstante, la comparación zonal vuelve a identificar a Los Chillos y Tumbaco como casos de deterioro relativo en la percepción de cambio de la inseguridad barrial.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888"/>
            <w:vAlign w:val="center"/>
            <w:shd w:fill="D9EAF7"/>
          </w:tcPr>
          <w:p>
            <w:r/>
            <w:r>
              <w:rPr>
                <w:rFonts w:ascii="Aptos" w:hAnsi="Aptos"/>
                <w:b/>
                <w:sz w:val="16"/>
              </w:rPr>
              <w:t>Pregunta</w:t>
            </w:r>
          </w:p>
        </w:tc>
        <w:tc>
          <w:tcPr>
            <w:tcW w:type="dxa" w:w="1872"/>
            <w:vAlign w:val="center"/>
            <w:shd w:fill="D9EAF7"/>
          </w:tcPr>
          <w:p>
            <w:r/>
            <w:r>
              <w:rPr>
                <w:rFonts w:ascii="Aptos" w:hAnsi="Aptos"/>
                <w:b/>
                <w:sz w:val="16"/>
              </w:rPr>
              <w:t>Zona</w:t>
            </w:r>
          </w:p>
        </w:tc>
        <w:tc>
          <w:tcPr>
            <w:tcW w:type="dxa" w:w="1152"/>
            <w:vAlign w:val="center"/>
            <w:shd w:fill="D9EAF7"/>
          </w:tcPr>
          <w:p>
            <w:r/>
            <w:r>
              <w:rPr>
                <w:rFonts w:ascii="Aptos" w:hAnsi="Aptos"/>
                <w:b/>
                <w:sz w:val="16"/>
              </w:rPr>
              <w:t>DiD</w:t>
            </w:r>
          </w:p>
        </w:tc>
        <w:tc>
          <w:tcPr>
            <w:tcW w:type="dxa" w:w="1008"/>
            <w:vAlign w:val="center"/>
            <w:shd w:fill="D9EAF7"/>
          </w:tcPr>
          <w:p>
            <w:r/>
            <w:r>
              <w:rPr>
                <w:rFonts w:ascii="Aptos" w:hAnsi="Aptos"/>
                <w:b/>
                <w:sz w:val="16"/>
              </w:rPr>
              <w:t>q FDR</w:t>
            </w:r>
          </w:p>
        </w:tc>
      </w:tr>
      <w:tr>
        <w:trPr>
          <w:cantSplit/>
        </w:trPr>
        <w:tc>
          <w:tcPr>
            <w:tcW w:type="dxa" w:w="3888"/>
            <w:vAlign w:val="center"/>
          </w:tcPr>
          <w:p>
            <w:r/>
            <w:r>
              <w:rPr>
                <w:rFonts w:ascii="Aptos" w:hAnsi="Aptos"/>
                <w:b w:val="0"/>
                <w:sz w:val="16"/>
              </w:rPr>
              <w:t>Inseguridad aumentó en el barrio</w:t>
            </w:r>
          </w:p>
        </w:tc>
        <w:tc>
          <w:tcPr>
            <w:tcW w:type="dxa" w:w="1872"/>
            <w:vAlign w:val="center"/>
          </w:tcPr>
          <w:p>
            <w:r/>
            <w:r>
              <w:rPr>
                <w:rFonts w:ascii="Aptos" w:hAnsi="Aptos"/>
                <w:b w:val="0"/>
                <w:sz w:val="16"/>
              </w:rPr>
              <w:t>Los Chillos</w:t>
            </w:r>
          </w:p>
        </w:tc>
        <w:tc>
          <w:tcPr>
            <w:tcW w:type="dxa" w:w="1152"/>
            <w:vAlign w:val="center"/>
          </w:tcPr>
          <w:p>
            <w:r/>
            <w:r>
              <w:rPr>
                <w:rFonts w:ascii="Aptos" w:hAnsi="Aptos"/>
                <w:b w:val="0"/>
                <w:sz w:val="16"/>
              </w:rPr>
              <w:t>+15.5 pp</w:t>
            </w:r>
          </w:p>
        </w:tc>
        <w:tc>
          <w:tcPr>
            <w:tcW w:type="dxa" w:w="1008"/>
            <w:vAlign w:val="center"/>
          </w:tcPr>
          <w:p>
            <w:r/>
            <w:r>
              <w:rPr>
                <w:rFonts w:ascii="Aptos" w:hAnsi="Aptos"/>
                <w:b w:val="0"/>
                <w:sz w:val="16"/>
              </w:rPr>
              <w:t>0.018</w:t>
            </w:r>
          </w:p>
        </w:tc>
      </w:tr>
      <w:tr>
        <w:trPr>
          <w:cantSplit/>
        </w:trPr>
        <w:tc>
          <w:tcPr>
            <w:tcW w:type="dxa" w:w="3888"/>
            <w:vAlign w:val="center"/>
          </w:tcPr>
          <w:p>
            <w:r/>
            <w:r>
              <w:rPr>
                <w:rFonts w:ascii="Aptos" w:hAnsi="Aptos"/>
                <w:b w:val="0"/>
                <w:sz w:val="16"/>
              </w:rPr>
              <w:t>Inseguridad aumentó en el barrio</w:t>
            </w:r>
          </w:p>
        </w:tc>
        <w:tc>
          <w:tcPr>
            <w:tcW w:type="dxa" w:w="1872"/>
            <w:vAlign w:val="center"/>
          </w:tcPr>
          <w:p>
            <w:r/>
            <w:r>
              <w:rPr>
                <w:rFonts w:ascii="Aptos" w:hAnsi="Aptos"/>
                <w:b w:val="0"/>
                <w:sz w:val="16"/>
              </w:rPr>
              <w:t>Tumbaco</w:t>
            </w:r>
          </w:p>
        </w:tc>
        <w:tc>
          <w:tcPr>
            <w:tcW w:type="dxa" w:w="1152"/>
            <w:vAlign w:val="center"/>
          </w:tcPr>
          <w:p>
            <w:r/>
            <w:r>
              <w:rPr>
                <w:rFonts w:ascii="Aptos" w:hAnsi="Aptos"/>
                <w:b w:val="0"/>
                <w:sz w:val="16"/>
              </w:rPr>
              <w:t>+11.7 pp</w:t>
            </w:r>
          </w:p>
        </w:tc>
        <w:tc>
          <w:tcPr>
            <w:tcW w:type="dxa" w:w="1008"/>
            <w:vAlign w:val="center"/>
          </w:tcPr>
          <w:p>
            <w:r/>
            <w:r>
              <w:rPr>
                <w:rFonts w:ascii="Aptos" w:hAnsi="Aptos"/>
                <w:b w:val="0"/>
                <w:sz w:val="16"/>
              </w:rPr>
              <w:t>0.018</w:t>
            </w:r>
          </w:p>
        </w:tc>
      </w:tr>
      <w:tr>
        <w:trPr>
          <w:cantSplit/>
        </w:trPr>
        <w:tc>
          <w:tcPr>
            <w:tcW w:type="dxa" w:w="3888"/>
            <w:vAlign w:val="center"/>
          </w:tcPr>
          <w:p>
            <w:r/>
            <w:r>
              <w:rPr>
                <w:rFonts w:ascii="Aptos" w:hAnsi="Aptos"/>
                <w:b w:val="0"/>
                <w:sz w:val="16"/>
              </w:rPr>
              <w:t>Inseguridad aumentó en el país</w:t>
            </w:r>
          </w:p>
        </w:tc>
        <w:tc>
          <w:tcPr>
            <w:tcW w:type="dxa" w:w="1872"/>
            <w:vAlign w:val="center"/>
          </w:tcPr>
          <w:p>
            <w:r/>
            <w:r>
              <w:rPr>
                <w:rFonts w:ascii="Aptos" w:hAnsi="Aptos"/>
                <w:b w:val="0"/>
                <w:sz w:val="16"/>
              </w:rPr>
              <w:t>Calderón</w:t>
            </w:r>
          </w:p>
        </w:tc>
        <w:tc>
          <w:tcPr>
            <w:tcW w:type="dxa" w:w="1152"/>
            <w:vAlign w:val="center"/>
          </w:tcPr>
          <w:p>
            <w:r/>
            <w:r>
              <w:rPr>
                <w:rFonts w:ascii="Aptos" w:hAnsi="Aptos"/>
                <w:b w:val="0"/>
                <w:sz w:val="16"/>
              </w:rPr>
              <w:t>+5.3 pp</w:t>
            </w:r>
          </w:p>
        </w:tc>
        <w:tc>
          <w:tcPr>
            <w:tcW w:type="dxa" w:w="1008"/>
            <w:vAlign w:val="center"/>
          </w:tcPr>
          <w:p>
            <w:r/>
            <w:r>
              <w:rPr>
                <w:rFonts w:ascii="Aptos" w:hAnsi="Aptos"/>
                <w:b w:val="0"/>
                <w:sz w:val="16"/>
              </w:rPr>
              <w:t>0.018</w:t>
            </w:r>
          </w:p>
        </w:tc>
      </w:tr>
      <w:tr>
        <w:trPr>
          <w:cantSplit/>
        </w:trPr>
        <w:tc>
          <w:tcPr>
            <w:tcW w:type="dxa" w:w="3888"/>
            <w:vAlign w:val="center"/>
          </w:tcPr>
          <w:p>
            <w:r/>
            <w:r>
              <w:rPr>
                <w:rFonts w:ascii="Aptos" w:hAnsi="Aptos"/>
                <w:b w:val="0"/>
                <w:sz w:val="16"/>
              </w:rPr>
              <w:t>Inseguridad aumentó en el país</w:t>
            </w:r>
          </w:p>
        </w:tc>
        <w:tc>
          <w:tcPr>
            <w:tcW w:type="dxa" w:w="1872"/>
            <w:vAlign w:val="center"/>
          </w:tcPr>
          <w:p>
            <w:r/>
            <w:r>
              <w:rPr>
                <w:rFonts w:ascii="Aptos" w:hAnsi="Aptos"/>
                <w:b w:val="0"/>
                <w:sz w:val="16"/>
              </w:rPr>
              <w:t>Eloy Alfaro</w:t>
            </w:r>
          </w:p>
        </w:tc>
        <w:tc>
          <w:tcPr>
            <w:tcW w:type="dxa" w:w="1152"/>
            <w:vAlign w:val="center"/>
          </w:tcPr>
          <w:p>
            <w:r/>
            <w:r>
              <w:rPr>
                <w:rFonts w:ascii="Aptos" w:hAnsi="Aptos"/>
                <w:b w:val="0"/>
                <w:sz w:val="16"/>
              </w:rPr>
              <w:t>-6.3 pp</w:t>
            </w:r>
          </w:p>
        </w:tc>
        <w:tc>
          <w:tcPr>
            <w:tcW w:type="dxa" w:w="1008"/>
            <w:vAlign w:val="center"/>
          </w:tcPr>
          <w:p>
            <w:r/>
            <w:r>
              <w:rPr>
                <w:rFonts w:ascii="Aptos" w:hAnsi="Aptos"/>
                <w:b w:val="0"/>
                <w:sz w:val="16"/>
              </w:rPr>
              <w:t>0.004</w:t>
            </w:r>
          </w:p>
        </w:tc>
      </w:tr>
      <w:tr>
        <w:trPr>
          <w:cantSplit/>
        </w:trPr>
        <w:tc>
          <w:tcPr>
            <w:tcW w:type="dxa" w:w="3888"/>
            <w:vAlign w:val="center"/>
          </w:tcPr>
          <w:p>
            <w:r/>
            <w:r>
              <w:rPr>
                <w:rFonts w:ascii="Aptos" w:hAnsi="Aptos"/>
                <w:b w:val="0"/>
                <w:sz w:val="16"/>
              </w:rPr>
              <w:t>Inseguridad aumentó en el país</w:t>
            </w:r>
          </w:p>
        </w:tc>
        <w:tc>
          <w:tcPr>
            <w:tcW w:type="dxa" w:w="1872"/>
            <w:vAlign w:val="center"/>
          </w:tcPr>
          <w:p>
            <w:r/>
            <w:r>
              <w:rPr>
                <w:rFonts w:ascii="Aptos" w:hAnsi="Aptos"/>
                <w:b w:val="0"/>
                <w:sz w:val="16"/>
              </w:rPr>
              <w:t>Tumbaco</w:t>
            </w:r>
          </w:p>
        </w:tc>
        <w:tc>
          <w:tcPr>
            <w:tcW w:type="dxa" w:w="1152"/>
            <w:vAlign w:val="center"/>
          </w:tcPr>
          <w:p>
            <w:r/>
            <w:r>
              <w:rPr>
                <w:rFonts w:ascii="Aptos" w:hAnsi="Aptos"/>
                <w:b w:val="0"/>
                <w:sz w:val="16"/>
              </w:rPr>
              <w:t>+6.5 pp</w:t>
            </w:r>
          </w:p>
        </w:tc>
        <w:tc>
          <w:tcPr>
            <w:tcW w:type="dxa" w:w="1008"/>
            <w:vAlign w:val="center"/>
          </w:tcPr>
          <w:p>
            <w:r/>
            <w:r>
              <w:rPr>
                <w:rFonts w:ascii="Aptos" w:hAnsi="Aptos"/>
                <w:b w:val="0"/>
                <w:sz w:val="16"/>
              </w:rPr>
              <w:t>0.007</w:t>
            </w:r>
          </w:p>
        </w:tc>
      </w:tr>
    </w:tbl>
    <w:p/>
    <w:p>
      <w:pPr>
        <w:pStyle w:val="Heading1"/>
      </w:pPr>
      <w:r>
        <w:t>8. Alcances y limitaciones</w:t>
      </w:r>
    </w:p>
    <w:p>
      <w:pPr>
        <w:pStyle w:val="ListBullet"/>
      </w:pPr>
      <w:r>
        <w:t>Dos períodos: con 2023 y 2025 no se pueden observar ni testear tendencias paralelas pretratamiento. La interpretación causal requeriría evidencia adicional o un diseño de identificación más fuerte.</w:t>
      </w:r>
    </w:p>
    <w:p>
      <w:pPr>
        <w:pStyle w:val="ListBullet"/>
      </w:pPr>
      <w:r>
        <w:t>Cortes transversales repetidos: no se sigue a las mismas personas. El cambio corresponde a poblaciones representativas en cada año, no a cambios individuales longitudinales.</w:t>
      </w:r>
    </w:p>
    <w:p>
      <w:pPr>
        <w:pStyle w:val="ListBullet"/>
      </w:pPr>
      <w:r>
        <w:t>Ponderación e inferencia: peso_az_estrato se usa para estimaciones puntuales y WLS. Los errores robustos HC1 no sustituyen completamente un estimador de varianza de encuesta con PSU/conglomerados si el diseño dispone de esos identificadores.</w:t>
      </w:r>
    </w:p>
    <w:p>
      <w:pPr>
        <w:pStyle w:val="ListBullet"/>
      </w:pPr>
      <w:r>
        <w:t>No aplica: se excluye del denominador. Los índices exigen un mínimo de respuestas válidas para reducir cambios de composición debidos a exposición diferencial a ciertos servicios.</w:t>
      </w:r>
    </w:p>
    <w:p>
      <w:pPr>
        <w:pStyle w:val="ListBullet"/>
      </w:pPr>
      <w:r>
        <w:t>Múltiples comparaciones: se reporta Benjamini–Hochberg FDR dentro de cada familia de 10 comparaciones zonales. Los patrones consistentes entre varias preguntas merecen más peso sustantivo que un p-valor aislado.</w:t>
      </w:r>
    </w:p>
    <w:p>
      <w:r>
        <w:br w:type="page"/>
      </w:r>
    </w:p>
    <w:p>
      <w:pPr>
        <w:pStyle w:val="Heading1"/>
      </w:pPr>
      <w:r>
        <w:t>9. Conclusión</w:t>
      </w:r>
    </w:p>
    <w:p>
      <w:r>
        <w:t>Entre 2023 y 2025 la percepción agregada de inseguridad en Quito mejora principalmente en transporte y espacios de uso público, mientras la dimensión barrial permanece prácticamente estancada. El análisis territorial revela heterogeneidad considerable: La Mariscal mejora respecto del resto de la ciudad, mientras Los Chillos registra un deterioro barrial y multidimensional muy marcado y Tumbaco queda sistemáticamente rezagado respecto de la mejora observada en el resto de Quito. Estas diferencias son descriptivamente robustas a varias medidas, pero no deben presentarse como efectos causales de políticas específicas sin información pretratamiento adicional.</w:t>
      </w:r>
    </w:p>
    <w:p>
      <w:pPr>
        <w:pStyle w:val="Heading1"/>
      </w:pPr>
      <w:r>
        <w:t>10. Reproducibilidad</w:t>
      </w:r>
    </w:p>
    <w:p>
      <w:r>
        <w:t>Se entrega conjuntamente un notebook compatible con Google Colab. El notebook carga la base original, recodifica las preguntas, construye los tres índices siguiendo exactamente las reglas descritas en la sección 2, estima los DiD WLS con errores HC1, aplica FDR, genera las figuras y exporta las tablas de resultados.</w:t>
      </w:r>
    </w:p>
    <w:sectPr w:rsidR="00FC693F" w:rsidRPr="0006063C" w:rsidSect="00034616">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Percepción de inseguridad en Quito 2023–2025 · Informe técnico reproducible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