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120"/>
        <w:jc w:val="center"/>
        <w:rPr>
          <w:b/>
          <w:bCs/>
          <w:sz w:val="26"/>
          <w:szCs w:val="26"/>
        </w:rPr>
      </w:pPr>
      <w:r>
        <w:rPr>
          <w:b/>
          <w:bCs/>
          <w:sz w:val="26"/>
          <w:szCs w:val="26"/>
        </w:rPr>
        <w:t xml:space="preserve">PROJECT REVIEW DOCUMENT</w:t>
      </w:r>
    </w:p>
    <w:p/>
    <w:p>
      <w:pPr>
        <w:spacing w:after="120"/>
        <w:jc w:val="center"/>
        <w:rPr>
          <w:b/>
          <w:bCs/>
          <w:color w:val="1F5A38"/>
          <w:sz w:val="40"/>
          <w:szCs w:val="40"/>
        </w:rPr>
      </w:pPr>
      <w:r>
        <w:rPr>
          <w:b/>
          <w:bCs/>
          <w:color w:val="1F5A38"/>
          <w:sz w:val="40"/>
          <w:szCs w:val="40"/>
        </w:rPr>
        <w:t xml:space="preserve">FOODGUARD AI</w:t>
      </w:r>
    </w:p>
    <w:p>
      <w:pPr>
        <w:spacing w:after="120"/>
        <w:jc w:val="center"/>
        <w:rPr>
          <w:b/>
          <w:bCs/>
          <w:sz w:val="28"/>
          <w:szCs w:val="28"/>
        </w:rPr>
      </w:pPr>
      <w:r>
        <w:rPr>
          <w:b/>
          <w:bCs/>
          <w:sz w:val="28"/>
          <w:szCs w:val="28"/>
        </w:rPr>
        <w:t xml:space="preserve">A Dual-Pipeline Food Safety Detection System Using Deep Learning, OCR and FSSAI Compliance Rules</w:t>
      </w:r>
    </w:p>
    <w:p/>
    <w:p>
      <w:pPr>
        <w:spacing w:after="120"/>
        <w:jc w:val="center"/>
        <w:rPr>
          <w:i/>
          <w:iCs/>
          <w:sz w:val="26"/>
          <w:szCs w:val="26"/>
        </w:rPr>
      </w:pPr>
      <w:r>
        <w:rPr>
          <w:i/>
          <w:iCs/>
          <w:sz w:val="26"/>
          <w:szCs w:val="26"/>
        </w:rPr>
        <w:t xml:space="preserve">Literature Survey  •  Methodology  •  System Design</w:t>
      </w:r>
    </w:p>
    <w:p/>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5906"/>
      </w:tblGrid>
      <w:tr>
        <w:tc>
          <w:tcPr>
            <w:tcW w:type="dxa" w:w="240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tcPr>
          <w:p>
            <w:r>
              <w:rPr>
                <w:b/>
                <w:bCs/>
              </w:rPr>
              <w:t xml:space="preserve">Project title</w:t>
            </w:r>
          </w:p>
        </w:tc>
        <w:tc>
          <w:tcPr>
            <w:tcW w:type="dxa" w:w="590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FoodGuard AI: A Dual-Pipeline Food Safety Detection System Using Deep Learning, OCR and FSSAI Compliance Rules</w:t>
            </w:r>
          </w:p>
        </w:tc>
      </w:tr>
      <w:tr>
        <w:tc>
          <w:tcPr>
            <w:tcW w:type="dxa" w:w="240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tcPr>
          <w:p>
            <w:r>
              <w:rPr>
                <w:b/>
                <w:bCs/>
              </w:rPr>
              <w:t xml:space="preserve">Student</w:t>
            </w:r>
          </w:p>
        </w:tc>
        <w:tc>
          <w:tcPr>
            <w:tcW w:type="dxa" w:w="590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[Student Name]  ([University Roll No.])</w:t>
            </w:r>
          </w:p>
        </w:tc>
      </w:tr>
      <w:tr>
        <w:tc>
          <w:tcPr>
            <w:tcW w:type="dxa" w:w="240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tcPr>
          <w:p>
            <w:r>
              <w:rPr>
                <w:b/>
                <w:bCs/>
              </w:rPr>
              <w:t xml:space="preserve">Guide</w:t>
            </w:r>
          </w:p>
        </w:tc>
        <w:tc>
          <w:tcPr>
            <w:tcW w:type="dxa" w:w="590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[Guide Name], [Designation]</w:t>
            </w:r>
          </w:p>
        </w:tc>
      </w:tr>
      <w:tr>
        <w:tc>
          <w:tcPr>
            <w:tcW w:type="dxa" w:w="240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tcPr>
          <w:p>
            <w:r>
              <w:rPr>
                <w:b/>
                <w:bCs/>
              </w:rPr>
              <w:t xml:space="preserve">Programme</w:t>
            </w:r>
          </w:p>
        </w:tc>
        <w:tc>
          <w:tcPr>
            <w:tcW w:type="dxa" w:w="590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B.Tech, Computer Science and Engineering</w:t>
            </w:r>
          </w:p>
        </w:tc>
      </w:tr>
      <w:tr>
        <w:tc>
          <w:tcPr>
            <w:tcW w:type="dxa" w:w="240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tcPr>
          <w:p>
            <w:r>
              <w:rPr>
                <w:b/>
                <w:bCs/>
              </w:rPr>
              <w:t xml:space="preserve">Review</w:t>
            </w:r>
          </w:p>
        </w:tc>
        <w:tc>
          <w:tcPr>
            <w:tcW w:type="dxa" w:w="590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[Review No.]  Date: [DD/MM/YYYY]</w:t>
            </w:r>
          </w:p>
        </w:tc>
      </w:tr>
      <w:tr>
        <w:tc>
          <w:tcPr>
            <w:tcW w:type="dxa" w:w="2400"/>
            <w:tcBorders>
              <w:top w:val="single" w:color="808080" w:sz="4"/>
              <w:left w:val="single" w:color="808080" w:sz="4"/>
              <w:bottom w:val="single" w:color="808080" w:sz="4"/>
              <w:right w:val="single" w:color="808080" w:sz="4"/>
            </w:tcBorders>
            <w:shd w:fill="DCEFE1" w:color="auto" w:val="clear"/>
            <w:tcMar>
              <w:top w:type="dxa" w:w="60"/>
              <w:left w:type="dxa" w:w="100"/>
              <w:bottom w:type="dxa" w:w="60"/>
              <w:right w:type="dxa" w:w="100"/>
            </w:tcMar>
          </w:tcPr>
          <w:p>
            <w:r>
              <w:rPr>
                <w:b/>
                <w:bCs/>
              </w:rPr>
              <w:t xml:space="preserve">Contents</w:t>
            </w:r>
          </w:p>
        </w:tc>
        <w:tc>
          <w:tcPr>
            <w:tcW w:type="dxa" w:w="590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Literature Survey, Methodology, System Design</w:t>
            </w:r>
          </w:p>
        </w:tc>
      </w:tr>
    </w:tbl>
    <w:p/>
    <w:p/>
    <w:p/>
    <w:p>
      <w:pPr>
        <w:spacing w:after="120"/>
        <w:jc w:val="center"/>
        <w:rPr>
          <w:color w:val="808080"/>
        </w:rPr>
      </w:pPr>
      <w:r>
        <w:rPr>
          <w:color w:val="808080"/>
        </w:rPr>
        <w:t xml:space="preserve">[College logo]</w:t>
      </w:r>
    </w:p>
    <w:p/>
    <w:p>
      <w:pPr>
        <w:spacing w:after="120"/>
        <w:jc w:val="center"/>
        <w:rPr>
          <w:b/>
          <w:bCs/>
        </w:rPr>
      </w:pPr>
      <w:r>
        <w:rPr>
          <w:b/>
          <w:bCs/>
        </w:rPr>
        <w:t xml:space="preserve">DEPARTMENT OF COMPUTER SCIENCE AND ENGINEERING</w:t>
      </w:r>
    </w:p>
    <w:p>
      <w:pPr>
        <w:spacing w:after="120"/>
        <w:jc w:val="center"/>
        <w:rPr>
          <w:b/>
          <w:bCs/>
        </w:rPr>
      </w:pPr>
      <w:r>
        <w:rPr>
          <w:b/>
          <w:bCs/>
        </w:rPr>
        <w:t xml:space="preserve">[COLLEGE NAME]</w:t>
      </w:r>
    </w:p>
    <w:p>
      <w:pPr>
        <w:spacing w:after="120"/>
        <w:jc w:val="center"/>
      </w:pPr>
      <w:r>
        <w:t xml:space="preserve">(Affiliated to [University Name])</w:t>
      </w:r>
    </w:p>
    <w:p>
      <w:pPr>
        <w:spacing w:after="120"/>
        <w:jc w:val="center"/>
        <w:rPr>
          <w:b/>
          <w:bCs/>
        </w:rPr>
      </w:pPr>
      <w:r>
        <w:rPr>
          <w:b/>
          <w:bCs/>
        </w:rPr>
        <w:t xml:space="preserve">2026</w:t>
      </w:r>
    </w:p>
    <w:p>
      <w:pPr>
        <w:sectPr>
          <w:pgSz w:w="11906" w:h="16838" w:orient="portrait"/>
          <w:pgMar w:top="1440" w:right="1440" w:bottom="1440" w:left="2160" w:header="720" w:footer="720" w:gutter="0"/>
          <w:pgNumType/>
          <w:docGrid w:linePitch="360"/>
        </w:sectPr>
      </w:pPr>
    </w:p>
    <w:p>
      <w:pPr>
        <w:pStyle w:val="Heading1"/>
        <w:pageBreakBefore/>
        <w:spacing w:after="360"/>
        <w:jc w:val="center"/>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jc w:val="both"/>
        <w:rPr>
          <w:i/>
          <w:iCs/>
          <w:color w:val="808080"/>
          <w:sz w:val="20"/>
          <w:szCs w:val="20"/>
        </w:rPr>
      </w:pPr>
      <w:r>
        <w:rPr>
          <w:i/>
          <w:iCs/>
          <w:color w:val="808080"/>
          <w:sz w:val="20"/>
          <w:szCs w:val="20"/>
        </w:rPr>
        <w:t xml:space="preserve">If page numbers are missing, right-click the table in Word and choose Update Field.</w:t>
      </w:r>
    </w:p>
    <w:p>
      <w:pPr>
        <w:pStyle w:val="Heading1"/>
        <w:pageBreakBefore/>
        <w:spacing w:after="360"/>
        <w:jc w:val="center"/>
      </w:pPr>
      <w:r>
        <w:t xml:space="preserve">LIST OF FIGURES</w:t>
      </w:r>
    </w:p>
    <w:p>
      <w:pPr>
        <w:tabs>
          <w:tab w:val="left" w:pos="1418"/>
        </w:tabs>
        <w:spacing w:after="60"/>
        <w:ind w:left="1418" w:hanging="1418"/>
      </w:pPr>
      <w:r>
        <w:rPr>
          <w:b/>
          <w:bCs/>
        </w:rPr>
        <w:t xml:space="preserve">Figure 3.1</w:t>
      </w:r>
      <w:r>
        <w:t xml:space="preserve">	Training methodology for the spoilage model</w:t>
      </w:r>
    </w:p>
    <w:p>
      <w:pPr>
        <w:tabs>
          <w:tab w:val="left" w:pos="1418"/>
        </w:tabs>
        <w:spacing w:after="60"/>
        <w:ind w:left="1418" w:hanging="1418"/>
      </w:pPr>
      <w:r>
        <w:rPr>
          <w:b/>
          <w:bCs/>
        </w:rPr>
        <w:t xml:space="preserve">Figure 3.2</w:t>
      </w:r>
      <w:r>
        <w:t xml:space="preserve">	Label reading pipeline</w:t>
      </w:r>
    </w:p>
    <w:p>
      <w:pPr>
        <w:tabs>
          <w:tab w:val="left" w:pos="1418"/>
        </w:tabs>
        <w:spacing w:after="60"/>
        <w:ind w:left="1418" w:hanging="1418"/>
      </w:pPr>
      <w:r>
        <w:rPr>
          <w:b/>
          <w:bCs/>
        </w:rPr>
        <w:t xml:space="preserve">Figure 4.1</w:t>
      </w:r>
      <w:r>
        <w:t xml:space="preserve">	System architecture of FoodGuard AI</w:t>
      </w:r>
    </w:p>
    <w:p>
      <w:pPr>
        <w:tabs>
          <w:tab w:val="left" w:pos="1418"/>
        </w:tabs>
        <w:spacing w:after="60"/>
        <w:ind w:left="1418" w:hanging="1418"/>
      </w:pPr>
      <w:r>
        <w:rPr>
          <w:b/>
          <w:bCs/>
        </w:rPr>
        <w:t xml:space="preserve">Figure 4.2</w:t>
      </w:r>
      <w:r>
        <w:t xml:space="preserve">	Data flow diagram, Level 0 (context diagram)</w:t>
      </w:r>
    </w:p>
    <w:p>
      <w:pPr>
        <w:tabs>
          <w:tab w:val="left" w:pos="1418"/>
        </w:tabs>
        <w:spacing w:after="60"/>
        <w:ind w:left="1418" w:hanging="1418"/>
      </w:pPr>
      <w:r>
        <w:rPr>
          <w:b/>
          <w:bCs/>
        </w:rPr>
        <w:t xml:space="preserve">Figure 4.3</w:t>
      </w:r>
      <w:r>
        <w:t xml:space="preserve">	Data flow diagram, Level 1</w:t>
      </w:r>
    </w:p>
    <w:p>
      <w:pPr>
        <w:tabs>
          <w:tab w:val="left" w:pos="1418"/>
        </w:tabs>
        <w:spacing w:after="60"/>
        <w:ind w:left="1418" w:hanging="1418"/>
      </w:pPr>
      <w:r>
        <w:rPr>
          <w:b/>
          <w:bCs/>
        </w:rPr>
        <w:t xml:space="preserve">Figure 4.4</w:t>
      </w:r>
      <w:r>
        <w:t xml:space="preserve">	Use case diagram</w:t>
      </w:r>
    </w:p>
    <w:p>
      <w:pPr>
        <w:tabs>
          <w:tab w:val="left" w:pos="1418"/>
        </w:tabs>
        <w:spacing w:after="60"/>
        <w:ind w:left="1418" w:hanging="1418"/>
      </w:pPr>
      <w:r>
        <w:rPr>
          <w:b/>
          <w:bCs/>
        </w:rPr>
        <w:t xml:space="preserve">Figure 4.5</w:t>
      </w:r>
      <w:r>
        <w:t xml:space="preserve">	Sequence diagram for a food check</w:t>
      </w:r>
    </w:p>
    <w:p>
      <w:pPr>
        <w:tabs>
          <w:tab w:val="left" w:pos="1418"/>
        </w:tabs>
        <w:spacing w:after="60"/>
        <w:ind w:left="1418" w:hanging="1418"/>
      </w:pPr>
      <w:r>
        <w:rPr>
          <w:b/>
          <w:bCs/>
        </w:rPr>
        <w:t xml:space="preserve">Figure 4.6</w:t>
      </w:r>
      <w:r>
        <w:t xml:space="preserve">	Activity diagram: guardrails and pipeline selection</w:t>
      </w:r>
    </w:p>
    <w:p>
      <w:pPr>
        <w:tabs>
          <w:tab w:val="left" w:pos="1418"/>
        </w:tabs>
        <w:spacing w:after="60"/>
        <w:ind w:left="1418" w:hanging="1418"/>
      </w:pPr>
      <w:r>
        <w:rPr>
          <w:b/>
          <w:bCs/>
        </w:rPr>
        <w:t xml:space="preserve">Figure 4.7</w:t>
      </w:r>
      <w:r>
        <w:t xml:space="preserve">	Activity diagram: verdict logic</w:t>
      </w:r>
    </w:p>
    <w:p>
      <w:pPr>
        <w:tabs>
          <w:tab w:val="left" w:pos="1418"/>
        </w:tabs>
        <w:spacing w:after="60"/>
        <w:ind w:left="1418" w:hanging="1418"/>
      </w:pPr>
      <w:r>
        <w:rPr>
          <w:b/>
          <w:bCs/>
        </w:rPr>
        <w:t xml:space="preserve">Figure 4.8</w:t>
      </w:r>
      <w:r>
        <w:t xml:space="preserve">	Module diagram with main functions</w:t>
      </w:r>
    </w:p>
    <w:p>
      <w:pPr>
        <w:tabs>
          <w:tab w:val="left" w:pos="1418"/>
        </w:tabs>
        <w:spacing w:after="60"/>
        <w:ind w:left="1418" w:hanging="1418"/>
      </w:pPr>
      <w:r>
        <w:rPr>
          <w:b/>
          <w:bCs/>
        </w:rPr>
        <w:t xml:space="preserve">Figure 4.9</w:t>
      </w:r>
      <w:r>
        <w:t xml:space="preserve">	Home screen (light theme)</w:t>
      </w:r>
    </w:p>
    <w:p>
      <w:pPr>
        <w:tabs>
          <w:tab w:val="left" w:pos="1418"/>
        </w:tabs>
        <w:spacing w:after="60"/>
        <w:ind w:left="1418" w:hanging="1418"/>
      </w:pPr>
      <w:r>
        <w:rPr>
          <w:b/>
          <w:bCs/>
        </w:rPr>
        <w:t xml:space="preserve">Figure 4.10</w:t>
      </w:r>
      <w:r>
        <w:t xml:space="preserve">	Processing screen with scanning animation</w:t>
      </w:r>
    </w:p>
    <w:p>
      <w:pPr>
        <w:tabs>
          <w:tab w:val="left" w:pos="1418"/>
        </w:tabs>
        <w:spacing w:after="60"/>
        <w:ind w:left="1418" w:hanging="1418"/>
      </w:pPr>
      <w:r>
        <w:rPr>
          <w:b/>
          <w:bCs/>
        </w:rPr>
        <w:t xml:space="preserve">Figure 4.11</w:t>
      </w:r>
      <w:r>
        <w:t xml:space="preserve">	Result screen for raw produce</w:t>
      </w:r>
    </w:p>
    <w:p>
      <w:pPr>
        <w:tabs>
          <w:tab w:val="left" w:pos="1418"/>
        </w:tabs>
        <w:spacing w:after="60"/>
        <w:ind w:left="1418" w:hanging="1418"/>
      </w:pPr>
      <w:r>
        <w:rPr>
          <w:b/>
          <w:bCs/>
        </w:rPr>
        <w:t xml:space="preserve">Figure 4.12</w:t>
      </w:r>
      <w:r>
        <w:t xml:space="preserve">	Deployment diagram</w:t>
      </w:r>
    </w:p>
    <w:p>
      <w:pPr>
        <w:pStyle w:val="Heading1"/>
        <w:pageBreakBefore/>
        <w:spacing w:after="360"/>
        <w:jc w:val="center"/>
      </w:pPr>
      <w:r>
        <w:t xml:space="preserve">LIST OF TABLES</w:t>
      </w:r>
    </w:p>
    <w:p>
      <w:pPr>
        <w:tabs>
          <w:tab w:val="left" w:pos="1418"/>
        </w:tabs>
        <w:spacing w:after="60"/>
        <w:ind w:left="1418" w:hanging="1418"/>
      </w:pPr>
      <w:r>
        <w:rPr>
          <w:b/>
          <w:bCs/>
        </w:rPr>
        <w:t xml:space="preserve">Table 2.1</w:t>
      </w:r>
      <w:r>
        <w:t xml:space="preserve">	Themes of the literature survey</w:t>
      </w:r>
    </w:p>
    <w:p>
      <w:pPr>
        <w:tabs>
          <w:tab w:val="left" w:pos="1418"/>
        </w:tabs>
        <w:spacing w:after="60"/>
        <w:ind w:left="1418" w:hanging="1418"/>
      </w:pPr>
      <w:r>
        <w:rPr>
          <w:b/>
          <w:bCs/>
        </w:rPr>
        <w:t xml:space="preserve">Table 2.2</w:t>
      </w:r>
      <w:r>
        <w:t xml:space="preserve">	Comparison of key works and their relevance</w:t>
      </w:r>
    </w:p>
    <w:p>
      <w:pPr>
        <w:tabs>
          <w:tab w:val="left" w:pos="1418"/>
        </w:tabs>
        <w:spacing w:after="60"/>
        <w:ind w:left="1418" w:hanging="1418"/>
      </w:pPr>
      <w:r>
        <w:rPr>
          <w:b/>
          <w:bCs/>
        </w:rPr>
        <w:t xml:space="preserve">Table 2.3</w:t>
      </w:r>
      <w:r>
        <w:t xml:space="preserve">	Research gaps and how this project addresses them</w:t>
      </w:r>
    </w:p>
    <w:p>
      <w:pPr>
        <w:tabs>
          <w:tab w:val="left" w:pos="1418"/>
        </w:tabs>
        <w:spacing w:after="60"/>
        <w:ind w:left="1418" w:hanging="1418"/>
      </w:pPr>
      <w:r>
        <w:rPr>
          <w:b/>
          <w:bCs/>
        </w:rPr>
        <w:t xml:space="preserve">Table 3.1</w:t>
      </w:r>
      <w:r>
        <w:t xml:space="preserve">	Phases of the project methodology</w:t>
      </w:r>
    </w:p>
    <w:p>
      <w:pPr>
        <w:tabs>
          <w:tab w:val="left" w:pos="1418"/>
        </w:tabs>
        <w:spacing w:after="60"/>
        <w:ind w:left="1418" w:hanging="1418"/>
      </w:pPr>
      <w:r>
        <w:rPr>
          <w:b/>
          <w:bCs/>
        </w:rPr>
        <w:t xml:space="preserve">Table 3.2</w:t>
      </w:r>
      <w:r>
        <w:t xml:space="preserve">	Resulting dataset split</w:t>
      </w:r>
    </w:p>
    <w:p>
      <w:pPr>
        <w:tabs>
          <w:tab w:val="left" w:pos="1418"/>
        </w:tabs>
        <w:spacing w:after="60"/>
        <w:ind w:left="1418" w:hanging="1418"/>
      </w:pPr>
      <w:r>
        <w:rPr>
          <w:b/>
          <w:bCs/>
        </w:rPr>
        <w:t xml:space="preserve">Table 3.3</w:t>
      </w:r>
      <w:r>
        <w:t xml:space="preserve">	MobileNetV2 backbone and FoodGuard head (input 224 × 224 × 3)</w:t>
      </w:r>
    </w:p>
    <w:p>
      <w:pPr>
        <w:tabs>
          <w:tab w:val="left" w:pos="1418"/>
        </w:tabs>
        <w:spacing w:after="60"/>
        <w:ind w:left="1418" w:hanging="1418"/>
      </w:pPr>
      <w:r>
        <w:rPr>
          <w:b/>
          <w:bCs/>
        </w:rPr>
        <w:t xml:space="preserve">Table 3.4</w:t>
      </w:r>
      <w:r>
        <w:t xml:space="preserve">	HFSS limits used by the engine</w:t>
      </w:r>
    </w:p>
    <w:p>
      <w:pPr>
        <w:tabs>
          <w:tab w:val="left" w:pos="1418"/>
        </w:tabs>
        <w:spacing w:after="60"/>
        <w:ind w:left="1418" w:hanging="1418"/>
      </w:pPr>
      <w:r>
        <w:rPr>
          <w:b/>
          <w:bCs/>
        </w:rPr>
        <w:t xml:space="preserve">Table 3.5</w:t>
      </w:r>
      <w:r>
        <w:t xml:space="preserve">	Evaluation plan</w:t>
      </w:r>
    </w:p>
    <w:p>
      <w:pPr>
        <w:tabs>
          <w:tab w:val="left" w:pos="1418"/>
        </w:tabs>
        <w:spacing w:after="60"/>
        <w:ind w:left="1418" w:hanging="1418"/>
      </w:pPr>
      <w:r>
        <w:rPr>
          <w:b/>
          <w:bCs/>
        </w:rPr>
        <w:t xml:space="preserve">Table 3.6</w:t>
      </w:r>
      <w:r>
        <w:t xml:space="preserve">	Experimental environment</w:t>
      </w:r>
    </w:p>
    <w:p>
      <w:pPr>
        <w:tabs>
          <w:tab w:val="left" w:pos="1418"/>
        </w:tabs>
        <w:spacing w:after="60"/>
        <w:ind w:left="1418" w:hanging="1418"/>
      </w:pPr>
      <w:r>
        <w:rPr>
          <w:b/>
          <w:bCs/>
        </w:rPr>
        <w:t xml:space="preserve">Table 4.1</w:t>
      </w:r>
      <w:r>
        <w:t xml:space="preserve">	Use case description: Check food safety</w:t>
      </w:r>
    </w:p>
    <w:p>
      <w:pPr>
        <w:tabs>
          <w:tab w:val="left" w:pos="1418"/>
        </w:tabs>
        <w:spacing w:after="60"/>
        <w:ind w:left="1418" w:hanging="1418"/>
      </w:pPr>
      <w:r>
        <w:rPr>
          <w:b/>
          <w:bCs/>
        </w:rPr>
        <w:t xml:space="preserve">Table 4.2</w:t>
      </w:r>
      <w:r>
        <w:t xml:space="preserve">	Module responsibilities and interfaces</w:t>
      </w:r>
    </w:p>
    <w:p>
      <w:pPr>
        <w:tabs>
          <w:tab w:val="left" w:pos="1418"/>
        </w:tabs>
        <w:spacing w:after="60"/>
        <w:ind w:left="1418" w:hanging="1418"/>
      </w:pPr>
      <w:r>
        <w:rPr>
          <w:b/>
          <w:bCs/>
        </w:rPr>
        <w:t xml:space="preserve">Table 4.3</w:t>
      </w:r>
      <w:r>
        <w:t xml:space="preserve">	Data stores</w:t>
      </w:r>
    </w:p>
    <w:p>
      <w:pPr>
        <w:tabs>
          <w:tab w:val="left" w:pos="1418"/>
        </w:tabs>
        <w:spacing w:after="60"/>
        <w:ind w:left="1418" w:hanging="1418"/>
      </w:pPr>
      <w:r>
        <w:rPr>
          <w:b/>
          <w:bCs/>
        </w:rPr>
        <w:t xml:space="preserve">Table 4.4</w:t>
      </w:r>
      <w:r>
        <w:t xml:space="preserve">	Structure of the analysis report (JSON)</w:t>
      </w:r>
    </w:p>
    <w:p>
      <w:pPr>
        <w:tabs>
          <w:tab w:val="left" w:pos="1418"/>
        </w:tabs>
        <w:spacing w:after="60"/>
        <w:ind w:left="1418" w:hanging="1418"/>
      </w:pPr>
      <w:r>
        <w:rPr>
          <w:b/>
          <w:bCs/>
        </w:rPr>
        <w:t xml:space="preserve">Table 4.5</w:t>
      </w:r>
      <w:r>
        <w:t xml:space="preserve">	REST API</w:t>
      </w:r>
    </w:p>
    <w:p>
      <w:pPr>
        <w:tabs>
          <w:tab w:val="left" w:pos="1418"/>
        </w:tabs>
        <w:spacing w:after="60"/>
        <w:ind w:left="1418" w:hanging="1418"/>
      </w:pPr>
      <w:r>
        <w:rPr>
          <w:b/>
          <w:bCs/>
        </w:rPr>
        <w:t xml:space="preserve">Table 4.6</w:t>
      </w:r>
      <w:r>
        <w:t xml:space="preserve">	Input validation and safeguards</w:t>
      </w:r>
    </w:p>
    <w:p>
      <w:pPr>
        <w:tabs>
          <w:tab w:val="left" w:pos="1418"/>
        </w:tabs>
        <w:spacing w:after="60"/>
        <w:ind w:left="1418" w:hanging="1418"/>
      </w:pPr>
      <w:r>
        <w:rPr>
          <w:b/>
          <w:bCs/>
        </w:rPr>
        <w:t xml:space="preserve">Table 5.1</w:t>
      </w:r>
      <w:r>
        <w:t xml:space="preserve">	Status of project components</w:t>
      </w:r>
    </w:p>
    <w:p>
      <w:pPr>
        <w:pStyle w:val="Heading1"/>
        <w:pageBreakBefore/>
        <w:spacing w:after="360"/>
        <w:jc w:val="center"/>
      </w:pPr>
      <w:r>
        <w:t xml:space="preserve">LIST OF ABBREVIATIONS</w:t>
      </w:r>
    </w:p>
    <w:p>
      <w:pPr>
        <w:tabs>
          <w:tab w:val="left" w:pos="1800"/>
        </w:tabs>
        <w:spacing w:after="40"/>
      </w:pPr>
      <w:r>
        <w:rPr>
          <w:b/>
          <w:bCs/>
        </w:rPr>
        <w:t xml:space="preserve">AMP</w:t>
      </w:r>
      <w:r>
        <w:t xml:space="preserve">	Automatic Mixed Precision</w:t>
      </w:r>
    </w:p>
    <w:p>
      <w:pPr>
        <w:tabs>
          <w:tab w:val="left" w:pos="1800"/>
        </w:tabs>
        <w:spacing w:after="40"/>
      </w:pPr>
      <w:r>
        <w:rPr>
          <w:b/>
          <w:bCs/>
        </w:rPr>
        <w:t xml:space="preserve">API</w:t>
      </w:r>
      <w:r>
        <w:t xml:space="preserve">	Application Programming Interface</w:t>
      </w:r>
    </w:p>
    <w:p>
      <w:pPr>
        <w:tabs>
          <w:tab w:val="left" w:pos="1800"/>
        </w:tabs>
        <w:spacing w:after="40"/>
      </w:pPr>
      <w:r>
        <w:rPr>
          <w:b/>
          <w:bCs/>
        </w:rPr>
        <w:t xml:space="preserve">CAM</w:t>
      </w:r>
      <w:r>
        <w:t xml:space="preserve">	Class Activation Mapping</w:t>
      </w:r>
    </w:p>
    <w:p>
      <w:pPr>
        <w:tabs>
          <w:tab w:val="left" w:pos="1800"/>
        </w:tabs>
        <w:spacing w:after="40"/>
      </w:pPr>
      <w:r>
        <w:rPr>
          <w:b/>
          <w:bCs/>
        </w:rPr>
        <w:t xml:space="preserve">CLAHE</w:t>
      </w:r>
      <w:r>
        <w:t xml:space="preserve">	Contrast Limited Adaptive Histogram Equalisation</w:t>
      </w:r>
    </w:p>
    <w:p>
      <w:pPr>
        <w:tabs>
          <w:tab w:val="left" w:pos="1800"/>
        </w:tabs>
        <w:spacing w:after="40"/>
      </w:pPr>
      <w:r>
        <w:rPr>
          <w:b/>
          <w:bCs/>
        </w:rPr>
        <w:t xml:space="preserve">CLIP</w:t>
      </w:r>
      <w:r>
        <w:t xml:space="preserve">	Contrastive Language–Image Pre-training</w:t>
      </w:r>
    </w:p>
    <w:p>
      <w:pPr>
        <w:tabs>
          <w:tab w:val="left" w:pos="1800"/>
        </w:tabs>
        <w:spacing w:after="40"/>
      </w:pPr>
      <w:r>
        <w:rPr>
          <w:b/>
          <w:bCs/>
        </w:rPr>
        <w:t xml:space="preserve">CNN</w:t>
      </w:r>
      <w:r>
        <w:t xml:space="preserve">	Convolutional Neural Network</w:t>
      </w:r>
    </w:p>
    <w:p>
      <w:pPr>
        <w:tabs>
          <w:tab w:val="left" w:pos="1800"/>
        </w:tabs>
        <w:spacing w:after="40"/>
      </w:pPr>
      <w:r>
        <w:rPr>
          <w:b/>
          <w:bCs/>
        </w:rPr>
        <w:t xml:space="preserve">CRAFT</w:t>
      </w:r>
      <w:r>
        <w:t xml:space="preserve">	Character Region Awareness for Text detection</w:t>
      </w:r>
    </w:p>
    <w:p>
      <w:pPr>
        <w:tabs>
          <w:tab w:val="left" w:pos="1800"/>
        </w:tabs>
        <w:spacing w:after="40"/>
      </w:pPr>
      <w:r>
        <w:rPr>
          <w:b/>
          <w:bCs/>
        </w:rPr>
        <w:t xml:space="preserve">CRNN</w:t>
      </w:r>
      <w:r>
        <w:t xml:space="preserve">	Convolutional Recurrent Neural Network</w:t>
      </w:r>
    </w:p>
    <w:p>
      <w:pPr>
        <w:tabs>
          <w:tab w:val="left" w:pos="1800"/>
        </w:tabs>
        <w:spacing w:after="40"/>
      </w:pPr>
      <w:r>
        <w:rPr>
          <w:b/>
          <w:bCs/>
        </w:rPr>
        <w:t xml:space="preserve">CTC</w:t>
      </w:r>
      <w:r>
        <w:t xml:space="preserve">	Connectionist Temporal Classification</w:t>
      </w:r>
    </w:p>
    <w:p>
      <w:pPr>
        <w:tabs>
          <w:tab w:val="left" w:pos="1800"/>
        </w:tabs>
        <w:spacing w:after="40"/>
      </w:pPr>
      <w:r>
        <w:rPr>
          <w:b/>
          <w:bCs/>
        </w:rPr>
        <w:t xml:space="preserve">DFD</w:t>
      </w:r>
      <w:r>
        <w:t xml:space="preserve">	Data Flow Diagram</w:t>
      </w:r>
    </w:p>
    <w:p>
      <w:pPr>
        <w:tabs>
          <w:tab w:val="left" w:pos="1800"/>
        </w:tabs>
        <w:spacing w:after="40"/>
      </w:pPr>
      <w:r>
        <w:rPr>
          <w:b/>
          <w:bCs/>
        </w:rPr>
        <w:t xml:space="preserve">FSSAI</w:t>
      </w:r>
      <w:r>
        <w:t xml:space="preserve">	Food Safety and Standards Authority of India</w:t>
      </w:r>
    </w:p>
    <w:p>
      <w:pPr>
        <w:tabs>
          <w:tab w:val="left" w:pos="1800"/>
        </w:tabs>
        <w:spacing w:after="40"/>
      </w:pPr>
      <w:r>
        <w:rPr>
          <w:b/>
          <w:bCs/>
        </w:rPr>
        <w:t xml:space="preserve">Grad-CAM</w:t>
      </w:r>
      <w:r>
        <w:t xml:space="preserve">	Gradient-weighted Class Activation Mapping</w:t>
      </w:r>
    </w:p>
    <w:p>
      <w:pPr>
        <w:tabs>
          <w:tab w:val="left" w:pos="1800"/>
        </w:tabs>
        <w:spacing w:after="40"/>
      </w:pPr>
      <w:r>
        <w:rPr>
          <w:b/>
          <w:bCs/>
        </w:rPr>
        <w:t xml:space="preserve">HFSS</w:t>
      </w:r>
      <w:r>
        <w:t xml:space="preserve">	High in Fat, Sugar and Salt</w:t>
      </w:r>
    </w:p>
    <w:p>
      <w:pPr>
        <w:tabs>
          <w:tab w:val="left" w:pos="1800"/>
        </w:tabs>
        <w:spacing w:after="40"/>
      </w:pPr>
      <w:r>
        <w:rPr>
          <w:b/>
          <w:bCs/>
        </w:rPr>
        <w:t xml:space="preserve">HSV</w:t>
      </w:r>
      <w:r>
        <w:t xml:space="preserve">	Hue, Saturation, Value colour space</w:t>
      </w:r>
    </w:p>
    <w:p>
      <w:pPr>
        <w:tabs>
          <w:tab w:val="left" w:pos="1800"/>
        </w:tabs>
        <w:spacing w:after="40"/>
      </w:pPr>
      <w:r>
        <w:rPr>
          <w:b/>
          <w:bCs/>
        </w:rPr>
        <w:t xml:space="preserve">OCR</w:t>
      </w:r>
      <w:r>
        <w:t xml:space="preserve">	Optical Character Recognition</w:t>
      </w:r>
    </w:p>
    <w:p>
      <w:pPr>
        <w:tabs>
          <w:tab w:val="left" w:pos="1800"/>
        </w:tabs>
        <w:spacing w:after="40"/>
      </w:pPr>
      <w:r>
        <w:rPr>
          <w:b/>
          <w:bCs/>
        </w:rPr>
        <w:t xml:space="preserve">OOD</w:t>
      </w:r>
      <w:r>
        <w:t xml:space="preserve">	Out-of-Distribution</w:t>
      </w:r>
    </w:p>
    <w:p>
      <w:pPr>
        <w:tabs>
          <w:tab w:val="left" w:pos="1800"/>
        </w:tabs>
        <w:spacing w:after="40"/>
      </w:pPr>
      <w:r>
        <w:rPr>
          <w:b/>
          <w:bCs/>
        </w:rPr>
        <w:t xml:space="preserve">UML</w:t>
      </w:r>
      <w:r>
        <w:t xml:space="preserve">	Unified Modeling Language</w:t>
      </w:r>
    </w:p>
    <w:p>
      <w:pPr>
        <w:tabs>
          <w:tab w:val="left" w:pos="1800"/>
        </w:tabs>
        <w:spacing w:after="40"/>
      </w:pPr>
      <w:r>
        <w:rPr>
          <w:b/>
          <w:bCs/>
        </w:rPr>
        <w:t xml:space="preserve">USDA</w:t>
      </w:r>
      <w:r>
        <w:t xml:space="preserve">	United States Department of Agriculture</w:t>
      </w:r>
    </w:p>
    <w:p>
      <w:pPr>
        <w:tabs>
          <w:tab w:val="left" w:pos="1800"/>
        </w:tabs>
        <w:spacing w:after="40"/>
      </w:pPr>
      <w:r>
        <w:rPr>
          <w:b/>
          <w:bCs/>
        </w:rPr>
        <w:t xml:space="preserve">WHO</w:t>
      </w:r>
      <w:r>
        <w:t xml:space="preserve">	World Health Organization</w:t>
      </w:r>
    </w:p>
    <w:p>
      <w:pPr>
        <w:sectPr>
          <w:footerReference w:type="default" r:id="rId6"/>
          <w:pgSz w:w="11906" w:h="16838" w:orient="portrait"/>
          <w:pgMar w:top="1440" w:right="1440" w:bottom="1440" w:left="2160" w:header="720" w:footer="720" w:gutter="0"/>
          <w:pgNumType w:start="1" w:fmt="lowerRoman"/>
          <w:docGrid w:linePitch="360"/>
        </w:sectPr>
      </w:pPr>
    </w:p>
    <w:p>
      <w:pPr>
        <w:pStyle w:val="Heading1"/>
        <w:pageBreakBefore/>
        <w:spacing w:after="360"/>
        <w:jc w:val="center"/>
      </w:pPr>
      <w:r>
        <w:t xml:space="preserve">CHAPTER 1</w:t>
      </w:r>
      <w:r>
        <w:br/>
        <w:t xml:space="preserve">INTRODUCTION</w:t>
      </w:r>
    </w:p>
    <w:p>
      <w:pPr>
        <w:pStyle w:val="Heading2"/>
      </w:pPr>
      <w:r>
        <w:t xml:space="preserve">1.1  Project Overview</w:t>
      </w:r>
    </w:p>
    <w:p>
      <w:pPr>
        <w:spacing w:after="120"/>
        <w:jc w:val="both"/>
      </w:pPr>
      <w:r>
        <w:t xml:space="preserve">FoodGuard AI is a web application that gives a single, explained food safety verdict for a photograph. It has two analysis pipelines. </w:t>
      </w:r>
      <w:r>
        <w:rPr>
          <w:b/>
          <w:bCs/>
        </w:rPr>
        <w:t xml:space="preserve">Pipeline A</w:t>
      </w:r>
      <w:r>
        <w:t xml:space="preserve"> grades raw fruit and vegetables as fresh or spoiled with a fine-tuned MobileNetV2 convolutional neural network and shows a Grad-CAM heat map of the evidence. </w:t>
      </w:r>
      <w:r>
        <w:rPr>
          <w:b/>
          <w:bCs/>
        </w:rPr>
        <w:t xml:space="preserve">Pipeline B</w:t>
      </w:r>
      <w:r>
        <w:t xml:space="preserve"> reads the nutrition table on the back of a food pack with EasyOCR and checks the values against the category-specific limits for foods high in fat, sugar and salt (HFSS) set out by the Food Safety and Standards Authority of India (FSSAI).</w:t>
      </w:r>
    </w:p>
    <w:p>
      <w:pPr>
        <w:spacing w:after="120"/>
        <w:jc w:val="both"/>
      </w:pPr>
      <w:r>
        <w:t xml:space="preserve">Three guardrails run before either pipeline: a CLIP-based out-of-food filter, a category validation step, and a product identity check against barcodes and the Open Food Facts database. Every analysed item receives a 0–100 health score, a rating and information about the food, and an optional user-entered expiry date can be checked.</w:t>
      </w:r>
    </w:p>
    <w:p>
      <w:pPr>
        <w:pStyle w:val="Heading2"/>
      </w:pPr>
      <w:r>
        <w:t xml:space="preserve">1.2  Problem Statement</w:t>
      </w:r>
    </w:p>
    <w:p>
      <w:pPr>
        <w:spacing w:after="120"/>
        <w:jc w:val="both"/>
      </w:pPr>
      <w:r>
        <w:t xml:space="preserve">Consumers cannot easily judge produce freshness or compare small, glossy nutrition tables with regulatory limits that differ between solid foods and beverages. Existing tools either rely only on barcode databases or classify freshness without checking whether the input is valid. The problem addressed is: </w:t>
      </w:r>
      <w:r>
        <w:rPr>
          <w:b/>
          <w:bCs/>
        </w:rPr>
        <w:t xml:space="preserve">from one or more smartphone photographs, produce a reliable SAFE / CAUTION / UNSAFE verdict for raw produce and packaged food, refuse to answer for unsuitable photos, and explain every decision.</w:t>
      </w:r>
    </w:p>
    <w:p>
      <w:pPr>
        <w:pStyle w:val="Heading2"/>
      </w:pPr>
      <w:r>
        <w:t xml:space="preserve">1.3  Objectives</w:t>
      </w:r>
    </w:p>
    <w:p>
      <w:pPr>
        <w:pStyle w:val="ListParagraph"/>
        <w:numPr>
          <w:ilvl w:val="0"/>
          <w:numId w:val="2"/>
        </w:numPr>
        <w:spacing w:after="60"/>
        <w:jc w:val="both"/>
      </w:pPr>
      <w:r>
        <w:t xml:space="preserve">Build a lightweight, accurate spoilage classifier for six common produce types, evaluated without data leakage.</w:t>
      </w:r>
    </w:p>
    <w:p>
      <w:pPr>
        <w:pStyle w:val="ListParagraph"/>
        <w:numPr>
          <w:ilvl w:val="0"/>
          <w:numId w:val="2"/>
        </w:numPr>
        <w:spacing w:after="60"/>
        <w:jc w:val="both"/>
      </w:pPr>
      <w:r>
        <w:t xml:space="preserve">Build a robust OCR and parsing pipeline for Indian nutrition labels and a configurable FSSAI HFSS rule engine.</w:t>
      </w:r>
    </w:p>
    <w:p>
      <w:pPr>
        <w:pStyle w:val="ListParagraph"/>
        <w:numPr>
          <w:ilvl w:val="0"/>
          <w:numId w:val="2"/>
        </w:numPr>
        <w:spacing w:after="60"/>
        <w:jc w:val="both"/>
      </w:pPr>
      <w:r>
        <w:t xml:space="preserve">Guard both pipelines against out-of-distribution, wrong-category and wrong-product inputs.</w:t>
      </w:r>
    </w:p>
    <w:p>
      <w:pPr>
        <w:pStyle w:val="ListParagraph"/>
        <w:numPr>
          <w:ilvl w:val="0"/>
          <w:numId w:val="2"/>
        </w:numPr>
        <w:spacing w:after="60"/>
        <w:jc w:val="both"/>
      </w:pPr>
      <w:r>
        <w:t xml:space="preserve">Give every result an explainable health score, rating and food information.</w:t>
      </w:r>
    </w:p>
    <w:p>
      <w:pPr>
        <w:pStyle w:val="ListParagraph"/>
        <w:numPr>
          <w:ilvl w:val="0"/>
          <w:numId w:val="2"/>
        </w:numPr>
        <w:spacing w:after="60"/>
        <w:jc w:val="both"/>
      </w:pPr>
      <w:r>
        <w:t xml:space="preserve">Deliver the system as a responsive web application and measure it with reproducible experiments.</w:t>
      </w:r>
    </w:p>
    <w:p>
      <w:pPr>
        <w:pStyle w:val="Heading2"/>
      </w:pPr>
      <w:r>
        <w:t xml:space="preserve">1.4  Scope of this Document</w:t>
      </w:r>
    </w:p>
    <w:p>
      <w:pPr>
        <w:spacing w:after="120"/>
        <w:jc w:val="both"/>
      </w:pPr>
      <w:r>
        <w:t xml:space="preserve">This document is prepared for the project review. Chapter 2 presents the complete literature survey, organised by theme, with a comparative summary and the research gaps the project addresses. Chapter 3 describes the methodology: the research approach, data preparation, each algorithm with its equations and pseudocode, and the evaluation design. Chapter 4 presents the system design through architecture, data flow, UML and interface diagrams. Chapter 5 summarises the status of the work.</w:t>
      </w:r>
    </w:p>
    <w:p>
      <w:pPr>
        <w:pStyle w:val="Heading1"/>
        <w:pageBreakBefore/>
        <w:spacing w:after="360"/>
        <w:jc w:val="center"/>
      </w:pPr>
      <w:r>
        <w:t xml:space="preserve">CHAPTER 2</w:t>
      </w:r>
      <w:r>
        <w:br/>
        <w:t xml:space="preserve">LITERATURE SURVEY</w:t>
      </w:r>
    </w:p>
    <w:p>
      <w:pPr>
        <w:pStyle w:val="Heading2"/>
      </w:pPr>
      <w:r>
        <w:t xml:space="preserve">2.1  Survey Methodology</w:t>
      </w:r>
    </w:p>
    <w:p>
      <w:pPr>
        <w:spacing w:after="120"/>
        <w:jc w:val="both"/>
      </w:pPr>
      <w:r>
        <w:t xml:space="preserve">Literature was collected from IEEE Xplore, the ACM Digital Library, Springer, Elsevier ScienceDirect, arXiv and Google Scholar, together with regulatory and guidance documents from FSSAI and the World Health Organization. Search terms included </w:t>
      </w:r>
      <w:r>
        <w:rPr>
          <w:i/>
          <w:iCs/>
        </w:rPr>
        <w:t xml:space="preserve">fruit freshness detection</w:t>
      </w:r>
      <w:r>
        <w:t xml:space="preserve">, </w:t>
      </w:r>
      <w:r>
        <w:rPr>
          <w:i/>
          <w:iCs/>
        </w:rPr>
        <w:t xml:space="preserve">food spoilage deep learning</w:t>
      </w:r>
      <w:r>
        <w:t xml:space="preserve">, </w:t>
      </w:r>
      <w:r>
        <w:rPr>
          <w:i/>
          <w:iCs/>
        </w:rPr>
        <w:t xml:space="preserve">transfer learning MobileNet</w:t>
      </w:r>
      <w:r>
        <w:t xml:space="preserve">, </w:t>
      </w:r>
      <w:r>
        <w:rPr>
          <w:i/>
          <w:iCs/>
        </w:rPr>
        <w:t xml:space="preserve">scene text recognition</w:t>
      </w:r>
      <w:r>
        <w:t xml:space="preserve">, </w:t>
      </w:r>
      <w:r>
        <w:rPr>
          <w:i/>
          <w:iCs/>
        </w:rPr>
        <w:t xml:space="preserve">nutrition label OCR</w:t>
      </w:r>
      <w:r>
        <w:t xml:space="preserve">, </w:t>
      </w:r>
      <w:r>
        <w:rPr>
          <w:i/>
          <w:iCs/>
        </w:rPr>
        <w:t xml:space="preserve">out-of-distribution detection</w:t>
      </w:r>
      <w:r>
        <w:t xml:space="preserve">, </w:t>
      </w:r>
      <w:r>
        <w:rPr>
          <w:i/>
          <w:iCs/>
        </w:rPr>
        <w:t xml:space="preserve">zero-shot image classification</w:t>
      </w:r>
      <w:r>
        <w:t xml:space="preserve">, </w:t>
      </w:r>
      <w:r>
        <w:rPr>
          <w:i/>
          <w:iCs/>
        </w:rPr>
        <w:t xml:space="preserve">Grad-CAM</w:t>
      </w:r>
      <w:r>
        <w:t xml:space="preserve"> and </w:t>
      </w:r>
      <w:r>
        <w:rPr>
          <w:i/>
          <w:iCs/>
        </w:rPr>
        <w:t xml:space="preserve">front-of-pack nutrition labelling</w:t>
      </w:r>
      <w:r>
        <w:t xml:space="preserve">.</w:t>
      </w:r>
    </w:p>
    <w:p>
      <w:pPr>
        <w:spacing w:after="120"/>
        <w:jc w:val="both"/>
      </w:pPr>
      <w:r>
        <w:t xml:space="preserve">Works were included if they (a) introduced a method used or compared in this project, (b) addressed produce quality assessment with computer vision, (c) addressed text detection or recognition in natural images, (d) addressed the reliability of classifiers on unexpected input, or (e) defined the nutritional rules that the system enforces. The survey is organised into seven themes (Table 2.1).</w:t>
      </w:r>
    </w:p>
    <w:p>
      <w:pPr>
        <w:keepNext/>
        <w:spacing w:before="200" w:after="100"/>
        <w:jc w:val="center"/>
      </w:pPr>
      <w:r>
        <w:rPr>
          <w:b/>
          <w:bCs/>
        </w:rPr>
        <w:t xml:space="preserve">Table 2.1: </w:t>
      </w:r>
      <w:r>
        <w:t xml:space="preserve">Themes of the literature survey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4614"/>
        <w:gridCol w:w="924"/>
      </w:tblGrid>
      <w:tr>
        <w:trPr>
          <w:tblHeader/>
        </w:trPr>
        <w:tc>
          <w:tcPr>
            <w:tcW w:type="dxa" w:w="2768"/>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Theme</w:t>
            </w:r>
          </w:p>
        </w:tc>
        <w:tc>
          <w:tcPr>
            <w:tcW w:type="dxa" w:w="4614"/>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Question it answers for FoodGuard AI</w:t>
            </w:r>
          </w:p>
        </w:tc>
        <w:tc>
          <w:tcPr>
            <w:tcW w:type="dxa" w:w="924"/>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Section</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Image classification and transfer learning</w:t>
            </w:r>
          </w:p>
        </w:tc>
        <w:tc>
          <w:tcPr>
            <w:tcW w:type="dxa" w:w="46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Which network can grade produce accurately on modest hardware?</w:t>
            </w:r>
          </w:p>
        </w:tc>
        <w:tc>
          <w:tcPr>
            <w:tcW w:type="dxa" w:w="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2.2</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Produce quality and spoilage detection</w:t>
            </w:r>
          </w:p>
        </w:tc>
        <w:tc>
          <w:tcPr>
            <w:tcW w:type="dxa" w:w="46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What has been done for fruit and vegetables, and what are the pitfalls?</w:t>
            </w:r>
          </w:p>
        </w:tc>
        <w:tc>
          <w:tcPr>
            <w:tcW w:type="dxa" w:w="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2.3</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Explainable AI</w:t>
            </w:r>
          </w:p>
        </w:tc>
        <w:tc>
          <w:tcPr>
            <w:tcW w:type="dxa" w:w="46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How can a user see why the model decided?</w:t>
            </w:r>
          </w:p>
        </w:tc>
        <w:tc>
          <w:tcPr>
            <w:tcW w:type="dxa" w:w="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2.4</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Optical character recognition</w:t>
            </w:r>
          </w:p>
        </w:tc>
        <w:tc>
          <w:tcPr>
            <w:tcW w:type="dxa" w:w="46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How can small, glossy label text be read reliably?</w:t>
            </w:r>
          </w:p>
        </w:tc>
        <w:tc>
          <w:tcPr>
            <w:tcW w:type="dxa" w:w="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2.5</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Out-of-distribution detection and zero-shot learning</w:t>
            </w:r>
          </w:p>
        </w:tc>
        <w:tc>
          <w:tcPr>
            <w:tcW w:type="dxa" w:w="46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How can the system refuse photos it was not built for?</w:t>
            </w:r>
          </w:p>
        </w:tc>
        <w:tc>
          <w:tcPr>
            <w:tcW w:type="dxa" w:w="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2.6</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Nutrition labelling and HFSS regulation</w:t>
            </w:r>
          </w:p>
        </w:tc>
        <w:tc>
          <w:tcPr>
            <w:tcW w:type="dxa" w:w="46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Which limits apply, and how are warnings shown?</w:t>
            </w:r>
          </w:p>
        </w:tc>
        <w:tc>
          <w:tcPr>
            <w:tcW w:type="dxa" w:w="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2.7</w:t>
            </w:r>
          </w:p>
        </w:tc>
      </w:tr>
      <w:tr>
        <w:trPr>
          <w:cantSplit/>
        </w:trPr>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Product databases and identity matching</w:t>
            </w:r>
          </w:p>
        </w:tc>
        <w:tc>
          <w:tcPr>
            <w:tcW w:type="dxa" w:w="46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How can a label be matched to the product the user named?</w:t>
            </w:r>
          </w:p>
        </w:tc>
        <w:tc>
          <w:tcPr>
            <w:tcW w:type="dxa" w:w="9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2.8</w:t>
            </w:r>
          </w:p>
        </w:tc>
      </w:tr>
    </w:tbl>
    <w:p>
      <w:pPr>
        <w:spacing w:after="120"/>
      </w:pPr>
    </w:p>
    <w:p>
      <w:pPr>
        <w:pStyle w:val="Heading2"/>
      </w:pPr>
      <w:r>
        <w:t xml:space="preserve">2.2  Image Classification and Transfer Learning</w:t>
      </w:r>
    </w:p>
    <w:p>
      <w:pPr>
        <w:spacing w:after="120"/>
        <w:jc w:val="both"/>
      </w:pPr>
      <w:r>
        <w:t xml:space="preserve">Krizhevsky, Sutskever and Hinton [1] showed with AlexNet that deep convolutional networks trained on GPUs could win the ImageNet [2] challenge by a wide margin, starting the deep learning era in computer vision. Simonyan and Zisserman [3] (VGG) showed that depth built from small 3 × 3 filters improves accuracy, at the cost of a very large number of parameters. He et al. [4] introduced residual connections (ResNet), which made networks of more than one hundred layers trainable.</w:t>
      </w:r>
    </w:p>
    <w:p>
      <w:pPr>
        <w:spacing w:after="120"/>
        <w:jc w:val="both"/>
      </w:pPr>
      <w:r>
        <w:t xml:space="preserve">For deployment on ordinary computers and phones, efficiency matters as much as accuracy. MobileNets [5] replaced standard convolutions with depthwise separable convolutions, greatly reducing computation. </w:t>
      </w:r>
      <w:r>
        <w:rPr>
          <w:b/>
          <w:bCs/>
        </w:rPr>
        <w:t xml:space="preserve">MobileNetV2</w:t>
      </w:r>
      <w:r>
        <w:t xml:space="preserve"> [6] added inverted residual blocks with linear bottlenecks, which keep accuracy close to larger networks with only about 3.4 million parameters. EfficientNet [7] scaled depth, width and resolution together, and the Vision Transformer [8] applied self-attention to image patches, but both need more data or computation to fine-tune well.</w:t>
      </w:r>
    </w:p>
    <w:p>
      <w:pPr>
        <w:spacing w:after="120"/>
        <w:jc w:val="both"/>
      </w:pPr>
      <w:r>
        <w:t xml:space="preserve">Yosinski et al. [9] showed that features learned on ImageNet transfer well to other tasks: early layers learn general edges and textures, while later layers become task-specific. Fine-tuning a pre-trained network is therefore the standard approach when only thousands of labelled images are available, as in this project. Data augmentation [10] further reduces over-fitting by generating plausible variations of training images.</w:t>
      </w:r>
    </w:p>
    <w:p>
      <w:pPr>
        <w:spacing w:after="120"/>
        <w:jc w:val="both"/>
      </w:pPr>
      <w:r>
        <w:rPr>
          <w:b/>
          <w:bCs/>
        </w:rPr>
        <w:t xml:space="preserve">Relevance:</w:t>
      </w:r>
      <w:r>
        <w:t xml:space="preserve"> MobileNetV2 with ImageNet weights was chosen because it offers a strong balance of accuracy, speed and model size (about 9 MB for this project), and fine-tunes in minutes on a single GPU.</w:t>
      </w:r>
    </w:p>
    <w:p>
      <w:pPr>
        <w:pStyle w:val="Heading2"/>
      </w:pPr>
      <w:r>
        <w:t xml:space="preserve">2.3  Produce Quality and Spoilage Detection</w:t>
      </w:r>
    </w:p>
    <w:p>
      <w:pPr>
        <w:spacing w:after="120"/>
        <w:jc w:val="both"/>
      </w:pPr>
      <w:r>
        <w:t xml:space="preserve">Kamilaris and Prenafeta-Boldú [11] surveyed deep learning in agriculture and found CNNs outperforming traditional image processing across plant disease, weed and fruit detection tasks. Bhargava and Bansal [12] reviewed computer vision for fruit and vegetable quality evaluation, covering colour, texture, shape and defect features and the move from hand-crafted features with classical classifiers to CNNs.</w:t>
      </w:r>
    </w:p>
    <w:p>
      <w:pPr>
        <w:spacing w:after="120"/>
        <w:jc w:val="both"/>
      </w:pPr>
      <w:r>
        <w:t xml:space="preserve">Mureșan and Oltean [13] introduced the Fruits-360 dataset and trained a CNN to recognise fruit types from images taken on a uniform background. Hossain, Al-Hammadi and Muhammad [14] proposed deep learning models for automatic fruit classification in industrial settings, including fine-tuned pre-trained networks. These works focus on recognising the fruit type; freshness grading is a related but harder task because the visual differences between early decay and natural variation are subtle.</w:t>
      </w:r>
    </w:p>
    <w:p>
      <w:pPr>
        <w:spacing w:after="120"/>
        <w:jc w:val="both"/>
      </w:pPr>
      <w:r>
        <w:t xml:space="preserve">This project uses the public Kaggle dataset </w:t>
      </w:r>
      <w:r>
        <w:rPr>
          <w:i/>
          <w:iCs/>
        </w:rPr>
        <w:t xml:space="preserve">Fresh and Stale Images of Fruits and Vegetables</w:t>
      </w:r>
      <w:r>
        <w:t xml:space="preserve"> [15], which covers six produce types in fresh and stale states. Inspection showed that it, like many public datasets, contains many augmented copies of each original photo. Kaufman et al. [16] describe such leakage, where information from the test set is present in training data, as a common cause of over-optimistic results. Splitting by source photo, rather than by file, is necessary for an honest estimate.</w:t>
      </w:r>
    </w:p>
    <w:p>
      <w:pPr>
        <w:spacing w:after="120"/>
        <w:jc w:val="both"/>
      </w:pPr>
      <w:r>
        <w:rPr>
          <w:b/>
          <w:bCs/>
        </w:rPr>
        <w:t xml:space="preserve">Relevance:</w:t>
      </w:r>
      <w:r>
        <w:t xml:space="preserve"> prior work establishes CNN fine-tuning as the right approach, but reported accuracies on augmented datasets can be inflated. FoodGuard AI recovers source photos and splits by them, and reports safety-oriented metrics (stale items marked SAFE) in addition to accuracy.</w:t>
      </w:r>
    </w:p>
    <w:p>
      <w:pPr>
        <w:pStyle w:val="Heading2"/>
      </w:pPr>
      <w:r>
        <w:t xml:space="preserve">2.4  Explainable AI</w:t>
      </w:r>
    </w:p>
    <w:p>
      <w:pPr>
        <w:spacing w:after="120"/>
        <w:jc w:val="both"/>
      </w:pPr>
      <w:r>
        <w:t xml:space="preserve">Zhou et al. [17] proposed Class Activation Mapping (CAM), which localises the image regions responsible for a class by combining the final feature maps with the weights of a global-average-pooling classifier. </w:t>
      </w:r>
      <w:r>
        <w:rPr>
          <w:b/>
          <w:bCs/>
        </w:rPr>
        <w:t xml:space="preserve">Grad-CAM</w:t>
      </w:r>
      <w:r>
        <w:t xml:space="preserve"> [18] generalised this to any CNN by weighting feature maps with the gradients of the class score, needing no change to the architecture. Grad-CAM is widely used to check that a model attends to the object rather than to background artefacts.</w:t>
      </w:r>
    </w:p>
    <w:p>
      <w:pPr>
        <w:spacing w:after="120"/>
        <w:jc w:val="both"/>
      </w:pPr>
      <w:r>
        <w:rPr>
          <w:b/>
          <w:bCs/>
        </w:rPr>
        <w:t xml:space="preserve">Relevance:</w:t>
      </w:r>
      <w:r>
        <w:t xml:space="preserve"> Grad-CAM lets a user, and an examiner, see that the spoilage model looks at bruises and dark patches on the fruit itself. FoodGuard AI shows it with every produce verdict, together with a simple, rule-based measure of discoloured surface area.</w:t>
      </w:r>
    </w:p>
    <w:p>
      <w:pPr>
        <w:pStyle w:val="Heading2"/>
      </w:pPr>
      <w:r>
        <w:t xml:space="preserve">2.5  Optical Character Recognition</w:t>
      </w:r>
    </w:p>
    <w:p>
      <w:pPr>
        <w:spacing w:after="120"/>
        <w:jc w:val="both"/>
      </w:pPr>
      <w:r>
        <w:t xml:space="preserve">Smith [19] described the Tesseract engine, a widely used open-source OCR system designed mainly for scanned documents; it performs poorly on curved, low-contrast or perspective-distorted text in photographs. Scene text recognition therefore separates detection from recognition. EAST [20] predicts word or line boxes directly with a fully convolutional network. </w:t>
      </w:r>
      <w:r>
        <w:rPr>
          <w:b/>
          <w:bCs/>
        </w:rPr>
        <w:t xml:space="preserve">CRAFT</w:t>
      </w:r>
      <w:r>
        <w:t xml:space="preserve"> [21] detects individual character regions and the affinity between them, which handles curved and irregular text well.</w:t>
      </w:r>
    </w:p>
    <w:p>
      <w:pPr>
        <w:spacing w:after="120"/>
        <w:jc w:val="both"/>
      </w:pPr>
      <w:r>
        <w:t xml:space="preserve">For recognition, Graves et al. [22] introduced Connectionist Temporal Classification (CTC), which trains sequence models without character-level alignment. Shi, Bai and Yao [23] combined convolutional features, a recurrent network and CTC in </w:t>
      </w:r>
      <w:r>
        <w:rPr>
          <w:b/>
          <w:bCs/>
        </w:rPr>
        <w:t xml:space="preserve">CRNN</w:t>
      </w:r>
      <w:r>
        <w:t xml:space="preserve">, an end-to-end trainable recogniser. Long, He and Yao [24] survey the field and note that image quality (blur, glare, low resolution) remains the main source of errors. EasyOCR [25] packages CRAFT detection with a CRNN-style recogniser.</w:t>
      </w:r>
    </w:p>
    <w:p>
      <w:pPr>
        <w:spacing w:after="120"/>
        <w:jc w:val="both"/>
      </w:pPr>
      <w:r>
        <w:t xml:space="preserve">Pre-processing remains important for photographs. Otsu's method [26] chooses a global threshold to binarise an image, while Contrast Limited Adaptive Histogram Equalisation (CLAHE) [27] improves local contrast in unevenly lit regions without over-amplifying noise.</w:t>
      </w:r>
    </w:p>
    <w:p>
      <w:pPr>
        <w:spacing w:after="120"/>
        <w:jc w:val="both"/>
      </w:pPr>
      <w:r>
        <w:rPr>
          <w:b/>
          <w:bCs/>
        </w:rPr>
        <w:t xml:space="preserve">Relevance:</w:t>
      </w:r>
      <w:r>
        <w:t xml:space="preserve"> EasyOCR (CRAFT + CRNN) was chosen over Tesseract for photographed labels. Because no single pre-processing works for every photo, FoodGuard AI reads several variants (colour, CLAHE, up-scaled, binarised) and combines them by voting.</w:t>
      </w:r>
    </w:p>
    <w:p>
      <w:pPr>
        <w:pStyle w:val="Heading2"/>
      </w:pPr>
      <w:r>
        <w:t xml:space="preserve">2.6  Out-of-Distribution Detection and Zero-Shot Learning</w:t>
      </w:r>
    </w:p>
    <w:p>
      <w:pPr>
        <w:spacing w:after="120"/>
        <w:jc w:val="both"/>
      </w:pPr>
      <w:r>
        <w:t xml:space="preserve">A closed-set classifier assigns one of its known classes to every input. Guo et al. [28] showed that modern networks are often over-confident, and Hendrycks and Gimpel [29] showed that maximum softmax probability is only a weak baseline for detecting out-of-distribution (OOD) inputs. ODIN [30] improved the baseline with temperature scaling and input perturbation, and Lee et al. [31] used Mahalanobis distances in feature space. These methods need access to the classifier's internals and some tuning data.</w:t>
      </w:r>
    </w:p>
    <w:p>
      <w:pPr>
        <w:spacing w:after="120"/>
        <w:jc w:val="both"/>
      </w:pPr>
      <w:r>
        <w:rPr>
          <w:b/>
          <w:bCs/>
        </w:rPr>
        <w:t xml:space="preserve">CLIP</w:t>
      </w:r>
      <w:r>
        <w:t xml:space="preserve"> [32] takes a different route: trained on 400 million image–text pairs, it embeds images and text in a shared space, so an image can be classified against arbitrary text prompts without task-specific training (zero-shot). Ming et al. [33] showed that such vision–language representations are effective for OOD detection by comparing an image with the names of in-distribution classes.</w:t>
      </w:r>
    </w:p>
    <w:p>
      <w:pPr>
        <w:spacing w:after="120"/>
        <w:jc w:val="both"/>
      </w:pPr>
      <w:r>
        <w:rPr>
          <w:b/>
          <w:bCs/>
        </w:rPr>
        <w:t xml:space="preserve">Relevance:</w:t>
      </w:r>
      <w:r>
        <w:t xml:space="preserve"> FoodGuard AI uses CLIP as an independent gatekeeper. It scores each photo against 43 prompts describing produce, packaged foods, beverages, cooked dishes and non-food scenes, so non-food photos, cooked dishes, wrong categories and unsupported produce are stopped before the specialised models run.</w:t>
      </w:r>
    </w:p>
    <w:p>
      <w:pPr>
        <w:pStyle w:val="Heading2"/>
      </w:pPr>
      <w:r>
        <w:t xml:space="preserve">2.7  Nutrition Labelling and HFSS Regulation</w:t>
      </w:r>
    </w:p>
    <w:p>
      <w:pPr>
        <w:spacing w:after="120"/>
        <w:jc w:val="both"/>
      </w:pPr>
      <w:r>
        <w:t xml:space="preserve">In India, the </w:t>
      </w:r>
      <w:r>
        <w:rPr>
          <w:b/>
          <w:bCs/>
        </w:rPr>
        <w:t xml:space="preserve">Food Safety and Standards (Labelling and Display) Regulations, 2020</w:t>
      </w:r>
      <w:r>
        <w:t xml:space="preserve"> [34] require nutrition information on most pre-packaged foods, declared per 100 g or 100 ml. FSSAI has published draft amendments on front-of-pack nutrition labelling [35] to highlight foods high in fat, sugar and salt. The World Health Organization recommends limiting free sugars to under 10 % of energy intake [36], sodium to under 2 g per day [37], and saturated fat to under 10 % of energy intake [38].</w:t>
      </w:r>
    </w:p>
    <w:p>
      <w:pPr>
        <w:spacing w:after="120"/>
        <w:jc w:val="both"/>
      </w:pPr>
      <w:r>
        <w:t xml:space="preserve">International experience shows that simple warnings change behaviour. Chile's labelling law introduced black octagon "HIGH IN" warnings, and Taillie et al. [39] found a significant fall in purchases of sugar-sweetened beverages after it took effect. France's Nutri-Score [40] summarises nutritional quality as a five-colour letter grade. Both approaches inspired FoodGuard AI's red hexagon warnings and its 0–100 health score.</w:t>
      </w:r>
    </w:p>
    <w:p>
      <w:pPr>
        <w:spacing w:after="120"/>
        <w:jc w:val="both"/>
      </w:pPr>
      <w:r>
        <w:rPr>
          <w:b/>
          <w:bCs/>
        </w:rPr>
        <w:t xml:space="preserve">Relevance:</w:t>
      </w:r>
      <w:r>
        <w:t xml:space="preserve"> the system applies separate limits for solid foods (per 100 g) and beverages (per 100 ml), treats single-ingredient foods such as oil, ghee and honey as exempt, and keeps every limit in a configuration file so that it can be updated to the final notified FSSAI values without code changes.</w:t>
      </w:r>
    </w:p>
    <w:p>
      <w:pPr>
        <w:pStyle w:val="Heading2"/>
      </w:pPr>
      <w:r>
        <w:t xml:space="preserve">2.8  Product Databases and Identity Matching</w:t>
      </w:r>
    </w:p>
    <w:p>
      <w:pPr>
        <w:spacing w:after="120"/>
        <w:jc w:val="both"/>
      </w:pPr>
      <w:r>
        <w:t xml:space="preserve">Open Food Facts [41] is a crowd-sourced, openly licensed database of packaged foods with barcodes, brands, ingredients and nutrition values, available through a public API. Retail barcodes follow the GS1 EAN/UPC standards [42], which include a check digit to detect misreads. USDA FoodData Central [43] provides reference nutrient values for raw foods, used here for the produce information cards.</w:t>
      </w:r>
    </w:p>
    <w:p>
      <w:pPr>
        <w:spacing w:after="120"/>
        <w:jc w:val="both"/>
      </w:pPr>
      <w:r>
        <w:t xml:space="preserve">Matching OCR text to product names must tolerate recognition errors. The Levenshtein edit distance [44] measures the number of single-character insertions, deletions and substitutions between two strings; fuzzy matching libraries build normalised similarity scores on it.</w:t>
      </w:r>
    </w:p>
    <w:p>
      <w:pPr>
        <w:spacing w:after="120"/>
        <w:jc w:val="both"/>
      </w:pPr>
      <w:r>
        <w:rPr>
          <w:b/>
          <w:bCs/>
        </w:rPr>
        <w:t xml:space="preserve">Relevance:</w:t>
      </w:r>
      <w:r>
        <w:t xml:space="preserve"> FoodGuard AI decodes barcodes from the photo, looks products up in Open Food Facts, matches printed brands against a registry of parent companies, and compares label values with the reference record, using fuzzy matching (RapidFuzz) throughout.</w:t>
      </w:r>
    </w:p>
    <w:p>
      <w:pPr>
        <w:pStyle w:val="Heading2"/>
      </w:pPr>
      <w:r>
        <w:t xml:space="preserve">2.9  Comparative Summary of Key Works</w:t>
      </w:r>
    </w:p>
    <w:p>
      <w:pPr>
        <w:keepNext/>
        <w:spacing w:before="200" w:after="100"/>
        <w:jc w:val="center"/>
      </w:pPr>
      <w:r>
        <w:rPr>
          <w:b/>
          <w:bCs/>
        </w:rPr>
        <w:t xml:space="preserve">Table 2.2: </w:t>
      </w:r>
      <w:r>
        <w:t xml:space="preserve">Comparison of key works and their relevance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93"/>
        <w:gridCol w:w="1779"/>
        <w:gridCol w:w="1779"/>
        <w:gridCol w:w="1779"/>
        <w:gridCol w:w="2376"/>
      </w:tblGrid>
      <w:tr>
        <w:trPr>
          <w:tblHeader/>
        </w:trPr>
        <w:tc>
          <w:tcPr>
            <w:tcW w:type="dxa" w:w="593"/>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Ref.</w:t>
            </w:r>
          </w:p>
        </w:tc>
        <w:tc>
          <w:tcPr>
            <w:tcW w:type="dxa" w:w="1779"/>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Work (year)</w:t>
            </w:r>
          </w:p>
        </w:tc>
        <w:tc>
          <w:tcPr>
            <w:tcW w:type="dxa" w:w="1779"/>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Technique</w:t>
            </w:r>
          </w:p>
        </w:tc>
        <w:tc>
          <w:tcPr>
            <w:tcW w:type="dxa" w:w="1779"/>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Strength</w:t>
            </w:r>
          </w:p>
        </w:tc>
        <w:tc>
          <w:tcPr>
            <w:tcW w:type="dxa" w:w="2376"/>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Limitation / gap for this project</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[6]</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Sandler et al. (2018)</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MobileNetV2, inverted residuals</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High accuracy at low cost</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Generic; must be fine-tuned for spoilage</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[9]</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Yosinski et al. (2014)</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Feature transferability study</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Justifies fine-tuning</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No food-specific results</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[13]</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Mureșan &amp; Oltean (2018)</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CNN on Fruits-360</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Large, clean fruit dataset</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Recognises fruit type, not freshness</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[14]</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Hossain et al. (2019)</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Fine-tuned deep CNNs</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Industrial fruit classification</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No invalid-input handling</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[12]</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Bhargava &amp; Bansal (2021)</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Review of quality evaluation</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Broad coverage of features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Mostly controlled imaging</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[16]</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Kaufman et al. (2012)</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Data leakage analysis</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Explains inflated results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General; not image-specific</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[18]</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Selvaraju et al. (2017)</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Grad-CAM</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Works with any CNN</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Coarse localisation</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[19]</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Smith (2007)</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Tesseract OCR</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Mature, open source</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Weak on photographed labels</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[21]</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Baek et al. (2019)</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CRAFT text detector</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Handles curved text</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Detection only</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[23]</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Shi et al. (2017)</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CRNN + CTC recogniser</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End-to-end recognition</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Sensitive to blur and glare</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[29]</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Hendrycks &amp; Gimpel (2017)</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Softmax OOD baseline</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Simple</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Weak separation</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[32]</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Radford et al. (2021)</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CLIP zero-shot</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Classifies against any text</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Needs prompt design and calibration</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[39]</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Taillie et al. (2020)</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Evaluation of Chile's warnings</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Evidence that warnings work</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Policy study, not a tool</w:t>
            </w:r>
          </w:p>
        </w:tc>
      </w:tr>
      <w:tr>
        <w:trPr>
          <w:cantSplit/>
        </w:trPr>
        <w:tc>
          <w:tcPr>
            <w:tcW w:type="dxa" w:w="5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[41]</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Open Food Facts</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Crowd-sourced database</w:t>
            </w:r>
          </w:p>
        </w:tc>
        <w:tc>
          <w:tcPr>
            <w:tcW w:type="dxa" w:w="1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Barcodes and nutrients</w:t>
            </w:r>
          </w:p>
        </w:tc>
        <w:tc>
          <w:tcPr>
            <w:tcW w:type="dxa" w:w="23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Incomplete; occasional errors</w:t>
            </w:r>
          </w:p>
        </w:tc>
      </w:tr>
    </w:tbl>
    <w:p>
      <w:pPr>
        <w:spacing w:after="120"/>
      </w:pPr>
    </w:p>
    <w:p>
      <w:pPr>
        <w:pStyle w:val="Heading2"/>
      </w:pPr>
      <w:r>
        <w:t xml:space="preserve">2.10  Research Gaps</w:t>
      </w:r>
    </w:p>
    <w:p>
      <w:pPr>
        <w:spacing w:after="120"/>
        <w:jc w:val="both"/>
      </w:pPr>
      <w:r>
        <w:t xml:space="preserve">The survey shows strong individual building blocks but no single tool that combines them for Indian consumers. Table 2.3 lists the gaps and how FoodGuard AI addresses each.</w:t>
      </w:r>
    </w:p>
    <w:p>
      <w:pPr>
        <w:keepNext/>
        <w:spacing w:before="200" w:after="100"/>
        <w:jc w:val="center"/>
      </w:pPr>
      <w:r>
        <w:rPr>
          <w:b/>
          <w:bCs/>
        </w:rPr>
        <w:t xml:space="preserve">Table 2.3: </w:t>
      </w:r>
      <w:r>
        <w:t xml:space="preserve">Research gaps and how this project addresses them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Gap observed in the literature</w:t>
            </w:r>
          </w:p>
        </w:tc>
        <w:tc>
          <w:tcPr>
            <w:tcW w:type="dxa" w:w="4153"/>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How FoodGuard AI addresses it</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Produce work recognises the type of fruit, rarely its freshness, and results on augmented datasets are often inflated by leakage.</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12-class fresh / stale classifier; split by source photo; safety metric (no stale item marked SAFE).</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Classifiers give confident answers for any input, including non-food photos.</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CLIP zero-shot guardrails with calibrated thresholds before any model runs.</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Label-reading tools rely on barcodes alone; OCR of photographed nutrition tables is fragile.</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Multi-variant OCR with voting, decimal restoration and plausibility checks; barcode used for verification.</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One set of nutrient limits is applied to all foods.</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Category taxonomy: solid, liquid and exempt, each with its own FSSAI limits.</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Nothing checks that a label photo belongs to the product the user named.</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Identity stage: barcode, Open Food Facts reference, brand families and nutrient cross-check.</w:t>
            </w:r>
          </w:p>
        </w:tc>
      </w:tr>
      <w:tr>
        <w:trPr>
          <w:cantSplit/>
        </w:trPr>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Decisions are rarely explained to the user.</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Grad-CAM, OCR overlays, a per-stage check list, plain-language reasons and a scored review.</w:t>
            </w:r>
          </w:p>
        </w:tc>
      </w:tr>
    </w:tbl>
    <w:p>
      <w:pPr>
        <w:spacing w:after="120"/>
      </w:pPr>
    </w:p>
    <w:p>
      <w:pPr>
        <w:pStyle w:val="Heading1"/>
        <w:pageBreakBefore/>
        <w:spacing w:after="360"/>
        <w:jc w:val="center"/>
      </w:pPr>
      <w:r>
        <w:t xml:space="preserve">CHAPTER 3</w:t>
      </w:r>
      <w:r>
        <w:br/>
        <w:t xml:space="preserve">METHODOLOGY</w:t>
      </w:r>
    </w:p>
    <w:p>
      <w:pPr>
        <w:pStyle w:val="Heading2"/>
      </w:pPr>
      <w:r>
        <w:t xml:space="preserve">3.1  Research Approach</w:t>
      </w:r>
    </w:p>
    <w:p>
      <w:pPr>
        <w:spacing w:after="120"/>
        <w:jc w:val="both"/>
      </w:pPr>
      <w:r>
        <w:t xml:space="preserve">The project follows a </w:t>
      </w:r>
      <w:r>
        <w:rPr>
          <w:b/>
          <w:bCs/>
        </w:rPr>
        <w:t xml:space="preserve">design-and-evaluate</w:t>
      </w:r>
      <w:r>
        <w:t xml:space="preserve"> approach: each component is designed from the literature, implemented, measured on held-out data, and revised until it meets its target. Safety is the primary criterion throughout: when uncertain, the system answers CAUTION or asks for a better photo rather than guessing.</w:t>
      </w:r>
    </w:p>
    <w:p>
      <w:pPr>
        <w:keepNext/>
        <w:spacing w:before="200" w:after="100"/>
        <w:jc w:val="center"/>
      </w:pPr>
      <w:r>
        <w:rPr>
          <w:b/>
          <w:bCs/>
        </w:rPr>
        <w:t xml:space="preserve">Table 3.1: </w:t>
      </w:r>
      <w:r>
        <w:t xml:space="preserve">Phases of the project methodology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65"/>
        <w:gridCol w:w="3775"/>
        <w:gridCol w:w="2266"/>
      </w:tblGrid>
      <w:tr>
        <w:trPr>
          <w:tblHeader/>
        </w:trPr>
        <w:tc>
          <w:tcPr>
            <w:tcW w:type="dxa" w:w="2265"/>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Phase</w:t>
            </w:r>
          </w:p>
        </w:tc>
        <w:tc>
          <w:tcPr>
            <w:tcW w:type="dxa" w:w="3775"/>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Activities</w:t>
            </w:r>
          </w:p>
        </w:tc>
        <w:tc>
          <w:tcPr>
            <w:tcW w:type="dxa" w:w="2266"/>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Output</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 Requirement analysis</w:t>
            </w:r>
          </w:p>
        </w:tc>
        <w:tc>
          <w:tcPr>
            <w:tcW w:type="dxa" w:w="3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Study FSSAI rules; define categories and verdicts; list failure cases</w:t>
            </w:r>
          </w:p>
        </w:tc>
        <w:tc>
          <w:tcPr>
            <w:tcW w:type="dxa" w:w="22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Requirements, category taxonomy</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 Data acquisition</w:t>
            </w:r>
          </w:p>
        </w:tc>
        <w:tc>
          <w:tcPr>
            <w:tcW w:type="dxa" w:w="3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Download produce dataset; recover source photos; build OCR and OOD test sets</w:t>
            </w:r>
          </w:p>
        </w:tc>
        <w:tc>
          <w:tcPr>
            <w:tcW w:type="dxa" w:w="22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Leakage-free splits, test benches</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 Model development</w:t>
            </w:r>
          </w:p>
        </w:tc>
        <w:tc>
          <w:tcPr>
            <w:tcW w:type="dxa" w:w="3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Fine-tune MobileNetV2; calibrate decision threshold; add Grad-CAM</w:t>
            </w:r>
          </w:p>
        </w:tc>
        <w:tc>
          <w:tcPr>
            <w:tcW w:type="dxa" w:w="22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Spoilage model, metrics</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4. Label pipeline</w:t>
            </w:r>
          </w:p>
        </w:tc>
        <w:tc>
          <w:tcPr>
            <w:tcW w:type="dxa" w:w="3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OCR pre-processing, parser, unit normalisation, FSSAI rule engine</w:t>
            </w:r>
          </w:p>
        </w:tc>
        <w:tc>
          <w:tcPr>
            <w:tcW w:type="dxa" w:w="22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Packaged-food pipeline</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5. Guardrails</w:t>
            </w:r>
          </w:p>
        </w:tc>
        <w:tc>
          <w:tcPr>
            <w:tcW w:type="dxa" w:w="3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Design CLIP prompts; calibrate thresholds on in- and out-of-distribution sets</w:t>
            </w:r>
          </w:p>
        </w:tc>
        <w:tc>
          <w:tcPr>
            <w:tcW w:type="dxa" w:w="22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Stages 1–3</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 Integration</w:t>
            </w:r>
          </w:p>
        </w:tc>
        <w:tc>
          <w:tcPr>
            <w:tcW w:type="dxa" w:w="3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Orchestrator, review module, Flask API, web interface</w:t>
            </w:r>
          </w:p>
        </w:tc>
        <w:tc>
          <w:tcPr>
            <w:tcW w:type="dxa" w:w="22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Working application</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7. Evaluation</w:t>
            </w:r>
          </w:p>
        </w:tc>
        <w:tc>
          <w:tcPr>
            <w:tcW w:type="dxa" w:w="37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Test-split metrics, guardrail rates, OCR accuracy, unit and end-to-end tests</w:t>
            </w:r>
          </w:p>
        </w:tc>
        <w:tc>
          <w:tcPr>
            <w:tcW w:type="dxa" w:w="22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Results, report</w:t>
            </w:r>
          </w:p>
        </w:tc>
      </w:tr>
    </w:tbl>
    <w:p>
      <w:pPr>
        <w:spacing w:after="120"/>
      </w:pPr>
    </w:p>
    <w:p>
      <w:pPr>
        <w:pStyle w:val="Heading3"/>
      </w:pPr>
      <w:r>
        <w:t xml:space="preserve">3.1.1  Development model</w:t>
      </w:r>
    </w:p>
    <w:p>
      <w:pPr>
        <w:spacing w:after="120"/>
        <w:jc w:val="both"/>
      </w:pPr>
      <w:r>
        <w:t xml:space="preserve">An </w:t>
      </w:r>
      <w:r>
        <w:rPr>
          <w:b/>
          <w:bCs/>
        </w:rPr>
        <w:t xml:space="preserve">iterative and incremental</w:t>
      </w:r>
      <w:r>
        <w:t xml:space="preserve"> model was used. Each increment delivered a working system that was tested before the next was added: (1) the two analysis pipelines; (2) the food and category guardrails; (3) product identity verification; (4) the review module, optional expiry check and redesigned interface. This allowed measured problems, such as decimal points lost by one pre-processing method, to be fixed early.</w:t>
      </w:r>
    </w:p>
    <w:p>
      <w:pPr>
        <w:pStyle w:val="Heading2"/>
      </w:pPr>
      <w:r>
        <w:t xml:space="preserve">3.2  Data Collection and Preparation</w:t>
      </w:r>
    </w:p>
    <w:p>
      <w:pPr>
        <w:pStyle w:val="Heading3"/>
      </w:pPr>
      <w:r>
        <w:t xml:space="preserve">3.2.1  Produce image dataset</w:t>
      </w:r>
    </w:p>
    <w:p>
      <w:pPr>
        <w:spacing w:after="120"/>
        <w:jc w:val="both"/>
      </w:pPr>
      <w:r>
        <w:t xml:space="preserve">The Kaggle dataset [15] provides 12 classes: fresh and stale apple, banana, bitter gourd, capsicum, orange and tomato. File names reveal that each original photo was augmented many times (up to 164 copies). The preparation script recovers the source photo of every file and assigns whole photos, never individual files, to the training, validation and test sets.</w:t>
      </w:r>
    </w:p>
    <w:p>
      <w:pPr>
        <w:keepNext/>
        <w:keepLines/>
        <w:shd w:fill="F2F4F0" w:color="auto" w:val="clear"/>
        <w:spacing w:line="240" w:before="60" w:after="0"/>
        <w:ind w:left="240" w:right="240"/>
      </w:pPr>
      <w:r>
        <w:rPr>
          <w:rFonts w:ascii="Consolas" w:cs="Consolas" w:eastAsia="Consolas" w:hAnsi="Consolas"/>
          <w:sz w:val="18"/>
          <w:szCs w:val="18"/>
        </w:rPr>
        <w:t xml:space="preserve">Algorithm 3.1  Leakage-safe split by source photo</w:t>
      </w:r>
    </w:p>
    <w:p>
      <w:pPr>
        <w:keepNext/>
        <w:keepLines/>
        <w:shd w:fill="F2F4F0" w:color="auto" w:val="clear"/>
        <w:spacing w:line="240" w:before="0" w:after="0"/>
        <w:ind w:left="240" w:right="240"/>
      </w:pPr>
      <w:r>
        <w:rPr>
          <w:rFonts w:ascii="Consolas" w:cs="Consolas" w:eastAsia="Consolas" w:hAnsi="Consolas"/>
          <w:sz w:val="18"/>
          <w:szCs w:val="18"/>
        </w:rPr>
        <w:t xml:space="preserve">Input : files F with class labels; ratios (0.70, 0.15, 0.15); seed 42</w:t>
      </w:r>
    </w:p>
    <w:p>
      <w:pPr>
        <w:keepNext/>
        <w:keepLines/>
        <w:shd w:fill="F2F4F0" w:color="auto" w:val="clear"/>
        <w:spacing w:line="240" w:before="0" w:after="0"/>
        <w:ind w:left="240" w:right="240"/>
      </w:pPr>
      <w:r>
        <w:rPr>
          <w:rFonts w:ascii="Consolas" w:cs="Consolas" w:eastAsia="Consolas" w:hAnsi="Consolas"/>
          <w:sz w:val="18"/>
          <w:szCs w:val="18"/>
        </w:rPr>
        <w:t xml:space="preserve">for each class c:</w:t>
      </w:r>
    </w:p>
    <w:p>
      <w:pPr>
        <w:keepNext/>
        <w:keepLines/>
        <w:shd w:fill="F2F4F0" w:color="auto" w:val="clear"/>
        <w:spacing w:line="240" w:before="0" w:after="0"/>
        <w:ind w:left="240" w:right="240"/>
      </w:pPr>
      <w:r>
        <w:rPr>
          <w:rFonts w:ascii="Consolas" w:cs="Consolas" w:eastAsia="Consolas" w:hAnsi="Consolas"/>
          <w:sz w:val="18"/>
          <w:szCs w:val="18"/>
        </w:rPr>
        <w:t xml:space="preserve">    groups &lt;- group files of class c by source_photo_id(file name)</w:t>
      </w:r>
    </w:p>
    <w:p>
      <w:pPr>
        <w:keepNext/>
        <w:keepLines/>
        <w:shd w:fill="F2F4F0" w:color="auto" w:val="clear"/>
        <w:spacing w:line="240" w:before="0" w:after="0"/>
        <w:ind w:left="240" w:right="240"/>
      </w:pPr>
      <w:r>
        <w:rPr>
          <w:rFonts w:ascii="Consolas" w:cs="Consolas" w:eastAsia="Consolas" w:hAnsi="Consolas"/>
          <w:sz w:val="18"/>
          <w:szCs w:val="18"/>
        </w:rPr>
        <w:t xml:space="preserve">    shuffle(groups, seed)</w:t>
      </w:r>
    </w:p>
    <w:p>
      <w:pPr>
        <w:keepNext/>
        <w:keepLines/>
        <w:shd w:fill="F2F4F0" w:color="auto" w:val="clear"/>
        <w:spacing w:line="240" w:before="0" w:after="0"/>
        <w:ind w:left="240" w:right="240"/>
      </w:pPr>
      <w:r>
        <w:rPr>
          <w:rFonts w:ascii="Consolas" w:cs="Consolas" w:eastAsia="Consolas" w:hAnsi="Consolas"/>
          <w:sz w:val="18"/>
          <w:szCs w:val="18"/>
        </w:rPr>
        <w:t xml:space="preserve">    assign groups to train / validation / test until each ratio is reached</w:t>
      </w:r>
    </w:p>
    <w:p>
      <w:pPr>
        <w:keepNext/>
        <w:keepLines/>
        <w:shd w:fill="F2F4F0" w:color="auto" w:val="clear"/>
        <w:spacing w:line="240" w:before="0" w:after="0"/>
        <w:ind w:left="240" w:right="240"/>
      </w:pPr>
      <w:r>
        <w:rPr>
          <w:rFonts w:ascii="Consolas" w:cs="Consolas" w:eastAsia="Consolas" w:hAnsi="Consolas"/>
          <w:sz w:val="18"/>
          <w:szCs w:val="18"/>
        </w:rPr>
        <w:t xml:space="preserve">    copy every file of a group into the split its group was assigned to</w:t>
      </w:r>
    </w:p>
    <w:p>
      <w:pPr>
        <w:keepNext w:val="false"/>
        <w:keepLines/>
        <w:shd w:fill="F2F4F0" w:color="auto" w:val="clear"/>
        <w:spacing w:line="240" w:before="0" w:after="160"/>
        <w:ind w:left="240" w:right="240"/>
      </w:pPr>
      <w:r>
        <w:rPr>
          <w:rFonts w:ascii="Consolas" w:cs="Consolas" w:eastAsia="Consolas" w:hAnsi="Consolas"/>
          <w:sz w:val="18"/>
          <w:szCs w:val="18"/>
        </w:rPr>
        <w:t xml:space="preserve">write split_report.json with per-class photo and file counts</w:t>
      </w:r>
    </w:p>
    <w:p>
      <w:pPr>
        <w:keepNext/>
        <w:spacing w:before="200" w:after="100"/>
        <w:jc w:val="center"/>
      </w:pPr>
      <w:r>
        <w:rPr>
          <w:b/>
          <w:bCs/>
        </w:rPr>
        <w:t xml:space="preserve">Table 3.2: </w:t>
      </w:r>
      <w:r>
        <w:t xml:space="preserve">Resulting dataset split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1661"/>
        <w:gridCol w:w="4154"/>
      </w:tblGrid>
      <w:tr>
        <w:trPr>
          <w:tblHeader/>
        </w:trPr>
        <w:tc>
          <w:tcPr>
            <w:tcW w:type="dxa" w:w="249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Split</w:t>
            </w:r>
          </w:p>
        </w:tc>
        <w:tc>
          <w:tcPr>
            <w:tcW w:type="dxa" w:w="166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Images</w:t>
            </w:r>
          </w:p>
        </w:tc>
        <w:tc>
          <w:tcPr>
            <w:tcW w:type="dxa" w:w="4154"/>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Purpose</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Training</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10,329</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Fit model weights</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Validation</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2,145</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Select the best epoch; calibrate the threshold</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Test</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2,208</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Report final results only</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Distinct source photos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1,621</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8–32 per vegetable class; 200+ per fruit class</w:t>
            </w:r>
          </w:p>
        </w:tc>
      </w:tr>
    </w:tbl>
    <w:p>
      <w:pPr>
        <w:spacing w:after="120"/>
      </w:pPr>
    </w:p>
    <w:p>
      <w:pPr>
        <w:pStyle w:val="Heading3"/>
      </w:pPr>
      <w:r>
        <w:t xml:space="preserve">3.2.2  Other data</w:t>
      </w:r>
    </w:p>
    <w:p>
      <w:pPr>
        <w:pStyle w:val="ListParagraph"/>
        <w:numPr>
          <w:ilvl w:val="0"/>
          <w:numId w:val="3"/>
        </w:numPr>
        <w:spacing w:after="60"/>
        <w:jc w:val="both"/>
      </w:pPr>
      <w:r>
        <w:rPr>
          <w:b/>
          <w:bCs/>
        </w:rPr>
        <w:t xml:space="preserve">OCR bench:</w:t>
      </w:r>
      <w:r>
        <w:t xml:space="preserve"> six synthetic labels rendered with known values and distorted like phone photos (perspective, rotation, blur, noise, uneven light, glare), plus 20 real Indian labels from Open Food Facts.</w:t>
      </w:r>
    </w:p>
    <w:p>
      <w:pPr>
        <w:pStyle w:val="ListParagraph"/>
        <w:numPr>
          <w:ilvl w:val="0"/>
          <w:numId w:val="3"/>
        </w:numPr>
        <w:spacing w:after="60"/>
        <w:jc w:val="both"/>
      </w:pPr>
      <w:r>
        <w:rPr>
          <w:b/>
          <w:bCs/>
        </w:rPr>
        <w:t xml:space="preserve">Guardrail calibration:</w:t>
      </w:r>
      <w:r>
        <w:t xml:space="preserve"> 740 in-distribution test images and 54 out-of-distribution photos from Wikimedia Commons (animals, objects, people, non-food packaging and unsupported produce).</w:t>
      </w:r>
    </w:p>
    <w:p>
      <w:pPr>
        <w:pStyle w:val="ListParagraph"/>
        <w:numPr>
          <w:ilvl w:val="0"/>
          <w:numId w:val="3"/>
        </w:numPr>
        <w:spacing w:after="60"/>
        <w:jc w:val="both"/>
      </w:pPr>
      <w:r>
        <w:rPr>
          <w:b/>
          <w:bCs/>
        </w:rPr>
        <w:t xml:space="preserve">Knowledge base:</w:t>
      </w:r>
      <w:r>
        <w:t xml:space="preserve"> nutrition facts for the six produce types from USDA FoodData Central [43], with storage, shelf-life and spoilage signs.</w:t>
      </w:r>
    </w:p>
    <w:p>
      <w:pPr>
        <w:pStyle w:val="Heading2"/>
      </w:pPr>
      <w:r>
        <w:t xml:space="preserve">3.3  Spoilage Classification (Pipeline A)</w:t>
      </w:r>
    </w:p>
    <w:p>
      <w:pPr>
        <w:pStyle w:val="Heading3"/>
      </w:pPr>
      <w:r>
        <w:t xml:space="preserve">3.3.1  Network architecture</w:t>
      </w:r>
    </w:p>
    <w:p>
      <w:pPr>
        <w:spacing w:after="120"/>
        <w:jc w:val="both"/>
      </w:pPr>
      <w:r>
        <w:t xml:space="preserve">The backbone is MobileNetV2 [6] pre-trained on ImageNet. Its classifier is replaced by dropout (p = 0.3) and a linear layer with 12 outputs, giving about 2.2 million parameters in total. Table 3.3 lists the backbone stages, where </w:t>
      </w:r>
      <w:r>
        <w:rPr>
          <w:i/>
          <w:iCs/>
        </w:rPr>
        <w:t xml:space="preserve">t</w:t>
      </w:r>
      <w:r>
        <w:t xml:space="preserve"> is the expansion factor, </w:t>
      </w:r>
      <w:r>
        <w:rPr>
          <w:i/>
          <w:iCs/>
        </w:rPr>
        <w:t xml:space="preserve">c</w:t>
      </w:r>
      <w:r>
        <w:t xml:space="preserve"> the output channels, </w:t>
      </w:r>
      <w:r>
        <w:rPr>
          <w:i/>
          <w:iCs/>
        </w:rPr>
        <w:t xml:space="preserve">n</w:t>
      </w:r>
      <w:r>
        <w:t xml:space="preserve"> the number of repeated blocks and </w:t>
      </w:r>
      <w:r>
        <w:rPr>
          <w:i/>
          <w:iCs/>
        </w:rPr>
        <w:t xml:space="preserve">s</w:t>
      </w:r>
      <w:r>
        <w:t xml:space="preserve"> the stride of the first block.</w:t>
      </w:r>
    </w:p>
    <w:p>
      <w:pPr>
        <w:keepNext/>
        <w:spacing w:before="200" w:after="100"/>
        <w:jc w:val="center"/>
      </w:pPr>
      <w:r>
        <w:rPr>
          <w:b/>
          <w:bCs/>
        </w:rPr>
        <w:t xml:space="preserve">Table 3.3: </w:t>
      </w:r>
      <w:r>
        <w:t xml:space="preserve">MobileNetV2 backbone and FoodGuard head (input 224 × 224 × 3)</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
        <w:gridCol w:w="4153"/>
        <w:gridCol w:w="830"/>
        <w:gridCol w:w="830"/>
        <w:gridCol w:w="830"/>
        <w:gridCol w:w="833"/>
      </w:tblGrid>
      <w:tr>
        <w:trPr>
          <w:tblHeader/>
        </w:trPr>
        <w:tc>
          <w:tcPr>
            <w:tcW w:type="dxa" w:w="83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Stage</w:t>
            </w:r>
          </w:p>
        </w:tc>
        <w:tc>
          <w:tcPr>
            <w:tcW w:type="dxa" w:w="4153"/>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Operator</w:t>
            </w:r>
          </w:p>
        </w:tc>
        <w:tc>
          <w:tcPr>
            <w:tcW w:type="dxa" w:w="83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t</w:t>
            </w:r>
          </w:p>
        </w:tc>
        <w:tc>
          <w:tcPr>
            <w:tcW w:type="dxa" w:w="83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c</w:t>
            </w:r>
          </w:p>
        </w:tc>
        <w:tc>
          <w:tcPr>
            <w:tcW w:type="dxa" w:w="83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n</w:t>
            </w:r>
          </w:p>
        </w:tc>
        <w:tc>
          <w:tcPr>
            <w:tcW w:type="dxa" w:w="833"/>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Conv2d 3 × 3</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32</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Bottleneck</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16</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Bottleneck</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24</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4</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Bottleneck</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32</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5</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Bottleneck</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64</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4</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Bottleneck</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96</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7</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Bottleneck</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160</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8</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Bottleneck</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6</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320</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9</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Conv2d 1 × 1</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1280</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10</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Global average pool</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1280</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r>
      <w:tr>
        <w:trPr>
          <w:cantSplit/>
        </w:trPr>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11</w:t>
            </w:r>
          </w:p>
        </w:tc>
        <w:tc>
          <w:tcPr>
            <w:tcW w:type="dxa" w:w="41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Dropout 0.3 + Linear (FoodGuard head)</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12</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w:t>
            </w:r>
          </w:p>
        </w:tc>
        <w:tc>
          <w:tcPr>
            <w:tcW w:type="dxa" w:w="83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r>
    </w:tbl>
    <w:p>
      <w:pPr>
        <w:spacing w:after="120"/>
      </w:pPr>
    </w:p>
    <w:p>
      <w:pPr>
        <w:pStyle w:val="Heading3"/>
      </w:pPr>
      <w:r>
        <w:t xml:space="preserve">3.3.2  Training procedure</w:t>
      </w:r>
    </w:p>
    <w:p>
      <w:pPr>
        <w:spacing w:after="120"/>
        <w:jc w:val="both"/>
      </w:pPr>
      <w:r>
        <w:t xml:space="preserve">Training uses two phases. In phase 1 the backbone is frozen and only the head is trained for 3 epochs at learning rate 1 × 10⁻³. In phase 2 all layers are fine-tuned for 12 epochs at 3 × 10⁻⁴. Both phases use AdamW [45] (weight decay 1 × 10⁻⁴), a one-cycle learning-rate schedule [46] with 15 % warm-up, batch size 64, and automatic mixed precision [47]. The model with the best validation macro-F1 is kept.</w:t>
      </w:r>
    </w:p>
    <w:p>
      <w:pPr>
        <w:spacing w:after="120"/>
        <w:jc w:val="both"/>
      </w:pPr>
      <w:r>
        <w:t xml:space="preserve">Class imbalance is handled with a class-weighted cross-entropy loss with label smoothing [48]. For a sample of true class </w:t>
      </w:r>
      <w:r>
        <w:rPr>
          <w:i/>
          <w:iCs/>
        </w:rPr>
        <w:t xml:space="preserve">y</w:t>
      </w:r>
      <w:r>
        <w:t xml:space="preserve">, predicted probabilities </w:t>
      </w:r>
      <w:r>
        <w:rPr>
          <w:i/>
          <w:iCs/>
        </w:rPr>
        <w:t xml:space="preserve">p</w:t>
      </w:r>
      <w:r>
        <w:t xml:space="preserve"> over </w:t>
      </w:r>
      <w:r>
        <w:rPr>
          <w:i/>
          <w:iCs/>
        </w:rPr>
        <w:t xml:space="preserve">K</w:t>
      </w:r>
      <w:r>
        <w:t xml:space="preserve"> = 12 classes and smoothing ε = 0.05:</w:t>
      </w:r>
    </w:p>
    <w:p>
      <w:pPr>
        <w:tabs>
          <w:tab w:val="center" w:pos="4153"/>
          <w:tab w:val="right" w:pos="8306"/>
        </w:tabs>
        <w:spacing w:before="80" w:after="20"/>
      </w:pPr>
      <w:r>
        <w:rPr>
          <w:rFonts w:ascii="Cambria Math" w:cs="Cambria Math" w:eastAsia="Cambria Math" w:hAnsi="Cambria Math"/>
          <w:i w:val="false"/>
          <w:iCs w:val="false"/>
        </w:rPr>
        <w:t xml:space="preserve">	pₖ = exp(zₖ) / Σⱼ exp(zⱼ)</w:t>
      </w:r>
      <w:r>
        <w:t xml:space="preserve">	(3.1)</w:t>
      </w:r>
    </w:p>
    <w:p>
      <w:pPr>
        <w:spacing w:after="120"/>
        <w:ind w:left="567"/>
      </w:pPr>
      <w:r>
        <w:rPr>
          <w:sz w:val="22"/>
          <w:szCs w:val="22"/>
        </w:rPr>
        <w:t xml:space="preserve">where zₖ are the logits produced by the network.</w:t>
      </w:r>
    </w:p>
    <w:p>
      <w:pPr>
        <w:tabs>
          <w:tab w:val="center" w:pos="4153"/>
          <w:tab w:val="right" w:pos="8306"/>
        </w:tabs>
        <w:spacing w:before="80" w:after="20"/>
      </w:pPr>
      <w:r>
        <w:rPr>
          <w:rFonts w:ascii="Cambria Math" w:cs="Cambria Math" w:eastAsia="Cambria Math" w:hAnsi="Cambria Math"/>
          <w:i w:val="false"/>
          <w:iCs w:val="false"/>
        </w:rPr>
        <w:t xml:space="preserve">	qₖ = (1 − ε)·[k = y] + ε / K</w:t>
      </w:r>
      <w:r>
        <w:t xml:space="preserve">	(3.2)</w:t>
      </w:r>
    </w:p>
    <w:p>
      <w:pPr>
        <w:spacing w:after="120"/>
        <w:ind w:left="567"/>
      </w:pPr>
      <w:r>
        <w:rPr>
          <w:sz w:val="22"/>
          <w:szCs w:val="22"/>
        </w:rPr>
        <w:t xml:space="preserve">is the smoothed target distribution.</w:t>
      </w:r>
    </w:p>
    <w:p>
      <w:pPr>
        <w:tabs>
          <w:tab w:val="center" w:pos="4153"/>
          <w:tab w:val="right" w:pos="8306"/>
        </w:tabs>
        <w:spacing w:before="80" w:after="20"/>
      </w:pPr>
      <w:r>
        <w:rPr>
          <w:rFonts w:ascii="Cambria Math" w:cs="Cambria Math" w:eastAsia="Cambria Math" w:hAnsi="Cambria Math"/>
          <w:i w:val="false"/>
          <w:iCs w:val="false"/>
        </w:rPr>
        <w:t xml:space="preserve">	L = − w_y · Σₖ qₖ · log pₖ</w:t>
      </w:r>
      <w:r>
        <w:t xml:space="preserve">	(3.3)</w:t>
      </w:r>
    </w:p>
    <w:p>
      <w:pPr>
        <w:spacing w:after="120"/>
        <w:ind w:left="567"/>
      </w:pPr>
      <w:r>
        <w:rPr>
          <w:sz w:val="22"/>
          <w:szCs w:val="22"/>
        </w:rPr>
        <w:t xml:space="preserve">where w_y is the weight of class y, inversely proportional to its frequency in the training set.</w:t>
      </w:r>
    </w:p>
    <w:p>
      <w:pPr>
        <w:spacing w:after="120"/>
        <w:jc w:val="both"/>
      </w:pPr>
      <w:r>
        <w:t xml:space="preserve">Augmentation (random resized crop 0.6–1.0, horizontal and vertical flips, rotation ±20°, brightness and contrast jitter ±0.3, saturation ±0.2) is applied to training images only. Hue jitter is limited to ±0.02, because colour change is the main visual signal of spoilage.</w:t>
      </w:r>
    </w:p>
    <w:p>
      <w:pPr>
        <w:keepNext/>
        <w:spacing w:before="120" w:after="60" w:line="240"/>
        <w:jc w:val="center"/>
      </w:pPr>
      <w:r>
        <w:drawing>
          <wp:inline distT="0" distB="0" distL="0" distR="0">
            <wp:extent cx="1143000" cy="4257675"/>
            <wp:effectExtent t="0" r="0" b="0" l="0"/>
            <wp:docPr id="1" name="Figure 3.1" descr="Training methodology for the spoilage model"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4257675"/>
                    </a:xfrm>
                    <a:prstGeom prst="rect">
                      <a:avLst/>
                    </a:prstGeom>
                  </pic:spPr>
                </pic:pic>
              </a:graphicData>
            </a:graphic>
          </wp:inline>
        </w:drawing>
      </w:r>
    </w:p>
    <w:p>
      <w:pPr>
        <w:spacing w:after="240"/>
        <w:jc w:val="center"/>
      </w:pPr>
      <w:r>
        <w:rPr>
          <w:b/>
          <w:bCs/>
        </w:rPr>
        <w:t xml:space="preserve">Figure 3.1: </w:t>
      </w:r>
      <w:r>
        <w:t xml:space="preserve">Training methodology for the spoilage model</w:t>
      </w:r>
    </w:p>
    <w:p>
      <w:pPr>
        <w:pStyle w:val="Heading3"/>
      </w:pPr>
      <w:r>
        <w:t xml:space="preserve">3.3.3  Decision rule</w:t>
      </w:r>
    </w:p>
    <w:p>
      <w:pPr>
        <w:spacing w:after="120"/>
        <w:jc w:val="both"/>
      </w:pPr>
      <w:r>
        <w:t xml:space="preserve">The 12 class probabilities are grouped into a freshness probability and a staleness probability for the predicted produce type:</w:t>
      </w:r>
    </w:p>
    <w:p>
      <w:pPr>
        <w:tabs>
          <w:tab w:val="center" w:pos="4153"/>
          <w:tab w:val="right" w:pos="8306"/>
        </w:tabs>
        <w:spacing w:before="80" w:after="120"/>
      </w:pPr>
      <w:r>
        <w:rPr>
          <w:rFonts w:ascii="Cambria Math" w:cs="Cambria Math" w:eastAsia="Cambria Math" w:hAnsi="Cambria Math"/>
          <w:i w:val="false"/>
          <w:iCs w:val="false"/>
        </w:rPr>
        <w:t xml:space="preserve">	P_fresh = Σ_{k ∈ fresh} pₖ ,   P_stale = 1 − P_fresh</w:t>
      </w:r>
      <w:r>
        <w:t xml:space="preserve">	(3.4)</w:t>
      </w:r>
    </w:p>
    <w:p>
      <w:pPr>
        <w:tabs>
          <w:tab w:val="center" w:pos="4153"/>
          <w:tab w:val="right" w:pos="8306"/>
        </w:tabs>
        <w:spacing w:before="80" w:after="20"/>
      </w:pPr>
      <w:r>
        <w:rPr>
          <w:rFonts w:ascii="Cambria Math" w:cs="Cambria Math" w:eastAsia="Cambria Math" w:hAnsi="Cambria Math"/>
          <w:i w:val="false"/>
          <w:iCs w:val="false"/>
        </w:rPr>
        <w:t xml:space="preserve">	verdict = SAFE if P_fresh ≥ 0.85;  UNSAFE if P_stale ≥ 0.85;  CAUTION otherwise</w:t>
      </w:r>
      <w:r>
        <w:t xml:space="preserve">	(3.5)</w:t>
      </w:r>
    </w:p>
    <w:p>
      <w:pPr>
        <w:spacing w:after="120"/>
        <w:ind w:left="567"/>
      </w:pPr>
      <w:r>
        <w:rPr>
          <w:sz w:val="22"/>
          <w:szCs w:val="22"/>
        </w:rPr>
        <w:t xml:space="preserve">The threshold τ = 0.85 was chosen on validation data so that no stale item is marked SAFE while few items fall into CAUTION.</w:t>
      </w:r>
    </w:p>
    <w:p>
      <w:pPr>
        <w:pStyle w:val="Heading3"/>
      </w:pPr>
      <w:r>
        <w:t xml:space="preserve">3.3.4  Explanation: Grad-CAM and discolouration</w:t>
      </w:r>
    </w:p>
    <w:p>
      <w:pPr>
        <w:spacing w:after="120"/>
        <w:jc w:val="both"/>
      </w:pPr>
      <w:r>
        <w:t xml:space="preserve">For the predicted class </w:t>
      </w:r>
      <w:r>
        <w:rPr>
          <w:i/>
          <w:iCs/>
        </w:rPr>
        <w:t xml:space="preserve">c</w:t>
      </w:r>
      <w:r>
        <w:t xml:space="preserve"> and the feature maps Aᵏ of the last convolutional block (spatial size Z = i × j), Grad-CAM [18] computes channel weights and a heat map:</w:t>
      </w:r>
    </w:p>
    <w:p>
      <w:pPr>
        <w:tabs>
          <w:tab w:val="center" w:pos="4153"/>
          <w:tab w:val="right" w:pos="8306"/>
        </w:tabs>
        <w:spacing w:before="80" w:after="120"/>
      </w:pPr>
      <w:r>
        <w:rPr>
          <w:rFonts w:ascii="Cambria Math" w:cs="Cambria Math" w:eastAsia="Cambria Math" w:hAnsi="Cambria Math"/>
          <w:i w:val="false"/>
          <w:iCs w:val="false"/>
        </w:rPr>
        <w:t xml:space="preserve">	αₖᶜ = (1/Z) · Σᵢ Σⱼ ∂yᶜ / ∂Aᵏᵢⱼ</w:t>
      </w:r>
      <w:r>
        <w:t xml:space="preserve">	(3.6)</w:t>
      </w:r>
    </w:p>
    <w:p>
      <w:pPr>
        <w:tabs>
          <w:tab w:val="center" w:pos="4153"/>
          <w:tab w:val="right" w:pos="8306"/>
        </w:tabs>
        <w:spacing w:before="80" w:after="20"/>
      </w:pPr>
      <w:r>
        <w:rPr>
          <w:rFonts w:ascii="Cambria Math" w:cs="Cambria Math" w:eastAsia="Cambria Math" w:hAnsi="Cambria Math"/>
          <w:i w:val="false"/>
          <w:iCs w:val="false"/>
        </w:rPr>
        <w:t xml:space="preserve">	L_Grad-CAM = ReLU( Σₖ αₖᶜ · Aᵏ )</w:t>
      </w:r>
      <w:r>
        <w:t xml:space="preserve">	(3.7)</w:t>
      </w:r>
    </w:p>
    <w:p>
      <w:pPr>
        <w:spacing w:after="120"/>
        <w:ind w:left="567"/>
      </w:pPr>
      <w:r>
        <w:rPr>
          <w:sz w:val="22"/>
          <w:szCs w:val="22"/>
        </w:rPr>
        <w:t xml:space="preserve">The map is up-sampled to the image size and overlaid as a colour heat map.</w:t>
      </w:r>
    </w:p>
    <w:p>
      <w:pPr>
        <w:spacing w:after="120"/>
        <w:jc w:val="both"/>
      </w:pPr>
      <w:r>
        <w:t xml:space="preserve">Independently of the network, the share of discoloured surface is measured in HSV colour space. A foreground mask of the produce is built; a pixel is counted as discoloured if it is dark (V &lt; 60) or brown (5 ≤ H ≤ 25, S &gt; 70, V &lt; 130, OpenCV hue scale 0–179):</w:t>
      </w:r>
    </w:p>
    <w:p>
      <w:pPr>
        <w:tabs>
          <w:tab w:val="center" w:pos="4153"/>
          <w:tab w:val="right" w:pos="8306"/>
        </w:tabs>
        <w:spacing w:before="80" w:after="120"/>
      </w:pPr>
      <w:r>
        <w:rPr>
          <w:rFonts w:ascii="Cambria Math" w:cs="Cambria Math" w:eastAsia="Cambria Math" w:hAnsi="Cambria Math"/>
          <w:i w:val="false"/>
          <w:iCs w:val="false"/>
        </w:rPr>
        <w:t xml:space="preserve">	D = |discoloured ∩ foreground| / |foreground| × 100 %</w:t>
      </w:r>
      <w:r>
        <w:t xml:space="preserve">	(3.8)</w:t>
      </w:r>
    </w:p>
    <w:p>
      <w:pPr>
        <w:pStyle w:val="Heading2"/>
      </w:pPr>
      <w:r>
        <w:t xml:space="preserve">3.4  Guardrails</w:t>
      </w:r>
    </w:p>
    <w:p>
      <w:pPr>
        <w:pStyle w:val="Heading3"/>
      </w:pPr>
      <w:r>
        <w:t xml:space="preserve">3.4.1  Stage 1 and 2: zero-shot scene analysis with CLIP</w:t>
      </w:r>
    </w:p>
    <w:p>
      <w:pPr>
        <w:spacing w:after="120"/>
        <w:jc w:val="both"/>
      </w:pPr>
      <w:r>
        <w:t xml:space="preserve">CLIP ViT-B/32 [32] encodes the image into an embedding f and each of the N = 43 text prompts into tᵢ. With CLIP's learned temperature s, the probability of prompt i is:</w:t>
      </w:r>
    </w:p>
    <w:p>
      <w:pPr>
        <w:tabs>
          <w:tab w:val="center" w:pos="4153"/>
          <w:tab w:val="right" w:pos="8306"/>
        </w:tabs>
        <w:spacing w:before="80" w:after="120"/>
      </w:pPr>
      <w:r>
        <w:rPr>
          <w:rFonts w:ascii="Cambria Math" w:cs="Cambria Math" w:eastAsia="Cambria Math" w:hAnsi="Cambria Math"/>
          <w:i w:val="false"/>
          <w:iCs w:val="false"/>
        </w:rPr>
        <w:t xml:space="preserve">	P(i | image) = exp(s · cos(f, tᵢ)) / Σₙ exp(s · cos(f, tₙ))</w:t>
      </w:r>
      <w:r>
        <w:t xml:space="preserve">	(3.9)</w:t>
      </w:r>
    </w:p>
    <w:p>
      <w:pPr>
        <w:spacing w:after="120"/>
        <w:jc w:val="both"/>
      </w:pPr>
      <w:r>
        <w:t xml:space="preserve">Prompts belong to six groups G (raw produce, packaged solid, packaged liquid, exempt, prepared food, non-food). Group probabilities are sums over their prompts, and the food probability is the sum over the four food groups:</w:t>
      </w:r>
    </w:p>
    <w:p>
      <w:pPr>
        <w:tabs>
          <w:tab w:val="center" w:pos="4153"/>
          <w:tab w:val="right" w:pos="8306"/>
        </w:tabs>
        <w:spacing w:before="80" w:after="120"/>
      </w:pPr>
      <w:r>
        <w:rPr>
          <w:rFonts w:ascii="Cambria Math" w:cs="Cambria Math" w:eastAsia="Cambria Math" w:hAnsi="Cambria Math"/>
          <w:i w:val="false"/>
          <w:iCs w:val="false"/>
        </w:rPr>
        <w:t xml:space="preserve">	P(G) = Σ_{i ∈ G} P(i | image) ,   P_food = P(raw) + P(solid) + P(liquid) + P(exempt)</w:t>
      </w:r>
      <w:r>
        <w:t xml:space="preserve">	(3.10)</w:t>
      </w:r>
    </w:p>
    <w:p>
      <w:pPr>
        <w:keepNext/>
        <w:keepLines/>
        <w:shd w:fill="F2F4F0" w:color="auto" w:val="clear"/>
        <w:spacing w:line="240" w:before="60" w:after="0"/>
        <w:ind w:left="240" w:right="240"/>
      </w:pPr>
      <w:r>
        <w:rPr>
          <w:rFonts w:ascii="Consolas" w:cs="Consolas" w:eastAsia="Consolas" w:hAnsi="Consolas"/>
          <w:sz w:val="18"/>
          <w:szCs w:val="18"/>
        </w:rPr>
        <w:t xml:space="preserve">Algorithm 3.2  Guardrail decisions (thresholds from safety_thresholds.json)</w:t>
      </w:r>
    </w:p>
    <w:p>
      <w:pPr>
        <w:keepNext/>
        <w:keepLines/>
        <w:shd w:fill="F2F4F0" w:color="auto" w:val="clear"/>
        <w:spacing w:line="240" w:before="0" w:after="0"/>
        <w:ind w:left="240" w:right="240"/>
      </w:pPr>
      <w:r>
        <w:rPr>
          <w:rFonts w:ascii="Consolas" w:cs="Consolas" w:eastAsia="Consolas" w:hAnsi="Consolas"/>
          <w:sz w:val="18"/>
          <w:szCs w:val="18"/>
        </w:rPr>
        <w:t xml:space="preserve">if P_food &lt; 0.40                         -&gt; REJECTED  (not food)</w:t>
      </w:r>
    </w:p>
    <w:p>
      <w:pPr>
        <w:keepNext/>
        <w:keepLines/>
        <w:shd w:fill="F2F4F0" w:color="auto" w:val="clear"/>
        <w:spacing w:line="240" w:before="0" w:after="0"/>
        <w:ind w:left="240" w:right="240"/>
      </w:pPr>
      <w:r>
        <w:rPr>
          <w:rFonts w:ascii="Consolas" w:cs="Consolas" w:eastAsia="Consolas" w:hAnsi="Consolas"/>
          <w:sz w:val="18"/>
          <w:szCs w:val="18"/>
        </w:rPr>
        <w:t xml:space="preserve">if best prompt is a prepared dish        -&gt; REJECTED  (cooked food is out of scope)</w:t>
      </w:r>
    </w:p>
    <w:p>
      <w:pPr>
        <w:keepNext/>
        <w:keepLines/>
        <w:shd w:fill="F2F4F0" w:color="auto" w:val="clear"/>
        <w:spacing w:line="240" w:before="0" w:after="0"/>
        <w:ind w:left="240" w:right="240"/>
      </w:pPr>
      <w:r>
        <w:rPr>
          <w:rFonts w:ascii="Consolas" w:cs="Consolas" w:eastAsia="Consolas" w:hAnsi="Consolas"/>
          <w:sz w:val="18"/>
          <w:szCs w:val="18"/>
        </w:rPr>
        <w:t xml:space="preserve">if category = raw and P(packaged) &gt; P(raw) + 0.30      -&gt; MISMATCH, suggest packaged</w:t>
      </w:r>
    </w:p>
    <w:p>
      <w:pPr>
        <w:keepNext/>
        <w:keepLines/>
        <w:shd w:fill="F2F4F0" w:color="auto" w:val="clear"/>
        <w:spacing w:line="240" w:before="0" w:after="0"/>
        <w:ind w:left="240" w:right="240"/>
      </w:pPr>
      <w:r>
        <w:rPr>
          <w:rFonts w:ascii="Consolas" w:cs="Consolas" w:eastAsia="Consolas" w:hAnsi="Consolas"/>
          <w:sz w:val="18"/>
          <w:szCs w:val="18"/>
        </w:rPr>
        <w:t xml:space="preserve">if category = packaged and P(raw) &gt; P(packaged) + 0.30 -&gt; MISMATCH, suggest raw produce</w:t>
      </w:r>
    </w:p>
    <w:p>
      <w:pPr>
        <w:keepNext/>
        <w:keepLines/>
        <w:shd w:fill="F2F4F0" w:color="auto" w:val="clear"/>
        <w:spacing w:line="240" w:before="0" w:after="0"/>
        <w:ind w:left="240" w:right="240"/>
      </w:pPr>
      <w:r>
        <w:rPr>
          <w:rFonts w:ascii="Consolas" w:cs="Consolas" w:eastAsia="Consolas" w:hAnsi="Consolas"/>
          <w:sz w:val="18"/>
          <w:szCs w:val="18"/>
        </w:rPr>
        <w:t xml:space="preserve">if category = raw and P(six supported produce prompts) &lt; 0.10 -&gt; REJECTED (unsupported)</w:t>
      </w:r>
    </w:p>
    <w:p>
      <w:pPr>
        <w:keepNext/>
        <w:keepLines/>
        <w:shd w:fill="F2F4F0" w:color="auto" w:val="clear"/>
        <w:spacing w:line="240" w:before="0" w:after="0"/>
        <w:ind w:left="240" w:right="240"/>
      </w:pPr>
      <w:r>
        <w:rPr>
          <w:rFonts w:ascii="Consolas" w:cs="Consolas" w:eastAsia="Consolas" w:hAnsi="Consolas"/>
          <w:sz w:val="18"/>
          <w:szCs w:val="18"/>
        </w:rPr>
        <w:t xml:space="preserve">if packaged and text regions &lt; 6 or nutrition rows &lt; 2       -&gt; REJECTED (no readable table)</w:t>
      </w:r>
    </w:p>
    <w:p>
      <w:pPr>
        <w:keepNext w:val="false"/>
        <w:keepLines/>
        <w:shd w:fill="F2F4F0" w:color="auto" w:val="clear"/>
        <w:spacing w:line="240" w:before="0" w:after="160"/>
        <w:ind w:left="240" w:right="240"/>
      </w:pPr>
      <w:r>
        <w:rPr>
          <w:rFonts w:ascii="Consolas" w:cs="Consolas" w:eastAsia="Consolas" w:hAnsi="Consolas"/>
          <w:sz w:val="18"/>
          <w:szCs w:val="18"/>
        </w:rPr>
        <w:t xml:space="preserve">if label says 'per 100 ml' but category = solid (or vice versa) -&gt; MISMATCH</w:t>
      </w:r>
    </w:p>
    <w:p>
      <w:pPr>
        <w:pStyle w:val="Heading3"/>
      </w:pPr>
      <w:r>
        <w:t xml:space="preserve">3.4.2  Stage 3: product identity</w:t>
      </w:r>
    </w:p>
    <w:p>
      <w:pPr>
        <w:keepNext/>
        <w:keepLines/>
        <w:shd w:fill="F2F4F0" w:color="auto" w:val="clear"/>
        <w:spacing w:line="240" w:before="60" w:after="0"/>
        <w:ind w:left="240" w:right="240"/>
      </w:pPr>
      <w:r>
        <w:rPr>
          <w:rFonts w:ascii="Consolas" w:cs="Consolas" w:eastAsia="Consolas" w:hAnsi="Consolas"/>
          <w:sz w:val="18"/>
          <w:szCs w:val="18"/>
        </w:rPr>
        <w:t xml:space="preserve">Algorithm 3.3  Identity verification for packaged food</w:t>
      </w:r>
    </w:p>
    <w:p>
      <w:pPr>
        <w:keepNext/>
        <w:keepLines/>
        <w:shd w:fill="F2F4F0" w:color="auto" w:val="clear"/>
        <w:spacing w:line="240" w:before="0" w:after="0"/>
        <w:ind w:left="240" w:right="240"/>
      </w:pPr>
      <w:r>
        <w:rPr>
          <w:rFonts w:ascii="Consolas" w:cs="Consolas" w:eastAsia="Consolas" w:hAnsi="Consolas"/>
          <w:sz w:val="18"/>
          <w:szCs w:val="18"/>
        </w:rPr>
        <w:t xml:space="preserve">codes &lt;- barcode decoded from the photo (OpenCV) and barcode typed by the user</w:t>
      </w:r>
    </w:p>
    <w:p>
      <w:pPr>
        <w:keepNext/>
        <w:keepLines/>
        <w:shd w:fill="F2F4F0" w:color="auto" w:val="clear"/>
        <w:spacing w:line="240" w:before="0" w:after="0"/>
        <w:ind w:left="240" w:right="240"/>
      </w:pPr>
      <w:r>
        <w:rPr>
          <w:rFonts w:ascii="Consolas" w:cs="Consolas" w:eastAsia="Consolas" w:hAnsi="Consolas"/>
          <w:sz w:val="18"/>
          <w:szCs w:val="18"/>
        </w:rPr>
        <w:t xml:space="preserve">if two different codes                         -&gt; MISMATCH</w:t>
      </w:r>
    </w:p>
    <w:p>
      <w:pPr>
        <w:keepNext/>
        <w:keepLines/>
        <w:shd w:fill="F2F4F0" w:color="auto" w:val="clear"/>
        <w:spacing w:line="240" w:before="0" w:after="0"/>
        <w:ind w:left="240" w:right="240"/>
      </w:pPr>
      <w:r>
        <w:rPr>
          <w:rFonts w:ascii="Consolas" w:cs="Consolas" w:eastAsia="Consolas" w:hAnsi="Consolas"/>
          <w:sz w:val="18"/>
          <w:szCs w:val="18"/>
        </w:rPr>
        <w:t xml:space="preserve">ref   &lt;- Open Food Facts record by barcode, else by name search</w:t>
      </w:r>
    </w:p>
    <w:p>
      <w:pPr>
        <w:keepNext/>
        <w:keepLines/>
        <w:shd w:fill="F2F4F0" w:color="auto" w:val="clear"/>
        <w:spacing w:line="240" w:before="0" w:after="0"/>
        <w:ind w:left="240" w:right="240"/>
      </w:pPr>
      <w:r>
        <w:rPr>
          <w:rFonts w:ascii="Consolas" w:cs="Consolas" w:eastAsia="Consolas" w:hAnsi="Consolas"/>
          <w:sz w:val="18"/>
          <w:szCs w:val="18"/>
        </w:rPr>
        <w:t xml:space="preserve">         (name coverage &gt;= 0.75, prefer records that have nutrient data)</w:t>
      </w:r>
    </w:p>
    <w:p>
      <w:pPr>
        <w:keepNext/>
        <w:keepLines/>
        <w:shd w:fill="F2F4F0" w:color="auto" w:val="clear"/>
        <w:spacing w:line="240" w:before="0" w:after="0"/>
        <w:ind w:left="240" w:right="240"/>
      </w:pPr>
      <w:r>
        <w:rPr>
          <w:rFonts w:ascii="Consolas" w:cs="Consolas" w:eastAsia="Consolas" w:hAnsi="Consolas"/>
          <w:sz w:val="18"/>
          <w:szCs w:val="18"/>
        </w:rPr>
        <w:t xml:space="preserve">brands &lt;- brand names found in OCR text (fuzzy score &gt;= 70)</w:t>
      </w:r>
    </w:p>
    <w:p>
      <w:pPr>
        <w:keepNext/>
        <w:keepLines/>
        <w:shd w:fill="F2F4F0" w:color="auto" w:val="clear"/>
        <w:spacing w:line="240" w:before="0" w:after="0"/>
        <w:ind w:left="240" w:right="240"/>
      </w:pPr>
      <w:r>
        <w:rPr>
          <w:rFonts w:ascii="Consolas" w:cs="Consolas" w:eastAsia="Consolas" w:hAnsi="Consolas"/>
          <w:sz w:val="18"/>
          <w:szCs w:val="18"/>
        </w:rPr>
        <w:t xml:space="preserve">if a printed brand belongs to a different parent company than the named product -&gt; MISMATCH</w:t>
      </w:r>
    </w:p>
    <w:p>
      <w:pPr>
        <w:keepNext/>
        <w:keepLines/>
        <w:shd w:fill="F2F4F0" w:color="auto" w:val="clear"/>
        <w:spacing w:line="240" w:before="0" w:after="0"/>
        <w:ind w:left="240" w:right="240"/>
      </w:pPr>
      <w:r>
        <w:rPr>
          <w:rFonts w:ascii="Consolas" w:cs="Consolas" w:eastAsia="Consolas" w:hAnsi="Consolas"/>
          <w:sz w:val="18"/>
          <w:szCs w:val="18"/>
        </w:rPr>
        <w:t xml:space="preserve">for each nutrient read from the label and present in ref:</w:t>
      </w:r>
    </w:p>
    <w:p>
      <w:pPr>
        <w:keepNext/>
        <w:keepLines/>
        <w:shd w:fill="F2F4F0" w:color="auto" w:val="clear"/>
        <w:spacing w:line="240" w:before="0" w:after="0"/>
        <w:ind w:left="240" w:right="240"/>
      </w:pPr>
      <w:r>
        <w:rPr>
          <w:rFonts w:ascii="Consolas" w:cs="Consolas" w:eastAsia="Consolas" w:hAnsi="Consolas"/>
          <w:sz w:val="18"/>
          <w:szCs w:val="18"/>
        </w:rPr>
        <w:t xml:space="preserve">    divergent if |label - ref| &gt; abs_tol(nutrient) and |label - ref| / ref &gt; 0.35</w:t>
      </w:r>
    </w:p>
    <w:p>
      <w:pPr>
        <w:keepNext/>
        <w:keepLines/>
        <w:shd w:fill="F2F4F0" w:color="auto" w:val="clear"/>
        <w:spacing w:line="240" w:before="0" w:after="0"/>
        <w:ind w:left="240" w:right="240"/>
      </w:pPr>
      <w:r>
        <w:rPr>
          <w:rFonts w:ascii="Consolas" w:cs="Consolas" w:eastAsia="Consolas" w:hAnsi="Consolas"/>
          <w:sz w:val="18"/>
          <w:szCs w:val="18"/>
        </w:rPr>
        <w:t xml:space="preserve">if divergent &gt;= 3 and divergent &gt;= 0.6 x compared -&gt; MISMATCH</w:t>
      </w:r>
    </w:p>
    <w:p>
      <w:pPr>
        <w:keepNext/>
        <w:keepLines/>
        <w:shd w:fill="F2F4F0" w:color="auto" w:val="clear"/>
        <w:spacing w:line="240" w:before="0" w:after="0"/>
        <w:ind w:left="240" w:right="240"/>
      </w:pPr>
      <w:r>
        <w:rPr>
          <w:rFonts w:ascii="Consolas" w:cs="Consolas" w:eastAsia="Consolas" w:hAnsi="Consolas"/>
          <w:sz w:val="18"/>
          <w:szCs w:val="18"/>
        </w:rPr>
        <w:t xml:space="preserve">else if divergent &gt;= 2                              -&gt; DIVERGENT (warning)</w:t>
      </w:r>
    </w:p>
    <w:p>
      <w:pPr>
        <w:keepNext w:val="false"/>
        <w:keepLines/>
        <w:shd w:fill="F2F4F0" w:color="auto" w:val="clear"/>
        <w:spacing w:line="240" w:before="0" w:after="160"/>
        <w:ind w:left="240" w:right="240"/>
      </w:pPr>
      <w:r>
        <w:rPr>
          <w:rFonts w:ascii="Consolas" w:cs="Consolas" w:eastAsia="Consolas" w:hAnsi="Consolas"/>
          <w:sz w:val="18"/>
          <w:szCs w:val="18"/>
        </w:rPr>
        <w:t xml:space="preserve">else VERIFIED (or UNVERIFIED when nothing could be checked)</w:t>
      </w:r>
    </w:p>
    <w:p>
      <w:pPr>
        <w:spacing w:after="120"/>
        <w:jc w:val="both"/>
      </w:pPr>
      <w:r>
        <w:t xml:space="preserve">For raw produce, a typed name (English or Hindi, for example </w:t>
      </w:r>
      <w:r>
        <w:rPr>
          <w:i/>
          <w:iCs/>
        </w:rPr>
        <w:t xml:space="preserve">tamatar</w:t>
      </w:r>
      <w:r>
        <w:t xml:space="preserve"> or </w:t>
      </w:r>
      <w:r>
        <w:rPr>
          <w:i/>
          <w:iCs/>
        </w:rPr>
        <w:t xml:space="preserve">kela</w:t>
      </w:r>
      <w:r>
        <w:t xml:space="preserve">) is resolved to one of the six types and must agree with what CLIP and the CNN see.</w:t>
      </w:r>
    </w:p>
    <w:p>
      <w:pPr>
        <w:pStyle w:val="Heading2"/>
      </w:pPr>
      <w:r>
        <w:t xml:space="preserve">3.5  Label Reading (Pipeline B)</w:t>
      </w:r>
    </w:p>
    <w:p>
      <w:pPr>
        <w:spacing w:after="120"/>
        <w:jc w:val="both"/>
      </w:pPr>
      <w:r>
        <w:t xml:space="preserve">Figure 3.2 shows the stages of label reading. Each image is pre-processed into up to four variants. The colour and CLAHE-enhanced variants always run; the up-scaled and binarised variants run only when fewer than five nutrient rows have been found.</w:t>
      </w:r>
    </w:p>
    <w:p>
      <w:pPr>
        <w:keepNext/>
        <w:spacing w:before="120" w:after="60" w:line="240"/>
        <w:jc w:val="center"/>
      </w:pPr>
      <w:r>
        <w:drawing>
          <wp:inline distT="0" distB="0" distL="0" distR="0">
            <wp:extent cx="1333500" cy="3914775"/>
            <wp:effectExtent t="0" r="0" b="0" l="0"/>
            <wp:docPr id="1" name="Figure 3.2" descr="Label reading pipeline"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33500" cy="3914775"/>
                    </a:xfrm>
                    <a:prstGeom prst="rect">
                      <a:avLst/>
                    </a:prstGeom>
                  </pic:spPr>
                </pic:pic>
              </a:graphicData>
            </a:graphic>
          </wp:inline>
        </w:drawing>
      </w:r>
    </w:p>
    <w:p>
      <w:pPr>
        <w:spacing w:after="240"/>
        <w:jc w:val="center"/>
      </w:pPr>
      <w:r>
        <w:rPr>
          <w:b/>
          <w:bCs/>
        </w:rPr>
        <w:t xml:space="preserve">Figure 3.2: </w:t>
      </w:r>
      <w:r>
        <w:t xml:space="preserve">Label reading pipeline</w:t>
      </w:r>
    </w:p>
    <w:p>
      <w:pPr>
        <w:keepNext/>
        <w:keepLines/>
        <w:shd w:fill="F2F4F0" w:color="auto" w:val="clear"/>
        <w:spacing w:line="240" w:before="60" w:after="0"/>
        <w:ind w:left="240" w:right="240"/>
      </w:pPr>
      <w:r>
        <w:rPr>
          <w:rFonts w:ascii="Consolas" w:cs="Consolas" w:eastAsia="Consolas" w:hAnsi="Consolas"/>
          <w:sz w:val="18"/>
          <w:szCs w:val="18"/>
        </w:rPr>
        <w:t xml:space="preserve">Algorithm 3.4  Combining OCR variants</w:t>
      </w:r>
    </w:p>
    <w:p>
      <w:pPr>
        <w:keepNext/>
        <w:keepLines/>
        <w:shd w:fill="F2F4F0" w:color="auto" w:val="clear"/>
        <w:spacing w:line="240" w:before="0" w:after="0"/>
        <w:ind w:left="240" w:right="240"/>
      </w:pPr>
      <w:r>
        <w:rPr>
          <w:rFonts w:ascii="Consolas" w:cs="Consolas" w:eastAsia="Consolas" w:hAnsi="Consolas"/>
          <w:sz w:val="18"/>
          <w:szCs w:val="18"/>
        </w:rPr>
        <w:t xml:space="preserve">runs &lt;- []</w:t>
      </w:r>
    </w:p>
    <w:p>
      <w:pPr>
        <w:keepNext/>
        <w:keepLines/>
        <w:shd w:fill="F2F4F0" w:color="auto" w:val="clear"/>
        <w:spacing w:line="240" w:before="0" w:after="0"/>
        <w:ind w:left="240" w:right="240"/>
      </w:pPr>
      <w:r>
        <w:rPr>
          <w:rFonts w:ascii="Consolas" w:cs="Consolas" w:eastAsia="Consolas" w:hAnsi="Consolas"/>
          <w:sz w:val="18"/>
          <w:szCs w:val="18"/>
        </w:rPr>
        <w:t xml:space="preserve">for v in [colour, CLAHE + glare inpaint, upscaled x1.5, adaptive binary]:</w:t>
      </w:r>
    </w:p>
    <w:p>
      <w:pPr>
        <w:keepNext/>
        <w:keepLines/>
        <w:shd w:fill="F2F4F0" w:color="auto" w:val="clear"/>
        <w:spacing w:line="240" w:before="0" w:after="0"/>
        <w:ind w:left="240" w:right="240"/>
      </w:pPr>
      <w:r>
        <w:rPr>
          <w:rFonts w:ascii="Consolas" w:cs="Consolas" w:eastAsia="Consolas" w:hAnsi="Consolas"/>
          <w:sz w:val="18"/>
          <w:szCs w:val="18"/>
        </w:rPr>
        <w:t xml:space="preserve">    if v is upscaled/binary and max nutrients found so far &gt;= 5: break</w:t>
      </w:r>
    </w:p>
    <w:p>
      <w:pPr>
        <w:keepNext/>
        <w:keepLines/>
        <w:shd w:fill="F2F4F0" w:color="auto" w:val="clear"/>
        <w:spacing w:line="240" w:before="0" w:after="0"/>
        <w:ind w:left="240" w:right="240"/>
      </w:pPr>
      <w:r>
        <w:rPr>
          <w:rFonts w:ascii="Consolas" w:cs="Consolas" w:eastAsia="Consolas" w:hAnsi="Consolas"/>
          <w:sz w:val="18"/>
          <w:szCs w:val="18"/>
        </w:rPr>
        <w:t xml:space="preserve">    lines &lt;- group EasyOCR boxes of v into text lines</w:t>
      </w:r>
    </w:p>
    <w:p>
      <w:pPr>
        <w:keepNext/>
        <w:keepLines/>
        <w:shd w:fill="F2F4F0" w:color="auto" w:val="clear"/>
        <w:spacing w:line="240" w:before="0" w:after="0"/>
        <w:ind w:left="240" w:right="240"/>
      </w:pPr>
      <w:r>
        <w:rPr>
          <w:rFonts w:ascii="Consolas" w:cs="Consolas" w:eastAsia="Consolas" w:hAnsi="Consolas"/>
          <w:sz w:val="18"/>
          <w:szCs w:val="18"/>
        </w:rPr>
        <w:t xml:space="preserve">    runs.append(parse_nutrients(lines))</w:t>
      </w:r>
    </w:p>
    <w:p>
      <w:pPr>
        <w:keepNext/>
        <w:keepLines/>
        <w:shd w:fill="F2F4F0" w:color="auto" w:val="clear"/>
        <w:spacing w:line="240" w:before="0" w:after="0"/>
        <w:ind w:left="240" w:right="240"/>
      </w:pPr>
      <w:r>
        <w:rPr>
          <w:rFonts w:ascii="Consolas" w:cs="Consolas" w:eastAsia="Consolas" w:hAnsi="Consolas"/>
          <w:sz w:val="18"/>
          <w:szCs w:val="18"/>
        </w:rPr>
        <w:t xml:space="preserve">primary &lt;- run with the most nutrient rows</w:t>
      </w:r>
    </w:p>
    <w:p>
      <w:pPr>
        <w:keepNext/>
        <w:keepLines/>
        <w:shd w:fill="F2F4F0" w:color="auto" w:val="clear"/>
        <w:spacing w:line="240" w:before="0" w:after="0"/>
        <w:ind w:left="240" w:right="240"/>
      </w:pPr>
      <w:r>
        <w:rPr>
          <w:rFonts w:ascii="Consolas" w:cs="Consolas" w:eastAsia="Consolas" w:hAnsi="Consolas"/>
          <w:sz w:val="18"/>
          <w:szCs w:val="18"/>
        </w:rPr>
        <w:t xml:space="preserve">for each nutrient k found in any run:</w:t>
      </w:r>
    </w:p>
    <w:p>
      <w:pPr>
        <w:keepNext/>
        <w:keepLines/>
        <w:shd w:fill="F2F4F0" w:color="auto" w:val="clear"/>
        <w:spacing w:line="240" w:before="0" w:after="0"/>
        <w:ind w:left="240" w:right="240"/>
      </w:pPr>
      <w:r>
        <w:rPr>
          <w:rFonts w:ascii="Consolas" w:cs="Consolas" w:eastAsia="Consolas" w:hAnsi="Consolas"/>
          <w:sz w:val="18"/>
          <w:szCs w:val="18"/>
        </w:rPr>
        <w:t xml:space="preserve">    if one reading = another x 10 or x 100: keep the smaller   (lost decimal point)</w:t>
      </w:r>
    </w:p>
    <w:p>
      <w:pPr>
        <w:keepNext/>
        <w:keepLines/>
        <w:shd w:fill="F2F4F0" w:color="auto" w:val="clear"/>
        <w:spacing w:line="240" w:before="0" w:after="0"/>
        <w:ind w:left="240" w:right="240"/>
      </w:pPr>
      <w:r>
        <w:rPr>
          <w:rFonts w:ascii="Consolas" w:cs="Consolas" w:eastAsia="Consolas" w:hAnsi="Consolas"/>
          <w:sz w:val="18"/>
          <w:szCs w:val="18"/>
        </w:rPr>
        <w:t xml:space="preserve">    else if two runs agree within 1 %:      keep that value      (majority vote)</w:t>
      </w:r>
    </w:p>
    <w:p>
      <w:pPr>
        <w:keepNext w:val="false"/>
        <w:keepLines/>
        <w:shd w:fill="F2F4F0" w:color="auto" w:val="clear"/>
        <w:spacing w:line="240" w:before="0" w:after="160"/>
        <w:ind w:left="240" w:right="240"/>
      </w:pPr>
      <w:r>
        <w:rPr>
          <w:rFonts w:ascii="Consolas" w:cs="Consolas" w:eastAsia="Consolas" w:hAnsi="Consolas"/>
          <w:sz w:val="18"/>
          <w:szCs w:val="18"/>
        </w:rPr>
        <w:t xml:space="preserve">    else keep the primary run's value</w:t>
      </w:r>
    </w:p>
    <w:p>
      <w:pPr>
        <w:spacing w:after="120"/>
        <w:jc w:val="both"/>
      </w:pPr>
      <w:r>
        <w:t xml:space="preserve">Nutrient names are matched with regular expressions and RapidFuzz to tolerate OCR errors ("Sodiurn", "Saturated Fal"). The parser detects the table layout and converts every value to the per-100 basis:</w:t>
      </w:r>
    </w:p>
    <w:p>
      <w:pPr>
        <w:tabs>
          <w:tab w:val="center" w:pos="4153"/>
          <w:tab w:val="right" w:pos="8306"/>
        </w:tabs>
        <w:spacing w:before="80" w:after="120"/>
      </w:pPr>
      <w:r>
        <w:rPr>
          <w:rFonts w:ascii="Cambria Math" w:cs="Cambria Math" w:eastAsia="Cambria Math" w:hAnsi="Cambria Math"/>
          <w:i w:val="false"/>
          <w:iCs w:val="false"/>
        </w:rPr>
        <w:t xml:space="preserve">	value₁₀₀ = value_serve × 100 / serving size</w:t>
      </w:r>
      <w:r>
        <w:t xml:space="preserve">	(3.11)</w:t>
      </w:r>
    </w:p>
    <w:p>
      <w:pPr>
        <w:tabs>
          <w:tab w:val="center" w:pos="4153"/>
          <w:tab w:val="right" w:pos="8306"/>
        </w:tabs>
        <w:spacing w:before="80" w:after="120"/>
      </w:pPr>
      <w:r>
        <w:rPr>
          <w:rFonts w:ascii="Cambria Math" w:cs="Cambria Math" w:eastAsia="Cambria Math" w:hAnsi="Cambria Math"/>
          <w:i w:val="false"/>
          <w:iCs w:val="false"/>
        </w:rPr>
        <w:t xml:space="preserve">	sodium (g) = salt (g) / 2.5 ,   g = mg / 1000</w:t>
      </w:r>
      <w:r>
        <w:t xml:space="preserve">	(3.12)</w:t>
      </w:r>
    </w:p>
    <w:p>
      <w:pPr>
        <w:spacing w:after="120"/>
        <w:jc w:val="both"/>
      </w:pPr>
      <w:r>
        <w:t xml:space="preserve">Values that are physically impossible (more than 900 kcal or more than 100 g of a nutrient per 100 g) indicate a misread column and are rejected before scaling. If added sugar is not declared, total sugars are used as a conservative substitute.</w:t>
      </w:r>
    </w:p>
    <w:p>
      <w:pPr>
        <w:pStyle w:val="Heading2"/>
      </w:pPr>
      <w:r>
        <w:t xml:space="preserve">3.6  FSSAI Compliance Engine</w:t>
      </w:r>
    </w:p>
    <w:p>
      <w:pPr>
        <w:keepNext/>
        <w:keepLines/>
        <w:shd w:fill="F2F4F0" w:color="auto" w:val="clear"/>
        <w:spacing w:line="240" w:before="60" w:after="0"/>
        <w:ind w:left="240" w:right="240"/>
      </w:pPr>
      <w:r>
        <w:rPr>
          <w:rFonts w:ascii="Consolas" w:cs="Consolas" w:eastAsia="Consolas" w:hAnsi="Consolas"/>
          <w:sz w:val="18"/>
          <w:szCs w:val="18"/>
        </w:rPr>
        <w:t xml:space="preserve">Algorithm 3.5  Compliance and verdict for packaged food</w:t>
      </w:r>
    </w:p>
    <w:p>
      <w:pPr>
        <w:keepNext/>
        <w:keepLines/>
        <w:shd w:fill="F2F4F0" w:color="auto" w:val="clear"/>
        <w:spacing w:line="240" w:before="0" w:after="0"/>
        <w:ind w:left="240" w:right="240"/>
      </w:pPr>
      <w:r>
        <w:rPr>
          <w:rFonts w:ascii="Consolas" w:cs="Consolas" w:eastAsia="Consolas" w:hAnsi="Consolas"/>
          <w:sz w:val="18"/>
          <w:szCs w:val="18"/>
        </w:rPr>
        <w:t xml:space="preserve">limits &lt;- safety_thresholds.json[category]          # empty for exempt</w:t>
      </w:r>
    </w:p>
    <w:p>
      <w:pPr>
        <w:keepNext/>
        <w:keepLines/>
        <w:shd w:fill="F2F4F0" w:color="auto" w:val="clear"/>
        <w:spacing w:line="240" w:before="0" w:after="0"/>
        <w:ind w:left="240" w:right="240"/>
      </w:pPr>
      <w:r>
        <w:rPr>
          <w:rFonts w:ascii="Consolas" w:cs="Consolas" w:eastAsia="Consolas" w:hAnsi="Consolas"/>
          <w:sz w:val="18"/>
          <w:szCs w:val="18"/>
        </w:rPr>
        <w:t xml:space="preserve">for each (nutrient, limit) in limits:</w:t>
      </w:r>
    </w:p>
    <w:p>
      <w:pPr>
        <w:keepNext/>
        <w:keepLines/>
        <w:shd w:fill="F2F4F0" w:color="auto" w:val="clear"/>
        <w:spacing w:line="240" w:before="0" w:after="0"/>
        <w:ind w:left="240" w:right="240"/>
      </w:pPr>
      <w:r>
        <w:rPr>
          <w:rFonts w:ascii="Consolas" w:cs="Consolas" w:eastAsia="Consolas" w:hAnsi="Consolas"/>
          <w:sz w:val="18"/>
          <w:szCs w:val="18"/>
        </w:rPr>
        <w:t xml:space="preserve">    v &lt;- value per 100 g / 100 ml (or total sugar for missing added sugar)</w:t>
      </w:r>
    </w:p>
    <w:p>
      <w:pPr>
        <w:keepNext/>
        <w:keepLines/>
        <w:shd w:fill="F2F4F0" w:color="auto" w:val="clear"/>
        <w:spacing w:line="240" w:before="0" w:after="0"/>
        <w:ind w:left="240" w:right="240"/>
      </w:pPr>
      <w:r>
        <w:rPr>
          <w:rFonts w:ascii="Consolas" w:cs="Consolas" w:eastAsia="Consolas" w:hAnsi="Consolas"/>
          <w:sz w:val="18"/>
          <w:szCs w:val="18"/>
        </w:rPr>
        <w:t xml:space="preserve">    if v missing                 -&gt; NOT_FOUND</w:t>
      </w:r>
    </w:p>
    <w:p>
      <w:pPr>
        <w:keepNext/>
        <w:keepLines/>
        <w:shd w:fill="F2F4F0" w:color="auto" w:val="clear"/>
        <w:spacing w:line="240" w:before="0" w:after="0"/>
        <w:ind w:left="240" w:right="240"/>
      </w:pPr>
      <w:r>
        <w:rPr>
          <w:rFonts w:ascii="Consolas" w:cs="Consolas" w:eastAsia="Consolas" w:hAnsi="Consolas"/>
          <w:sz w:val="18"/>
          <w:szCs w:val="18"/>
        </w:rPr>
        <w:t xml:space="preserve">    elif label says '&lt; v' and v &gt; limit -&gt; UNCERTAIN</w:t>
      </w:r>
    </w:p>
    <w:p>
      <w:pPr>
        <w:keepNext/>
        <w:keepLines/>
        <w:shd w:fill="F2F4F0" w:color="auto" w:val="clear"/>
        <w:spacing w:line="240" w:before="0" w:after="0"/>
        <w:ind w:left="240" w:right="240"/>
      </w:pPr>
      <w:r>
        <w:rPr>
          <w:rFonts w:ascii="Consolas" w:cs="Consolas" w:eastAsia="Consolas" w:hAnsi="Consolas"/>
          <w:sz w:val="18"/>
          <w:szCs w:val="18"/>
        </w:rPr>
        <w:t xml:space="preserve">    elif v &gt; limit               -&gt; EXCEEDED, add red hexagon</w:t>
      </w:r>
    </w:p>
    <w:p>
      <w:pPr>
        <w:keepNext/>
        <w:keepLines/>
        <w:shd w:fill="F2F4F0" w:color="auto" w:val="clear"/>
        <w:spacing w:line="240" w:before="0" w:after="0"/>
        <w:ind w:left="240" w:right="240"/>
      </w:pPr>
      <w:r>
        <w:rPr>
          <w:rFonts w:ascii="Consolas" w:cs="Consolas" w:eastAsia="Consolas" w:hAnsi="Consolas"/>
          <w:sz w:val="18"/>
          <w:szCs w:val="18"/>
        </w:rPr>
        <w:t xml:space="preserve">    else                         -&gt; OK</w:t>
      </w:r>
    </w:p>
    <w:p>
      <w:pPr>
        <w:keepNext/>
        <w:keepLines/>
        <w:shd w:fill="F2F4F0" w:color="auto" w:val="clear"/>
        <w:spacing w:line="240" w:before="0" w:after="0"/>
        <w:ind w:left="240" w:right="240"/>
      </w:pPr>
      <w:r>
        <w:rPr>
          <w:rFonts w:ascii="Consolas" w:cs="Consolas" w:eastAsia="Consolas" w:hAnsi="Consolas"/>
          <w:sz w:val="18"/>
          <w:szCs w:val="18"/>
        </w:rPr>
        <w:t xml:space="preserve">if expiry date entered and passed  -&gt; UNSAFE</w:t>
      </w:r>
    </w:p>
    <w:p>
      <w:pPr>
        <w:keepNext/>
        <w:keepLines/>
        <w:shd w:fill="F2F4F0" w:color="auto" w:val="clear"/>
        <w:spacing w:line="240" w:before="0" w:after="0"/>
        <w:ind w:left="240" w:right="240"/>
      </w:pPr>
      <w:r>
        <w:rPr>
          <w:rFonts w:ascii="Consolas" w:cs="Consolas" w:eastAsia="Consolas" w:hAnsi="Consolas"/>
          <w:sz w:val="18"/>
          <w:szCs w:val="18"/>
        </w:rPr>
        <w:t xml:space="preserve">elif any EXCEEDED                  -&gt; UNSAFE (red hexagons)</w:t>
      </w:r>
    </w:p>
    <w:p>
      <w:pPr>
        <w:keepNext/>
        <w:keepLines/>
        <w:shd w:fill="F2F4F0" w:color="auto" w:val="clear"/>
        <w:spacing w:line="240" w:before="0" w:after="0"/>
        <w:ind w:left="240" w:right="240"/>
      </w:pPr>
      <w:r>
        <w:rPr>
          <w:rFonts w:ascii="Consolas" w:cs="Consolas" w:eastAsia="Consolas" w:hAnsi="Consolas"/>
          <w:sz w:val="18"/>
          <w:szCs w:val="18"/>
        </w:rPr>
        <w:t xml:space="preserve">elif any NOT_FOUND or UNCERTAIN    -&gt; CAUTION (ask for a clearer photo)</w:t>
      </w:r>
    </w:p>
    <w:p>
      <w:pPr>
        <w:keepNext w:val="false"/>
        <w:keepLines/>
        <w:shd w:fill="F2F4F0" w:color="auto" w:val="clear"/>
        <w:spacing w:line="240" w:before="0" w:after="160"/>
        <w:ind w:left="240" w:right="240"/>
      </w:pPr>
      <w:r>
        <w:rPr>
          <w:rFonts w:ascii="Consolas" w:cs="Consolas" w:eastAsia="Consolas" w:hAnsi="Consolas"/>
          <w:sz w:val="18"/>
          <w:szCs w:val="18"/>
        </w:rPr>
        <w:t xml:space="preserve">else                               -&gt; SAFE</w:t>
      </w:r>
    </w:p>
    <w:p>
      <w:pPr>
        <w:keepNext/>
        <w:spacing w:before="200" w:after="100"/>
        <w:jc w:val="center"/>
      </w:pPr>
      <w:r>
        <w:rPr>
          <w:b/>
          <w:bCs/>
        </w:rPr>
        <w:t xml:space="preserve">Table 3.4: </w:t>
      </w:r>
      <w:r>
        <w:t xml:space="preserve">HFSS limits used by the engine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65"/>
        <w:gridCol w:w="1510"/>
        <w:gridCol w:w="1510"/>
        <w:gridCol w:w="1510"/>
        <w:gridCol w:w="1511"/>
      </w:tblGrid>
      <w:tr>
        <w:trPr>
          <w:tblHeader/>
        </w:trPr>
        <w:tc>
          <w:tcPr>
            <w:tcW w:type="dxa" w:w="2265"/>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Category</w:t>
            </w:r>
          </w:p>
        </w:tc>
        <w:tc>
          <w:tcPr>
            <w:tcW w:type="dxa" w:w="151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Basis</w:t>
            </w:r>
          </w:p>
        </w:tc>
        <w:tc>
          <w:tcPr>
            <w:tcW w:type="dxa" w:w="151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Added sugar</w:t>
            </w:r>
          </w:p>
        </w:tc>
        <w:tc>
          <w:tcPr>
            <w:tcW w:type="dxa" w:w="151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Saturated fat</w:t>
            </w:r>
          </w:p>
        </w:tc>
        <w:tc>
          <w:tcPr>
            <w:tcW w:type="dxa" w:w="151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Sodium</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Packaged – solid</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per 100 g</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&gt; 3.0 g</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&gt; 4.2 g</w:t>
            </w:r>
          </w:p>
        </w:tc>
        <w:tc>
          <w:tcPr>
            <w:tcW w:type="dxa" w:w="15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&gt; 0.625 g</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Packaged – liquid</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per 100 ml</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&gt; 1.5 g</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&gt; 2.1 g</w:t>
            </w:r>
          </w:p>
        </w:tc>
        <w:tc>
          <w:tcPr>
            <w:tcW w:type="dxa" w:w="15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&gt; 0.300 g</w:t>
            </w:r>
          </w:p>
        </w:tc>
      </w:tr>
      <w:tr>
        <w:trPr>
          <w:cantSplit/>
        </w:trPr>
        <w:tc>
          <w:tcPr>
            <w:tcW w:type="dxa" w:w="22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Packaged – exempt</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exempt</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exempt</w:t>
            </w:r>
          </w:p>
        </w:tc>
        <w:tc>
          <w:tcPr>
            <w:tcW w:type="dxa" w:w="15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exempt</w:t>
            </w:r>
          </w:p>
        </w:tc>
      </w:tr>
    </w:tbl>
    <w:p>
      <w:pPr>
        <w:spacing w:after="120"/>
      </w:pPr>
    </w:p>
    <w:p>
      <w:pPr>
        <w:spacing w:after="120"/>
        <w:jc w:val="both"/>
      </w:pPr>
      <w:r>
        <w:rPr>
          <w:i/>
          <w:iCs/>
        </w:rPr>
        <w:t xml:space="preserve">Note:</w:t>
      </w:r>
      <w:r>
        <w:t xml:space="preserve"> these values were taken from the project brief and must be verified against the current FSSAI notification before the final review; they are read from the configuration file, so updating them needs no code change. If the product title or a one- or two-item ingredient list matches exempt keywords (ghee, honey, mustard oil, almonds and others), the engine suggests re-running the check in the exempt category.</w:t>
      </w:r>
    </w:p>
    <w:p>
      <w:pPr>
        <w:pStyle w:val="Heading2"/>
      </w:pPr>
      <w:r>
        <w:t xml:space="preserve">3.7  Review and Health Score</w:t>
      </w:r>
    </w:p>
    <w:p>
      <w:pPr>
        <w:spacing w:after="120"/>
        <w:jc w:val="both"/>
      </w:pPr>
      <w:r>
        <w:t xml:space="preserve">For raw produce the health score is the freshness confidence:</w:t>
      </w:r>
    </w:p>
    <w:p>
      <w:pPr>
        <w:tabs>
          <w:tab w:val="center" w:pos="4153"/>
          <w:tab w:val="right" w:pos="8306"/>
        </w:tabs>
        <w:spacing w:before="80" w:after="120"/>
      </w:pPr>
      <w:r>
        <w:rPr>
          <w:rFonts w:ascii="Cambria Math" w:cs="Cambria Math" w:eastAsia="Cambria Math" w:hAnsi="Cambria Math"/>
          <w:i w:val="false"/>
          <w:iCs w:val="false"/>
        </w:rPr>
        <w:t xml:space="preserve">	S_produce = 100 × P_fresh</w:t>
      </w:r>
      <w:r>
        <w:t xml:space="preserve">	(3.13)</w:t>
      </w:r>
    </w:p>
    <w:p>
      <w:pPr>
        <w:spacing w:after="120"/>
        <w:jc w:val="both"/>
      </w:pPr>
      <w:r>
        <w:t xml:space="preserve">For packaged food, each limited nutrient with ratio r = value / limit contributes a penalty:</w:t>
      </w:r>
    </w:p>
    <w:p>
      <w:pPr>
        <w:tabs>
          <w:tab w:val="center" w:pos="4153"/>
          <w:tab w:val="right" w:pos="8306"/>
        </w:tabs>
        <w:spacing w:before="80" w:after="120"/>
      </w:pPr>
      <w:r>
        <w:rPr>
          <w:rFonts w:ascii="Cambria Math" w:cs="Cambria Math" w:eastAsia="Cambria Math" w:hAnsi="Cambria Math"/>
          <w:i w:val="false"/>
          <w:iCs w:val="false"/>
        </w:rPr>
        <w:t xml:space="preserve">	π(r) = 0 if r ≤ 0.5;   12·(r − 0.5)/0.5 if 0.5 &lt; r ≤ 1;   12 + 23·min(1, (r − 1)/2) if r &gt; 1</w:t>
      </w:r>
      <w:r>
        <w:t xml:space="preserve">	(3.14)</w:t>
      </w:r>
    </w:p>
    <w:p>
      <w:pPr>
        <w:tabs>
          <w:tab w:val="center" w:pos="4153"/>
          <w:tab w:val="right" w:pos="8306"/>
        </w:tabs>
        <w:spacing w:before="80" w:after="120"/>
      </w:pPr>
      <w:r>
        <w:rPr>
          <w:rFonts w:ascii="Cambria Math" w:cs="Cambria Math" w:eastAsia="Cambria Math" w:hAnsi="Cambria Math"/>
          <w:i w:val="false"/>
          <w:iCs w:val="false"/>
        </w:rPr>
        <w:t xml:space="preserve">	S_packaged = max(0, 100 − Σ π(rₙ)),  capped at 45 if any limit is exceeded,  0 if expired</w:t>
      </w:r>
      <w:r>
        <w:t xml:space="preserve">	(3.15)</w:t>
      </w:r>
    </w:p>
    <w:p>
      <w:pPr>
        <w:spacing w:after="120"/>
        <w:jc w:val="both"/>
      </w:pPr>
      <w:r>
        <w:t xml:space="preserve">The cap ensures the score always agrees with an UNSAFE verdict. Ratings are 85 and above Excellent, 70 Good, 50 Fair, 30 Poor and below 30 Avoid; stars are S / 20 rounded to half steps. Exempt foods are not scored. For each nutrient, the share of the WHO adult daily maximum (2,000 kcal energy, 50 g free sugar, 22 g saturated fat, 2 g sodium) is also reported.</w:t>
      </w:r>
    </w:p>
    <w:p>
      <w:pPr>
        <w:pStyle w:val="Heading2"/>
      </w:pPr>
      <w:r>
        <w:t xml:space="preserve">3.8  Evaluation Methodology</w:t>
      </w:r>
    </w:p>
    <w:p>
      <w:pPr>
        <w:pStyle w:val="Heading3"/>
      </w:pPr>
      <w:r>
        <w:t xml:space="preserve">3.8.1  Metrics</w:t>
      </w:r>
    </w:p>
    <w:p>
      <w:pPr>
        <w:spacing w:after="120"/>
        <w:jc w:val="both"/>
      </w:pPr>
      <w:r>
        <w:t xml:space="preserve">With TP, FP, FN and TN counted per class on the test set:</w:t>
      </w:r>
    </w:p>
    <w:p>
      <w:pPr>
        <w:tabs>
          <w:tab w:val="center" w:pos="4153"/>
          <w:tab w:val="right" w:pos="8306"/>
        </w:tabs>
        <w:spacing w:before="80" w:after="120"/>
      </w:pPr>
      <w:r>
        <w:rPr>
          <w:rFonts w:ascii="Cambria Math" w:cs="Cambria Math" w:eastAsia="Cambria Math" w:hAnsi="Cambria Math"/>
          <w:i w:val="false"/>
          <w:iCs w:val="false"/>
        </w:rPr>
        <w:t xml:space="preserve">	Accuracy = (correct predictions) / (all predictions)</w:t>
      </w:r>
      <w:r>
        <w:t xml:space="preserve">	(3.16)</w:t>
      </w:r>
    </w:p>
    <w:p>
      <w:pPr>
        <w:tabs>
          <w:tab w:val="center" w:pos="4153"/>
          <w:tab w:val="right" w:pos="8306"/>
        </w:tabs>
        <w:spacing w:before="80" w:after="120"/>
      </w:pPr>
      <w:r>
        <w:rPr>
          <w:rFonts w:ascii="Cambria Math" w:cs="Cambria Math" w:eastAsia="Cambria Math" w:hAnsi="Cambria Math"/>
          <w:i w:val="false"/>
          <w:iCs w:val="false"/>
        </w:rPr>
        <w:t xml:space="preserve">	Precision = TP / (TP + FP) ,   Recall = TP / (TP + FN)</w:t>
      </w:r>
      <w:r>
        <w:t xml:space="preserve">	(3.17)</w:t>
      </w:r>
    </w:p>
    <w:p>
      <w:pPr>
        <w:tabs>
          <w:tab w:val="center" w:pos="4153"/>
          <w:tab w:val="right" w:pos="8306"/>
        </w:tabs>
        <w:spacing w:before="80" w:after="120"/>
      </w:pPr>
      <w:r>
        <w:rPr>
          <w:rFonts w:ascii="Cambria Math" w:cs="Cambria Math" w:eastAsia="Cambria Math" w:hAnsi="Cambria Math"/>
          <w:i w:val="false"/>
          <w:iCs w:val="false"/>
        </w:rPr>
        <w:t xml:space="preserve">	F1 = 2 · Precision · Recall / (Precision + Recall) ,   macro-F1 = (1/K) · Σₖ F1ₖ</w:t>
      </w:r>
      <w:r>
        <w:t xml:space="preserve">	(3.18)</w:t>
      </w:r>
    </w:p>
    <w:p>
      <w:pPr>
        <w:keepNext/>
        <w:spacing w:before="200" w:after="100"/>
        <w:jc w:val="center"/>
      </w:pPr>
      <w:r>
        <w:rPr>
          <w:b/>
          <w:bCs/>
        </w:rPr>
        <w:t xml:space="preserve">Table 3.5: </w:t>
      </w:r>
      <w:r>
        <w:t xml:space="preserve">Evaluation plan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768"/>
        <w:gridCol w:w="2076"/>
        <w:gridCol w:w="1386"/>
      </w:tblGrid>
      <w:tr>
        <w:trPr>
          <w:tblHeader/>
        </w:trPr>
        <w:tc>
          <w:tcPr>
            <w:tcW w:type="dxa" w:w="2076"/>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Component</w:t>
            </w:r>
          </w:p>
        </w:tc>
        <w:tc>
          <w:tcPr>
            <w:tcW w:type="dxa" w:w="2768"/>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Metric</w:t>
            </w:r>
          </w:p>
        </w:tc>
        <w:tc>
          <w:tcPr>
            <w:tcW w:type="dxa" w:w="2076"/>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Data</w:t>
            </w:r>
          </w:p>
        </w:tc>
        <w:tc>
          <w:tcPr>
            <w:tcW w:type="dxa" w:w="1386"/>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19"/>
                <w:szCs w:val="19"/>
              </w:rPr>
              <w:t xml:space="preserve">Target</w:t>
            </w:r>
          </w:p>
        </w:tc>
      </w:tr>
      <w:tr>
        <w:trPr>
          <w:cantSplit/>
        </w:trPr>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Spoilage model</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12-class accuracy, macro-F1, confusion matrix</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Test split (2,208 images)</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&gt; 90 % accuracy</w:t>
            </w:r>
          </w:p>
        </w:tc>
      </w:tr>
      <w:tr>
        <w:trPr>
          <w:cantSplit/>
        </w:trPr>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Decision rule</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Stale items marked SAFE; accuracy when decided</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Test split</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0 stale → SAFE</w:t>
            </w:r>
          </w:p>
        </w:tc>
      </w:tr>
      <w:tr>
        <w:trPr>
          <w:cantSplit/>
        </w:trPr>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Food filter</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False rejection rate; OOD detection rate</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740 valid + 54 OOD photos</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&lt; 2 % false rejections</w:t>
            </w:r>
          </w:p>
        </w:tc>
      </w:tr>
      <w:tr>
        <w:trPr>
          <w:cantSplit/>
        </w:trPr>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Unsupported produce</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Detection rate</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22 unsupported produce photos</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Most rejected</w:t>
            </w:r>
          </w:p>
        </w:tc>
      </w:tr>
      <w:tr>
        <w:trPr>
          <w:cantSplit/>
        </w:trPr>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OCR + parser</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Field accuracy (within 10 % or 0.05 g); verdict agreement</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Synthetic and real labels</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High on synthetic; measured on real</w:t>
            </w:r>
          </w:p>
        </w:tc>
      </w:tr>
      <w:tr>
        <w:trPr>
          <w:cantSplit/>
        </w:trPr>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Rules and logic</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Unit tests passing</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pytest suite</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All pass</w:t>
            </w:r>
          </w:p>
        </w:tc>
      </w:tr>
      <w:tr>
        <w:trPr>
          <w:cantSplit/>
        </w:trPr>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Whole system</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Expected verdict per scenario</w:t>
            </w:r>
          </w:p>
        </w:tc>
        <w:tc>
          <w:tcPr>
            <w:tcW w:type="dxa" w:w="20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HTTP end-to-end scenarios</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19"/>
                <w:szCs w:val="19"/>
              </w:rPr>
              <w:t xml:space="preserve">All correct</w:t>
            </w:r>
          </w:p>
        </w:tc>
      </w:tr>
    </w:tbl>
    <w:p>
      <w:pPr>
        <w:spacing w:after="120"/>
      </w:pPr>
    </w:p>
    <w:p>
      <w:pPr>
        <w:pStyle w:val="Heading3"/>
      </w:pPr>
      <w:r>
        <w:t xml:space="preserve">3.8.2  Experimental setup</w:t>
      </w:r>
    </w:p>
    <w:p>
      <w:pPr>
        <w:keepNext/>
        <w:spacing w:before="200" w:after="100"/>
        <w:jc w:val="center"/>
      </w:pPr>
      <w:r>
        <w:rPr>
          <w:b/>
          <w:bCs/>
        </w:rPr>
        <w:t xml:space="preserve">Table 3.6: </w:t>
      </w:r>
      <w:r>
        <w:t xml:space="preserve">Experimental environment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rPr>
          <w:tblHeader/>
        </w:trPr>
        <w:tc>
          <w:tcPr>
            <w:tcW w:type="dxa" w:w="249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Item</w:t>
            </w:r>
          </w:p>
        </w:tc>
        <w:tc>
          <w:tcPr>
            <w:tcW w:type="dxa" w:w="5815"/>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Specification</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Hardware</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NVIDIA GeForce RTX 5060 Ti (16 GB), Windows 11 Pro</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Language and frameworks</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Python 3.12, PyTorch 2.11 (CUDA 12.8), torchvision 0.26, Transformers 5.17</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Vision and OCR</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EasyOCR 1.7.2, OpenCV 5.0, Pillow</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Matching and web</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RapidFuzz 3.14, Flask 3.1, HTML / CSS / JavaScript</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Evaluation</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scikit-learn, Matplotlib, pytest</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Reproducibility</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Fixed seed 42; scripts download</w:t>
            </w:r>
            <w:r>
              <w:rPr>
                <w:b w:val="false"/>
                <w:bCs w:val="false"/>
                <w:i/>
                <w:iCs/>
                <w:sz w:val="21"/>
                <w:szCs w:val="21"/>
              </w:rPr>
              <w:t xml:space="preserve">datasets.py, train</w:t>
            </w:r>
            <w:r>
              <w:rPr>
                <w:b w:val="false"/>
                <w:bCs w:val="false"/>
                <w:sz w:val="21"/>
                <w:szCs w:val="21"/>
              </w:rPr>
              <w:t xml:space="preserve">vision.py, evaluate</w:t>
            </w:r>
            <w:r>
              <w:rPr>
                <w:b w:val="false"/>
                <w:bCs w:val="false"/>
                <w:i/>
                <w:iCs/>
                <w:sz w:val="21"/>
                <w:szCs w:val="21"/>
              </w:rPr>
              <w:t xml:space="preserve">vision.py, evaluate</w:t>
            </w:r>
            <w:r>
              <w:rPr>
                <w:b w:val="false"/>
                <w:bCs w:val="false"/>
                <w:sz w:val="21"/>
                <w:szCs w:val="21"/>
              </w:rPr>
              <w:t xml:space="preserve">ocr.py</w:t>
            </w:r>
          </w:p>
        </w:tc>
      </w:tr>
    </w:tbl>
    <w:p>
      <w:pPr>
        <w:spacing w:after="120"/>
      </w:pPr>
    </w:p>
    <w:p>
      <w:pPr>
        <w:pStyle w:val="Heading1"/>
        <w:pageBreakBefore/>
        <w:spacing w:after="360"/>
        <w:jc w:val="center"/>
      </w:pPr>
      <w:r>
        <w:t xml:space="preserve">CHAPTER 4</w:t>
      </w:r>
      <w:r>
        <w:br/>
        <w:t xml:space="preserve">SYSTEM DESIGN</w:t>
      </w:r>
    </w:p>
    <w:p>
      <w:pPr>
        <w:pStyle w:val="Heading2"/>
      </w:pPr>
      <w:r>
        <w:t xml:space="preserve">4.1  Design Goals and Principles</w:t>
      </w:r>
    </w:p>
    <w:p>
      <w:pPr>
        <w:pStyle w:val="ListParagraph"/>
        <w:numPr>
          <w:ilvl w:val="0"/>
          <w:numId w:val="3"/>
        </w:numPr>
        <w:spacing w:after="60"/>
        <w:jc w:val="both"/>
      </w:pPr>
      <w:r>
        <w:rPr>
          <w:b/>
          <w:bCs/>
        </w:rPr>
        <w:t xml:space="preserve">Guarded pipeline:</w:t>
      </w:r>
      <w:r>
        <w:t xml:space="preserve"> every request passes the food, category and identity checks before the specialised models run.</w:t>
      </w:r>
    </w:p>
    <w:p>
      <w:pPr>
        <w:pStyle w:val="ListParagraph"/>
        <w:numPr>
          <w:ilvl w:val="0"/>
          <w:numId w:val="3"/>
        </w:numPr>
        <w:spacing w:after="60"/>
        <w:jc w:val="both"/>
      </w:pPr>
      <w:r>
        <w:rPr>
          <w:b/>
          <w:bCs/>
        </w:rPr>
        <w:t xml:space="preserve">Fail safe:</w:t>
      </w:r>
      <w:r>
        <w:t xml:space="preserve"> uncertainty leads to CAUTION or a request for a better photo, never to a confident guess.</w:t>
      </w:r>
    </w:p>
    <w:p>
      <w:pPr>
        <w:pStyle w:val="ListParagraph"/>
        <w:numPr>
          <w:ilvl w:val="0"/>
          <w:numId w:val="3"/>
        </w:numPr>
        <w:spacing w:after="60"/>
        <w:jc w:val="both"/>
      </w:pPr>
      <w:r>
        <w:rPr>
          <w:b/>
          <w:bCs/>
        </w:rPr>
        <w:t xml:space="preserve">Explainable:</w:t>
      </w:r>
      <w:r>
        <w:t xml:space="preserve"> every verdict carries a plain-language reason, the result of each stage and evidence images.</w:t>
      </w:r>
    </w:p>
    <w:p>
      <w:pPr>
        <w:pStyle w:val="ListParagraph"/>
        <w:numPr>
          <w:ilvl w:val="0"/>
          <w:numId w:val="3"/>
        </w:numPr>
        <w:spacing w:after="60"/>
        <w:jc w:val="both"/>
      </w:pPr>
      <w:r>
        <w:rPr>
          <w:b/>
          <w:bCs/>
        </w:rPr>
        <w:t xml:space="preserve">Configuration-driven:</w:t>
      </w:r>
      <w:r>
        <w:t xml:space="preserve"> limits and thresholds live in JSON files, not in code.</w:t>
      </w:r>
    </w:p>
    <w:p>
      <w:pPr>
        <w:pStyle w:val="ListParagraph"/>
        <w:numPr>
          <w:ilvl w:val="0"/>
          <w:numId w:val="3"/>
        </w:numPr>
        <w:spacing w:after="60"/>
        <w:jc w:val="both"/>
      </w:pPr>
      <w:r>
        <w:rPr>
          <w:b/>
          <w:bCs/>
        </w:rPr>
        <w:t xml:space="preserve">Modular:</w:t>
      </w:r>
      <w:r>
        <w:t xml:space="preserve"> each concern (guardrails, vision, OCR, parsing, rules, identity, review) is a separate module with a small interface.</w:t>
      </w:r>
    </w:p>
    <w:p>
      <w:pPr>
        <w:pStyle w:val="ListParagraph"/>
        <w:numPr>
          <w:ilvl w:val="0"/>
          <w:numId w:val="3"/>
        </w:numPr>
        <w:spacing w:after="60"/>
        <w:jc w:val="both"/>
      </w:pPr>
      <w:r>
        <w:rPr>
          <w:b/>
          <w:bCs/>
        </w:rPr>
        <w:t xml:space="preserve">Private and offline-capable:</w:t>
      </w:r>
      <w:r>
        <w:t xml:space="preserve"> images are processed in memory and not stored; after the first run, models load without internet.</w:t>
      </w:r>
    </w:p>
    <w:p>
      <w:pPr>
        <w:pStyle w:val="Heading2"/>
      </w:pPr>
      <w:r>
        <w:t xml:space="preserve">4.2  System Architecture</w:t>
      </w:r>
    </w:p>
    <w:p>
      <w:pPr>
        <w:spacing w:after="120"/>
        <w:jc w:val="both"/>
      </w:pPr>
      <w:r>
        <w:t xml:space="preserve">The system is organised in four layers: the </w:t>
      </w:r>
      <w:r>
        <w:rPr>
          <w:b/>
          <w:bCs/>
        </w:rPr>
        <w:t xml:space="preserve">presentation layer</w:t>
      </w:r>
      <w:r>
        <w:t xml:space="preserve"> (HTML, CSS and JavaScript in the browser), the </w:t>
      </w:r>
      <w:r>
        <w:rPr>
          <w:b/>
          <w:bCs/>
        </w:rPr>
        <w:t xml:space="preserve">application layer</w:t>
      </w:r>
      <w:r>
        <w:t xml:space="preserve"> (Flask server and the pipeline orchestrator), the </w:t>
      </w:r>
      <w:r>
        <w:rPr>
          <w:b/>
          <w:bCs/>
        </w:rPr>
        <w:t xml:space="preserve">analysis layer</w:t>
      </w:r>
      <w:r>
        <w:t xml:space="preserve"> (guardrails, spoilage model, OCR, parser, rule engine, identity and review modules) and the </w:t>
      </w:r>
      <w:r>
        <w:rPr>
          <w:b/>
          <w:bCs/>
        </w:rPr>
        <w:t xml:space="preserve">data layer</w:t>
      </w:r>
      <w:r>
        <w:t xml:space="preserve"> (model weights, JSON configuration and the produce knowledge base). Figure 4.1 shows the flow through the guarded pipeline.</w:t>
      </w:r>
    </w:p>
    <w:p>
      <w:pPr>
        <w:keepNext/>
        <w:spacing w:before="120" w:after="60" w:line="240"/>
        <w:jc w:val="center"/>
      </w:pPr>
      <w:r>
        <w:drawing>
          <wp:inline distT="0" distB="0" distL="0" distR="0">
            <wp:extent cx="5267325" cy="3476625"/>
            <wp:effectExtent t="0" r="0" b="0" l="0"/>
            <wp:docPr id="1" name="Figure 4.1" descr="System architecture of FoodGuard AI"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67325" cy="3476625"/>
                    </a:xfrm>
                    <a:prstGeom prst="rect">
                      <a:avLst/>
                    </a:prstGeom>
                  </pic:spPr>
                </pic:pic>
              </a:graphicData>
            </a:graphic>
          </wp:inline>
        </w:drawing>
      </w:r>
    </w:p>
    <w:p>
      <w:pPr>
        <w:spacing w:after="240"/>
        <w:jc w:val="center"/>
      </w:pPr>
      <w:r>
        <w:rPr>
          <w:b/>
          <w:bCs/>
        </w:rPr>
        <w:t xml:space="preserve">Figure 4.1: </w:t>
      </w:r>
      <w:r>
        <w:t xml:space="preserve">System architecture of FoodGuard AI</w:t>
      </w:r>
    </w:p>
    <w:p>
      <w:pPr>
        <w:pStyle w:val="Heading2"/>
      </w:pPr>
      <w:r>
        <w:t xml:space="preserve">4.3  Data Flow Diagrams</w:t>
      </w:r>
    </w:p>
    <w:p>
      <w:pPr>
        <w:spacing w:after="120"/>
        <w:jc w:val="both"/>
      </w:pPr>
      <w:r>
        <w:t xml:space="preserve">The Level 0 data flow diagram (context diagram) in Figure 4.2 shows FoodGuard AI as a single process exchanging data with the user and the external services.</w:t>
      </w:r>
    </w:p>
    <w:p>
      <w:pPr>
        <w:keepNext/>
        <w:spacing w:before="120" w:after="60" w:line="240"/>
        <w:jc w:val="center"/>
      </w:pPr>
      <w:r>
        <w:drawing>
          <wp:inline distT="0" distB="0" distL="0" distR="0">
            <wp:extent cx="5267325" cy="1057275"/>
            <wp:effectExtent t="0" r="0" b="0" l="0"/>
            <wp:docPr id="1" name="Figure 4.2" descr="Data flow diagram, Level 0 (context diagram)"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67325" cy="1057275"/>
                    </a:xfrm>
                    <a:prstGeom prst="rect">
                      <a:avLst/>
                    </a:prstGeom>
                  </pic:spPr>
                </pic:pic>
              </a:graphicData>
            </a:graphic>
          </wp:inline>
        </w:drawing>
      </w:r>
    </w:p>
    <w:p>
      <w:pPr>
        <w:spacing w:after="240"/>
        <w:jc w:val="center"/>
      </w:pPr>
      <w:r>
        <w:rPr>
          <w:b/>
          <w:bCs/>
        </w:rPr>
        <w:t xml:space="preserve">Figure 4.2: </w:t>
      </w:r>
      <w:r>
        <w:t xml:space="preserve">Data flow diagram, Level 0 (context diagram)</w:t>
      </w:r>
    </w:p>
    <w:p>
      <w:pPr>
        <w:spacing w:after="120"/>
        <w:jc w:val="both"/>
      </w:pPr>
      <w:r>
        <w:t xml:space="preserve">The Level 1 diagram (Figure 4.3, on the next page) decomposes the system into seven processes and four data stores. Solid arrows are data flows; dotted arrows are reads from data stores.</w:t>
      </w:r>
    </w:p>
    <w:p>
      <w:pPr>
        <w:sectPr>
          <w:headerReference w:type="default" r:id="rId7"/>
          <w:footerReference w:type="default" r:id="rId8"/>
          <w:pgSz w:w="11906" w:h="16838" w:orient="portrait"/>
          <w:pgMar w:top="1440" w:right="1440" w:bottom="1440" w:left="2160" w:header="720" w:footer="720" w:gutter="0"/>
          <w:pgNumType w:start="1" w:fmt="decimal"/>
          <w:docGrid w:linePitch="360"/>
        </w:sectPr>
      </w:pPr>
    </w:p>
    <w:p>
      <w:pPr>
        <w:keepNext/>
        <w:spacing w:before="120" w:after="60" w:line="240"/>
        <w:jc w:val="center"/>
      </w:pPr>
      <w:r>
        <w:drawing>
          <wp:inline distT="0" distB="0" distL="0" distR="0">
            <wp:extent cx="7953375" cy="4953000"/>
            <wp:effectExtent t="0" r="0" b="0" l="0"/>
            <wp:docPr id="1" name="Figure 4.3" descr="Data flow diagram, Level 1"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953375" cy="4953000"/>
                    </a:xfrm>
                    <a:prstGeom prst="rect">
                      <a:avLst/>
                    </a:prstGeom>
                  </pic:spPr>
                </pic:pic>
              </a:graphicData>
            </a:graphic>
          </wp:inline>
        </w:drawing>
      </w:r>
    </w:p>
    <w:p>
      <w:pPr>
        <w:spacing w:after="240"/>
        <w:jc w:val="center"/>
      </w:pPr>
      <w:r>
        <w:rPr>
          <w:b/>
          <w:bCs/>
        </w:rPr>
        <w:t xml:space="preserve">Figure 4.3: </w:t>
      </w:r>
      <w:r>
        <w:t xml:space="preserve">Data flow diagram, Level 1</w:t>
      </w:r>
    </w:p>
    <w:p>
      <w:pPr>
        <w:sectPr>
          <w:headerReference w:type="default" r:id="rId9"/>
          <w:footerReference w:type="default" r:id="rId10"/>
          <w:pgSz w:w="16838" w:h="11906" w:orient="landscape"/>
          <w:pgMar w:top="1440" w:right="1440" w:bottom="1440" w:left="2160" w:header="720" w:footer="720" w:gutter="0"/>
          <w:pgNumType/>
          <w:docGrid w:linePitch="360"/>
        </w:sectPr>
      </w:pPr>
    </w:p>
    <w:p>
      <w:pPr>
        <w:pStyle w:val="Heading2"/>
      </w:pPr>
      <w:r>
        <w:t xml:space="preserve">4.4  Use Case Design</w:t>
      </w:r>
    </w:p>
    <w:p>
      <w:pPr>
        <w:keepNext/>
        <w:spacing w:before="120" w:after="60" w:line="240"/>
        <w:jc w:val="center"/>
      </w:pPr>
      <w:r>
        <w:drawing>
          <wp:inline distT="0" distB="0" distL="0" distR="0">
            <wp:extent cx="5267325" cy="3476625"/>
            <wp:effectExtent t="0" r="0" b="0" l="0"/>
            <wp:docPr id="1" name="Figure 4.4" descr="Use case diagram"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3476625"/>
                    </a:xfrm>
                    <a:prstGeom prst="rect">
                      <a:avLst/>
                    </a:prstGeom>
                  </pic:spPr>
                </pic:pic>
              </a:graphicData>
            </a:graphic>
          </wp:inline>
        </w:drawing>
      </w:r>
    </w:p>
    <w:p>
      <w:pPr>
        <w:spacing w:after="240"/>
        <w:jc w:val="center"/>
      </w:pPr>
      <w:r>
        <w:rPr>
          <w:b/>
          <w:bCs/>
        </w:rPr>
        <w:t xml:space="preserve">Figure 4.4: </w:t>
      </w:r>
      <w:r>
        <w:t xml:space="preserve">Use case diagram</w:t>
      </w:r>
    </w:p>
    <w:p>
      <w:pPr>
        <w:keepNext/>
        <w:spacing w:before="200" w:after="100"/>
        <w:jc w:val="center"/>
      </w:pPr>
      <w:r>
        <w:rPr>
          <w:b/>
          <w:bCs/>
        </w:rPr>
        <w:t xml:space="preserve">Table 4.1: </w:t>
      </w:r>
      <w:r>
        <w:t xml:space="preserve">Use case description: Check food safety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45"/>
        <w:gridCol w:w="6461"/>
      </w:tblGrid>
      <w:tr>
        <w:trPr>
          <w:tblHeader/>
        </w:trPr>
        <w:tc>
          <w:tcPr>
            <w:tcW w:type="dxa" w:w="1845"/>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Field</w:t>
            </w:r>
          </w:p>
        </w:tc>
        <w:tc>
          <w:tcPr>
            <w:tcW w:type="dxa" w:w="646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Description</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Use case</w:t>
            </w:r>
          </w:p>
        </w:tc>
        <w:tc>
          <w:tcPr>
            <w:tcW w:type="dxa" w:w="64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UC4: Check food safety</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Actors</w:t>
            </w:r>
          </w:p>
        </w:tc>
        <w:tc>
          <w:tcPr>
            <w:tcW w:type="dxa" w:w="64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User (primary); Open Food Facts (secondary)</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Pre-conditions</w:t>
            </w:r>
          </w:p>
        </w:tc>
        <w:tc>
          <w:tcPr>
            <w:tcW w:type="dxa" w:w="64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Server running; models loaded; at least one photo selected</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Main flow</w:t>
            </w:r>
          </w:p>
        </w:tc>
        <w:tc>
          <w:tcPr>
            <w:tcW w:type="dxa" w:w="64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 User chooses a category.</w:t>
            </w:r>
          </w:p>
          <w:p>
            <w:pPr>
              <w:spacing w:line="250" w:after="0"/>
            </w:pPr>
            <w:r>
              <w:rPr>
                <w:b w:val="false"/>
                <w:bCs w:val="false"/>
                <w:sz w:val="21"/>
                <w:szCs w:val="21"/>
              </w:rPr>
              <w:t xml:space="preserve">2. User adds 1–3 photos and optional name, barcode or expiry date.</w:t>
            </w:r>
          </w:p>
          <w:p>
            <w:pPr>
              <w:spacing w:line="250" w:after="0"/>
            </w:pPr>
            <w:r>
              <w:rPr>
                <w:b w:val="false"/>
                <w:bCs w:val="false"/>
                <w:sz w:val="21"/>
                <w:szCs w:val="21"/>
              </w:rPr>
              <w:t xml:space="preserve">3. User presses Check this food.</w:t>
            </w:r>
          </w:p>
          <w:p>
            <w:pPr>
              <w:spacing w:line="250" w:after="0"/>
            </w:pPr>
            <w:r>
              <w:rPr>
                <w:b w:val="false"/>
                <w:bCs w:val="false"/>
                <w:sz w:val="21"/>
                <w:szCs w:val="21"/>
              </w:rPr>
              <w:t xml:space="preserve">4. System shows the scanning animation and runs the guardrails.</w:t>
            </w:r>
          </w:p>
          <w:p>
            <w:pPr>
              <w:spacing w:line="250" w:after="0"/>
            </w:pPr>
            <w:r>
              <w:rPr>
                <w:b w:val="false"/>
                <w:bCs w:val="false"/>
                <w:sz w:val="21"/>
                <w:szCs w:val="21"/>
              </w:rPr>
              <w:t xml:space="preserve">5. System runs the produce or label pipeline and the identity check.</w:t>
            </w:r>
          </w:p>
          <w:p>
            <w:pPr>
              <w:spacing w:line="250" w:after="0"/>
            </w:pPr>
            <w:r>
              <w:rPr>
                <w:b w:val="false"/>
                <w:bCs w:val="false"/>
                <w:sz w:val="21"/>
                <w:szCs w:val="21"/>
              </w:rPr>
              <w:t xml:space="preserve">6. System shows the verdict seal, reason, health score and food information.</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Alternative flows</w:t>
            </w:r>
          </w:p>
        </w:tc>
        <w:tc>
          <w:tcPr>
            <w:tcW w:type="dxa" w:w="64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4a. Not food → REJECTED with advice.</w:t>
            </w:r>
          </w:p>
          <w:p>
            <w:pPr>
              <w:spacing w:line="250" w:after="0"/>
            </w:pPr>
            <w:r>
              <w:rPr>
                <w:b w:val="false"/>
                <w:bCs w:val="false"/>
                <w:sz w:val="21"/>
                <w:szCs w:val="21"/>
              </w:rPr>
              <w:t xml:space="preserve">4b. Wrong category → MISMATCH with a one-click re-run.</w:t>
            </w:r>
          </w:p>
          <w:p>
            <w:pPr>
              <w:spacing w:line="250" w:after="0"/>
            </w:pPr>
            <w:r>
              <w:rPr>
                <w:b w:val="false"/>
                <w:bCs w:val="false"/>
                <w:sz w:val="21"/>
                <w:szCs w:val="21"/>
              </w:rPr>
              <w:t xml:space="preserve">5a. Unreadable label → REJECTED or CAUTION asking for a clearer photo.</w:t>
            </w:r>
          </w:p>
          <w:p>
            <w:pPr>
              <w:spacing w:line="250" w:after="0"/>
            </w:pPr>
            <w:r>
              <w:rPr>
                <w:b w:val="false"/>
                <w:bCs w:val="false"/>
                <w:sz w:val="21"/>
                <w:szCs w:val="21"/>
              </w:rPr>
              <w:t xml:space="preserve">5b. Different product → MISMATCH.</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Post-condition</w:t>
            </w:r>
          </w:p>
        </w:tc>
        <w:tc>
          <w:tcPr>
            <w:tcW w:type="dxa" w:w="64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A JSON report is displayed; no image is stored</w:t>
            </w:r>
          </w:p>
        </w:tc>
      </w:tr>
    </w:tbl>
    <w:p>
      <w:pPr>
        <w:spacing w:after="120"/>
      </w:pPr>
    </w:p>
    <w:p>
      <w:pPr>
        <w:pStyle w:val="Heading2"/>
      </w:pPr>
      <w:r>
        <w:t xml:space="preserve">4.5  Sequence Design</w:t>
      </w:r>
    </w:p>
    <w:p>
      <w:pPr>
        <w:spacing w:after="120"/>
        <w:jc w:val="both"/>
      </w:pPr>
      <w:r>
        <w:t xml:space="preserve">Figure 4.5 shows the interaction between components for one check. The alternative fragment shows the early exit when a guardrail fails.</w:t>
      </w:r>
    </w:p>
    <w:p>
      <w:pPr>
        <w:keepNext/>
        <w:spacing w:before="120" w:after="60" w:line="240"/>
        <w:jc w:val="center"/>
      </w:pPr>
      <w:r>
        <w:drawing>
          <wp:inline distT="0" distB="0" distL="0" distR="0">
            <wp:extent cx="5267325" cy="4686300"/>
            <wp:effectExtent t="0" r="0" b="0" l="0"/>
            <wp:docPr id="1" name="Figure 4.5" descr="Sequence diagram for a food check"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67325" cy="4686300"/>
                    </a:xfrm>
                    <a:prstGeom prst="rect">
                      <a:avLst/>
                    </a:prstGeom>
                  </pic:spPr>
                </pic:pic>
              </a:graphicData>
            </a:graphic>
          </wp:inline>
        </w:drawing>
      </w:r>
    </w:p>
    <w:p>
      <w:pPr>
        <w:spacing w:after="240"/>
        <w:jc w:val="center"/>
      </w:pPr>
      <w:r>
        <w:rPr>
          <w:b/>
          <w:bCs/>
        </w:rPr>
        <w:t xml:space="preserve">Figure 4.5: </w:t>
      </w:r>
      <w:r>
        <w:t xml:space="preserve">Sequence diagram for a food check</w:t>
      </w:r>
    </w:p>
    <w:p>
      <w:pPr>
        <w:pStyle w:val="Heading2"/>
      </w:pPr>
      <w:r>
        <w:t xml:space="preserve">4.6  Activity Design</w:t>
      </w:r>
    </w:p>
    <w:p>
      <w:pPr>
        <w:spacing w:after="120"/>
        <w:jc w:val="both"/>
      </w:pPr>
      <w:r>
        <w:t xml:space="preserve">Figures 4.6 and 4.7 show the decision logic: first the guardrail flow that every request follows, then the verdict logic applied once a photo has passed all checks.</w:t>
      </w:r>
    </w:p>
    <w:p>
      <w:pPr>
        <w:keepNext/>
        <w:spacing w:before="120" w:after="60" w:line="240"/>
        <w:jc w:val="center"/>
      </w:pPr>
      <w:r>
        <w:drawing>
          <wp:inline distT="0" distB="0" distL="0" distR="0">
            <wp:extent cx="4924425" cy="7991475"/>
            <wp:effectExtent t="0" r="0" b="0" l="0"/>
            <wp:docPr id="1" name="Figure 4.6" descr="Activity diagram: guardrails and pipeline selection"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24425" cy="7991475"/>
                    </a:xfrm>
                    <a:prstGeom prst="rect">
                      <a:avLst/>
                    </a:prstGeom>
                  </pic:spPr>
                </pic:pic>
              </a:graphicData>
            </a:graphic>
          </wp:inline>
        </w:drawing>
      </w:r>
    </w:p>
    <w:p>
      <w:pPr>
        <w:spacing w:after="240"/>
        <w:jc w:val="center"/>
      </w:pPr>
      <w:r>
        <w:rPr>
          <w:b/>
          <w:bCs/>
        </w:rPr>
        <w:t xml:space="preserve">Figure 4.6: </w:t>
      </w:r>
      <w:r>
        <w:t xml:space="preserve">Activity diagram: guardrails and pipeline selection</w:t>
      </w:r>
    </w:p>
    <w:p>
      <w:pPr>
        <w:keepNext/>
        <w:spacing w:before="120" w:after="60" w:line="240"/>
        <w:jc w:val="center"/>
      </w:pPr>
      <w:r>
        <w:drawing>
          <wp:inline distT="0" distB="0" distL="0" distR="0">
            <wp:extent cx="5267325" cy="5753100"/>
            <wp:effectExtent t="0" r="0" b="0" l="0"/>
            <wp:docPr id="1" name="Figure 4.7" descr="Activity diagram: verdict logic"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67325" cy="5753100"/>
                    </a:xfrm>
                    <a:prstGeom prst="rect">
                      <a:avLst/>
                    </a:prstGeom>
                  </pic:spPr>
                </pic:pic>
              </a:graphicData>
            </a:graphic>
          </wp:inline>
        </w:drawing>
      </w:r>
    </w:p>
    <w:p>
      <w:pPr>
        <w:spacing w:after="240"/>
        <w:jc w:val="center"/>
      </w:pPr>
      <w:r>
        <w:rPr>
          <w:b/>
          <w:bCs/>
        </w:rPr>
        <w:t xml:space="preserve">Figure 4.7: </w:t>
      </w:r>
      <w:r>
        <w:t xml:space="preserve">Activity diagram: verdict logic</w:t>
      </w:r>
    </w:p>
    <w:p>
      <w:pPr>
        <w:pStyle w:val="Heading2"/>
      </w:pPr>
      <w:r>
        <w:t xml:space="preserve">4.7  Module Design</w:t>
      </w:r>
    </w:p>
    <w:p>
      <w:pPr>
        <w:keepNext/>
        <w:spacing w:before="120" w:after="60" w:line="240"/>
        <w:jc w:val="center"/>
      </w:pPr>
      <w:r>
        <w:drawing>
          <wp:inline distT="0" distB="0" distL="0" distR="0">
            <wp:extent cx="5267325" cy="4238625"/>
            <wp:effectExtent t="0" r="0" b="0" l="0"/>
            <wp:docPr id="1" name="Figure 4.8" descr="Module diagram with main functions"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67325" cy="4238625"/>
                    </a:xfrm>
                    <a:prstGeom prst="rect">
                      <a:avLst/>
                    </a:prstGeom>
                  </pic:spPr>
                </pic:pic>
              </a:graphicData>
            </a:graphic>
          </wp:inline>
        </w:drawing>
      </w:r>
    </w:p>
    <w:p>
      <w:pPr>
        <w:spacing w:after="240"/>
        <w:jc w:val="center"/>
      </w:pPr>
      <w:r>
        <w:rPr>
          <w:b/>
          <w:bCs/>
        </w:rPr>
        <w:t xml:space="preserve">Figure 4.8: </w:t>
      </w:r>
      <w:r>
        <w:t xml:space="preserve">Module diagram with main functions</w:t>
      </w:r>
    </w:p>
    <w:p>
      <w:pPr>
        <w:keepNext/>
        <w:spacing w:before="200" w:after="100"/>
        <w:jc w:val="center"/>
      </w:pPr>
      <w:r>
        <w:rPr>
          <w:b/>
          <w:bCs/>
        </w:rPr>
        <w:t xml:space="preserve">Table 4.2: </w:t>
      </w:r>
      <w:r>
        <w:t xml:space="preserve">Module responsibilities and interfaces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2491"/>
        <w:gridCol w:w="4154"/>
      </w:tblGrid>
      <w:tr>
        <w:trPr>
          <w:tblHeader/>
        </w:trPr>
        <w:tc>
          <w:tcPr>
            <w:tcW w:type="dxa" w:w="166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Module</w:t>
            </w:r>
          </w:p>
        </w:tc>
        <w:tc>
          <w:tcPr>
            <w:tcW w:type="dxa" w:w="249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Input</w:t>
            </w:r>
          </w:p>
        </w:tc>
        <w:tc>
          <w:tcPr>
            <w:tcW w:type="dxa" w:w="4154"/>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Output</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guardrails</w:t>
            </w:r>
          </w:p>
        </w:tc>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PIL image</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food probability, group probabilities, best prompt, produce identity</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vision</w:t>
            </w:r>
          </w:p>
        </w:tc>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PIL image</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class probabilities, P(fresh), grade, Grad-CAM PNG, discolouration %</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ocr_engine</w:t>
            </w:r>
          </w:p>
        </w:tc>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PIL image</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pre-processed variants, text boxes, grouped lines, annotated image</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label_parser</w:t>
            </w:r>
          </w:p>
        </w:tc>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text lines, rules</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nutrients per 100 g / ml, layout, ingredients, warnings</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fssai_engine</w:t>
            </w:r>
          </w:p>
        </w:tc>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nutrients, category, thresholds</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checks, red hexagons, exempt flag; expiry status</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identity</w:t>
            </w:r>
          </w:p>
        </w:tc>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OCR text, nutrients, name, barcode</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VERIFIED / DIVERGENT / MISMATCH / UNVERIFIED with reasons</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review</w:t>
            </w:r>
          </w:p>
        </w:tc>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pipeline results</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score, rating, stars, breakdown, food information</w:t>
            </w:r>
          </w:p>
        </w:tc>
      </w:tr>
      <w:tr>
        <w:trPr>
          <w:cantSplit/>
        </w:trPr>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pipeline</w:t>
            </w:r>
          </w:p>
        </w:tc>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images, category, optional fields</w:t>
            </w:r>
          </w:p>
        </w:tc>
        <w:tc>
          <w:tcPr>
            <w:tcW w:type="dxa" w:w="41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complete report with one verdict</w:t>
            </w:r>
          </w:p>
        </w:tc>
      </w:tr>
    </w:tbl>
    <w:p>
      <w:pPr>
        <w:spacing w:after="120"/>
      </w:pPr>
    </w:p>
    <w:p>
      <w:pPr>
        <w:pStyle w:val="Heading2"/>
      </w:pPr>
      <w:r>
        <w:t xml:space="preserve">4.8  Data Design</w:t>
      </w:r>
    </w:p>
    <w:p>
      <w:pPr>
        <w:spacing w:after="120"/>
        <w:jc w:val="both"/>
      </w:pPr>
      <w:r>
        <w:t xml:space="preserve">The system needs no database: it keeps no user data, and its reference data is small and read-only. Configuration and knowledge are stored as JSON files, and model weights as PyTorch files. Table 4.3 lists the stores, and Table 4.4 the structure of the report returned for every request.</w:t>
      </w:r>
    </w:p>
    <w:p>
      <w:pPr>
        <w:keepNext/>
        <w:spacing w:before="200" w:after="100"/>
        <w:jc w:val="center"/>
      </w:pPr>
      <w:r>
        <w:rPr>
          <w:b/>
          <w:bCs/>
        </w:rPr>
        <w:t xml:space="preserve">Table 4.3: </w:t>
      </w:r>
      <w:r>
        <w:t xml:space="preserve">Data stores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20"/>
        <w:gridCol w:w="1510"/>
        <w:gridCol w:w="3776"/>
      </w:tblGrid>
      <w:tr>
        <w:trPr>
          <w:tblHeader/>
        </w:trPr>
        <w:tc>
          <w:tcPr>
            <w:tcW w:type="dxa" w:w="302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Store</w:t>
            </w:r>
          </w:p>
        </w:tc>
        <w:tc>
          <w:tcPr>
            <w:tcW w:type="dxa" w:w="1510"/>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Format</w:t>
            </w:r>
          </w:p>
        </w:tc>
        <w:tc>
          <w:tcPr>
            <w:tcW w:type="dxa" w:w="3776"/>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Contents</w:t>
            </w:r>
          </w:p>
        </w:tc>
      </w:tr>
      <w:tr>
        <w:trPr>
          <w:cantSplit/>
        </w:trPr>
        <w:tc>
          <w:tcPr>
            <w:tcW w:type="dxa" w:w="30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fssai</w:t>
            </w:r>
            <w:r>
              <w:rPr>
                <w:b w:val="false"/>
                <w:bCs w:val="false"/>
                <w:i/>
                <w:iCs/>
                <w:sz w:val="21"/>
                <w:szCs w:val="21"/>
              </w:rPr>
              <w:t xml:space="preserve">config/safety</w:t>
            </w:r>
            <w:r>
              <w:rPr>
                <w:b w:val="false"/>
                <w:bCs w:val="false"/>
                <w:sz w:val="21"/>
                <w:szCs w:val="21"/>
              </w:rPr>
              <w:t xml:space="preserve">thresholds.json</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JSON</w:t>
            </w:r>
          </w:p>
        </w:tc>
        <w:tc>
          <w:tcPr>
            <w:tcW w:type="dxa" w:w="37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Limits per category, nutrient rules, guardrail thresholds, exempt keywords</w:t>
            </w:r>
          </w:p>
        </w:tc>
      </w:tr>
      <w:tr>
        <w:trPr>
          <w:cantSplit/>
        </w:trPr>
        <w:tc>
          <w:tcPr>
            <w:tcW w:type="dxa" w:w="30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fssai</w:t>
            </w:r>
            <w:r>
              <w:rPr>
                <w:b w:val="false"/>
                <w:bCs w:val="false"/>
                <w:i/>
                <w:iCs/>
                <w:sz w:val="21"/>
                <w:szCs w:val="21"/>
              </w:rPr>
              <w:t xml:space="preserve">config/brand</w:t>
            </w:r>
            <w:r>
              <w:rPr>
                <w:b w:val="false"/>
                <w:bCs w:val="false"/>
                <w:sz w:val="21"/>
                <w:szCs w:val="21"/>
              </w:rPr>
              <w:t xml:space="preserve">registry.json</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JSON</w:t>
            </w:r>
          </w:p>
        </w:tc>
        <w:tc>
          <w:tcPr>
            <w:tcW w:type="dxa" w:w="37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Brand families: brand → parent company</w:t>
            </w:r>
          </w:p>
        </w:tc>
      </w:tr>
      <w:tr>
        <w:trPr>
          <w:cantSplit/>
        </w:trPr>
        <w:tc>
          <w:tcPr>
            <w:tcW w:type="dxa" w:w="30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foodguard/data/produce_info.json</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JSON</w:t>
            </w:r>
          </w:p>
        </w:tc>
        <w:tc>
          <w:tcPr>
            <w:tcW w:type="dxa" w:w="37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Nutrition, storage, shelf life and spoilage signs per produce type</w:t>
            </w:r>
          </w:p>
        </w:tc>
      </w:tr>
      <w:tr>
        <w:trPr>
          <w:cantSplit/>
        </w:trPr>
        <w:tc>
          <w:tcPr>
            <w:tcW w:type="dxa" w:w="30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models/spoilage_mobilenetv2.pt</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PyTorch</w:t>
            </w:r>
          </w:p>
        </w:tc>
        <w:tc>
          <w:tcPr>
            <w:tcW w:type="dxa" w:w="37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Fine-tuned weights (9 MB) and class_names.json</w:t>
            </w:r>
          </w:p>
        </w:tc>
      </w:tr>
      <w:tr>
        <w:trPr>
          <w:cantSplit/>
        </w:trPr>
        <w:tc>
          <w:tcPr>
            <w:tcW w:type="dxa" w:w="30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Hugging Face cache</w:t>
            </w:r>
          </w:p>
        </w:tc>
        <w:tc>
          <w:tcPr>
            <w:tcW w:type="dxa" w:w="15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safetensors / bin</w:t>
            </w:r>
          </w:p>
        </w:tc>
        <w:tc>
          <w:tcPr>
            <w:tcW w:type="dxa" w:w="37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CLIP ViT-B/32 weights (downloaded once)</w:t>
            </w:r>
          </w:p>
        </w:tc>
      </w:tr>
    </w:tbl>
    <w:p>
      <w:pPr>
        <w:spacing w:after="120"/>
      </w:pPr>
    </w:p>
    <w:p>
      <w:pPr>
        <w:keepNext/>
        <w:spacing w:before="200" w:after="100"/>
        <w:jc w:val="center"/>
      </w:pPr>
      <w:r>
        <w:rPr>
          <w:b/>
          <w:bCs/>
        </w:rPr>
        <w:t xml:space="preserve">Table 4.4: </w:t>
      </w:r>
      <w:r>
        <w:t xml:space="preserve">Structure of the analysis report (JSON)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45"/>
        <w:gridCol w:w="922"/>
        <w:gridCol w:w="5539"/>
      </w:tblGrid>
      <w:tr>
        <w:trPr>
          <w:tblHeader/>
        </w:trPr>
        <w:tc>
          <w:tcPr>
            <w:tcW w:type="dxa" w:w="1845"/>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Field</w:t>
            </w:r>
          </w:p>
        </w:tc>
        <w:tc>
          <w:tcPr>
            <w:tcW w:type="dxa" w:w="922"/>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Type</w:t>
            </w:r>
          </w:p>
        </w:tc>
        <w:tc>
          <w:tcPr>
            <w:tcW w:type="dxa" w:w="5539"/>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Description</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verdict</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object</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status (SAFE, CAUTION, UNSAFE, REJECTED, MISMATCH), headline, reason, details</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stages</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array</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name, status (PASS, FAIL, WARN, SKIP) and detail of each check</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warnings</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array</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Non-blocking notes, for example an exempt suggestion</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hexagons</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array</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Exceeded nutrients: label, value, limit</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produce</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object</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Produce type, class probabilities, P(fresh), grade, discolouration</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packaged</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object</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Nutrients, compliance checks, expiry, basis, ingredients, OCR text</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identity</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object</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Identity status, checks, reference record, barcode</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review</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object</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score, rating, stars, breakdown, info (facts, storage, daily share)</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evidence</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array</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Grad-CAM or OCR overlay images (base64 PNG)</w:t>
            </w:r>
          </w:p>
        </w:tc>
      </w:tr>
      <w:tr>
        <w:trPr>
          <w:cantSplit/>
        </w:trPr>
        <w:tc>
          <w:tcPr>
            <w:tcW w:type="dxa" w:w="1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suggested_category</w:t>
            </w:r>
          </w:p>
        </w:tc>
        <w:tc>
          <w:tcPr>
            <w:tcW w:type="dxa" w:w="9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string</w:t>
            </w:r>
          </w:p>
        </w:tc>
        <w:tc>
          <w:tcPr>
            <w:tcW w:type="dxa" w:w="55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Category to re-run with, if a mismatch was detected</w:t>
            </w:r>
          </w:p>
        </w:tc>
      </w:tr>
    </w:tbl>
    <w:p>
      <w:pPr>
        <w:spacing w:after="120"/>
      </w:pPr>
    </w:p>
    <w:p>
      <w:pPr>
        <w:pStyle w:val="Heading2"/>
      </w:pPr>
      <w:r>
        <w:t xml:space="preserve">4.9  Interface Design</w:t>
      </w:r>
    </w:p>
    <w:p>
      <w:pPr>
        <w:pStyle w:val="Heading3"/>
      </w:pPr>
      <w:r>
        <w:t xml:space="preserve">4.9.1  Application programming interface</w:t>
      </w:r>
    </w:p>
    <w:p>
      <w:pPr>
        <w:keepNext/>
        <w:spacing w:before="200" w:after="100"/>
        <w:jc w:val="center"/>
      </w:pPr>
      <w:r>
        <w:rPr>
          <w:b/>
          <w:bCs/>
        </w:rPr>
        <w:t xml:space="preserve">Table 4.5: </w:t>
      </w:r>
      <w:r>
        <w:t xml:space="preserve">REST API</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16"/>
        <w:gridCol w:w="3194"/>
        <w:gridCol w:w="3196"/>
      </w:tblGrid>
      <w:tr>
        <w:trPr>
          <w:tblHeader/>
        </w:trPr>
        <w:tc>
          <w:tcPr>
            <w:tcW w:type="dxa" w:w="1916"/>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Method and path</w:t>
            </w:r>
          </w:p>
        </w:tc>
        <w:tc>
          <w:tcPr>
            <w:tcW w:type="dxa" w:w="3194"/>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Request</w:t>
            </w:r>
          </w:p>
        </w:tc>
        <w:tc>
          <w:tcPr>
            <w:tcW w:type="dxa" w:w="3196"/>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Response</w:t>
            </w:r>
          </w:p>
        </w:tc>
      </w:tr>
      <w:tr>
        <w:trPr>
          <w:cantSplit/>
        </w:trPr>
        <w:tc>
          <w:tcPr>
            <w:tcW w:type="dxa" w:w="1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GET /</w:t>
            </w:r>
          </w:p>
        </w:tc>
        <w:tc>
          <w:tcPr>
            <w:tcW w:type="dxa" w:w="31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c>
          <w:tcPr>
            <w:tcW w:type="dxa" w:w="3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Web interface (HTML)</w:t>
            </w:r>
          </w:p>
        </w:tc>
      </w:tr>
      <w:tr>
        <w:trPr>
          <w:cantSplit/>
        </w:trPr>
        <w:tc>
          <w:tcPr>
            <w:tcW w:type="dxa" w:w="1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POST /api/analyze</w:t>
            </w:r>
          </w:p>
        </w:tc>
        <w:tc>
          <w:tcPr>
            <w:tcW w:type="dxa" w:w="31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multipart: images (1–3), category, product</w:t>
            </w:r>
            <w:r>
              <w:rPr>
                <w:b w:val="false"/>
                <w:bCs w:val="false"/>
                <w:i/>
                <w:iCs/>
                <w:sz w:val="21"/>
                <w:szCs w:val="21"/>
              </w:rPr>
              <w:t xml:space="preserve">name?, barcode?, expiry</w:t>
            </w:r>
            <w:r>
              <w:rPr>
                <w:b w:val="false"/>
                <w:bCs w:val="false"/>
                <w:sz w:val="21"/>
                <w:szCs w:val="21"/>
              </w:rPr>
              <w:t xml:space="preserve">date? (YYYY-MM-DD)</w:t>
            </w:r>
          </w:p>
        </w:tc>
        <w:tc>
          <w:tcPr>
            <w:tcW w:type="dxa" w:w="3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200 report JSON; 400 with an error message for invalid input; 413 if larger than 30 MB</w:t>
            </w:r>
          </w:p>
        </w:tc>
      </w:tr>
      <w:tr>
        <w:trPr>
          <w:cantSplit/>
        </w:trPr>
        <w:tc>
          <w:tcPr>
            <w:tcW w:type="dxa" w:w="1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GET /api/health</w:t>
            </w:r>
          </w:p>
        </w:tc>
        <w:tc>
          <w:tcPr>
            <w:tcW w:type="dxa" w:w="31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t>
            </w:r>
          </w:p>
        </w:tc>
        <w:tc>
          <w:tcPr>
            <w:tcW w:type="dxa" w:w="3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device (cuda / cpu), whether the spoilage model is trained, loaded models</w:t>
            </w:r>
          </w:p>
        </w:tc>
      </w:tr>
    </w:tbl>
    <w:p>
      <w:pPr>
        <w:spacing w:after="120"/>
      </w:pPr>
    </w:p>
    <w:p>
      <w:pPr>
        <w:pStyle w:val="Heading3"/>
      </w:pPr>
      <w:r>
        <w:t xml:space="preserve">4.9.2  User interface</w:t>
      </w:r>
    </w:p>
    <w:p>
      <w:pPr>
        <w:spacing w:after="120"/>
        <w:jc w:val="both"/>
      </w:pPr>
      <w:r>
        <w:t xml:space="preserve">The interface is designed to feel calm and human. The light theme uses white, off-white and leaf green; the dark theme uses deep forest tones; the choice is remembered in the browser. Headings use a serif typeface and body text a humanist sans-serif. The verdict is shown as an inspection stamp holding the health score, coloured by the verdict. While a check runs, a scanning beam sweeps over the user's own photo and the steps tick off. The layout is two columns on desktop and one column on phones, with visible keyboard focus and reduced-motion support.</w:t>
      </w:r>
    </w:p>
    <w:p>
      <w:pPr>
        <w:keepNext/>
        <w:spacing w:before="120" w:after="60" w:line="240"/>
        <w:jc w:val="center"/>
      </w:pPr>
      <w:r>
        <w:drawing>
          <wp:inline distT="0" distB="0" distL="0" distR="0">
            <wp:extent cx="5267325" cy="4143375"/>
            <wp:effectExtent t="0" r="0" b="0" l="0"/>
            <wp:docPr id="1" name="Figure 4.9" descr="Home screen (light theme)"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67325" cy="4143375"/>
                    </a:xfrm>
                    <a:prstGeom prst="rect">
                      <a:avLst/>
                    </a:prstGeom>
                  </pic:spPr>
                </pic:pic>
              </a:graphicData>
            </a:graphic>
          </wp:inline>
        </w:drawing>
      </w:r>
    </w:p>
    <w:p>
      <w:pPr>
        <w:spacing w:after="240"/>
        <w:jc w:val="center"/>
      </w:pPr>
      <w:r>
        <w:rPr>
          <w:b/>
          <w:bCs/>
        </w:rPr>
        <w:t xml:space="preserve">Figure 4.9: </w:t>
      </w:r>
      <w:r>
        <w:t xml:space="preserve">Home screen (light theme)</w:t>
      </w:r>
    </w:p>
    <w:p>
      <w:pPr>
        <w:keepNext/>
        <w:spacing w:before="120" w:after="60" w:line="240"/>
        <w:jc w:val="center"/>
      </w:pPr>
      <w:r>
        <w:drawing>
          <wp:inline distT="0" distB="0" distL="0" distR="0">
            <wp:extent cx="3810000" cy="2552700"/>
            <wp:effectExtent t="0" r="0" b="0" l="0"/>
            <wp:docPr id="1" name="Figure 4.10" descr="Processing screen with scanning animation"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552700"/>
                    </a:xfrm>
                    <a:prstGeom prst="rect">
                      <a:avLst/>
                    </a:prstGeom>
                  </pic:spPr>
                </pic:pic>
              </a:graphicData>
            </a:graphic>
          </wp:inline>
        </w:drawing>
      </w:r>
    </w:p>
    <w:p>
      <w:pPr>
        <w:spacing w:after="240"/>
        <w:jc w:val="center"/>
      </w:pPr>
      <w:r>
        <w:rPr>
          <w:b/>
          <w:bCs/>
        </w:rPr>
        <w:t xml:space="preserve">Figure 4.10: </w:t>
      </w:r>
      <w:r>
        <w:t xml:space="preserve">Processing screen with scanning animation</w:t>
      </w:r>
    </w:p>
    <w:p>
      <w:pPr>
        <w:keepNext/>
        <w:spacing w:before="120" w:after="60" w:line="240"/>
        <w:jc w:val="center"/>
      </w:pPr>
      <w:r>
        <w:drawing>
          <wp:inline distT="0" distB="0" distL="0" distR="0">
            <wp:extent cx="3619500" cy="7315200"/>
            <wp:effectExtent t="0" r="0" b="0" l="0"/>
            <wp:docPr id="1" name="Figure 4.11" descr="Result screen for raw produce"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7315200"/>
                    </a:xfrm>
                    <a:prstGeom prst="rect">
                      <a:avLst/>
                    </a:prstGeom>
                  </pic:spPr>
                </pic:pic>
              </a:graphicData>
            </a:graphic>
          </wp:inline>
        </w:drawing>
      </w:r>
    </w:p>
    <w:p>
      <w:pPr>
        <w:spacing w:after="240"/>
        <w:jc w:val="center"/>
      </w:pPr>
      <w:r>
        <w:rPr>
          <w:b/>
          <w:bCs/>
        </w:rPr>
        <w:t xml:space="preserve">Figure 4.11: </w:t>
      </w:r>
      <w:r>
        <w:t xml:space="preserve">Result screen for raw produce</w:t>
      </w:r>
    </w:p>
    <w:p>
      <w:pPr>
        <w:pStyle w:val="Heading2"/>
      </w:pPr>
      <w:r>
        <w:t xml:space="preserve">4.10  Deployment Design</w:t>
      </w:r>
    </w:p>
    <w:p>
      <w:pPr>
        <w:spacing w:after="120"/>
        <w:jc w:val="both"/>
      </w:pPr>
      <w:r>
        <w:t xml:space="preserve">FoodGuard AI runs on a single computer that acts as the server; any browser on the same machine or network is the client. A GPU is optional. The only external dependencies at run time are Open Food Facts look-ups; the CLIP weights are downloaded once and cached.</w:t>
      </w:r>
    </w:p>
    <w:p>
      <w:pPr>
        <w:keepNext/>
        <w:spacing w:before="120" w:after="60" w:line="240"/>
        <w:jc w:val="center"/>
      </w:pPr>
      <w:r>
        <w:drawing>
          <wp:inline distT="0" distB="0" distL="0" distR="0">
            <wp:extent cx="5267325" cy="2514600"/>
            <wp:effectExtent t="0" r="0" b="0" l="0"/>
            <wp:docPr id="1" name="Figure 4.12" descr="Deployment diagram"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67325" cy="2514600"/>
                    </a:xfrm>
                    <a:prstGeom prst="rect">
                      <a:avLst/>
                    </a:prstGeom>
                  </pic:spPr>
                </pic:pic>
              </a:graphicData>
            </a:graphic>
          </wp:inline>
        </w:drawing>
      </w:r>
    </w:p>
    <w:p>
      <w:pPr>
        <w:spacing w:after="240"/>
        <w:jc w:val="center"/>
      </w:pPr>
      <w:r>
        <w:rPr>
          <w:b/>
          <w:bCs/>
        </w:rPr>
        <w:t xml:space="preserve">Figure 4.12: </w:t>
      </w:r>
      <w:r>
        <w:t xml:space="preserve">Deployment diagram</w:t>
      </w:r>
    </w:p>
    <w:p>
      <w:pPr>
        <w:pStyle w:val="Heading2"/>
      </w:pPr>
      <w:r>
        <w:t xml:space="preserve">4.11  Error Handling and Security Design</w:t>
      </w:r>
    </w:p>
    <w:p>
      <w:pPr>
        <w:keepNext/>
        <w:spacing w:before="200" w:after="100"/>
        <w:jc w:val="center"/>
      </w:pPr>
      <w:r>
        <w:rPr>
          <w:b/>
          <w:bCs/>
        </w:rPr>
        <w:t xml:space="preserve">Table 4.6: </w:t>
      </w:r>
      <w:r>
        <w:t xml:space="preserve">Input validation and safeguards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rPr>
          <w:tblHeader/>
        </w:trPr>
        <w:tc>
          <w:tcPr>
            <w:tcW w:type="dxa" w:w="249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Concern</w:t>
            </w:r>
          </w:p>
        </w:tc>
        <w:tc>
          <w:tcPr>
            <w:tcW w:type="dxa" w:w="5815"/>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Design decision</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Invalid files</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Only jpg, jpeg, png, webp and bmp accepted; unreadable images rejected with HTTP 400</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Oversized uploads</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30 MB request limit (HTTP 413); at most 3 images per request</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Invalid fields</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Unknown category or malformed expiry date rejected with a clear message</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Unsuitable photos</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Guardrails return REJECTED or MISMATCH instead of a guess</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Concurrency</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Model loading is thread-safe; a lock serialises GPU inference</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Privacy</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Images are processed in memory and never written to disk</w:t>
            </w:r>
          </w:p>
        </w:tc>
      </w:tr>
      <w:tr>
        <w:trPr>
          <w:cantSplit/>
        </w:trPr>
        <w:tc>
          <w:tcPr>
            <w:tcW w:type="dxa" w:w="24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External failures</w:t>
            </w:r>
          </w:p>
        </w:tc>
        <w:tc>
          <w:tcPr>
            <w:tcW w:type="dxa" w:w="58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Open Food Facts errors or time-outs lead to UNVERIFIED identity, not to a failure</w:t>
            </w:r>
          </w:p>
        </w:tc>
      </w:tr>
    </w:tbl>
    <w:p>
      <w:pPr>
        <w:spacing w:after="120"/>
      </w:pPr>
    </w:p>
    <w:p>
      <w:pPr>
        <w:pStyle w:val="Heading1"/>
        <w:pageBreakBefore/>
        <w:spacing w:after="360"/>
        <w:jc w:val="center"/>
      </w:pPr>
      <w:r>
        <w:t xml:space="preserve">CHAPTER 5</w:t>
      </w:r>
      <w:r>
        <w:br/>
        <w:t xml:space="preserve">SUMMARY AND WORK STATUS</w:t>
      </w:r>
    </w:p>
    <w:p>
      <w:pPr>
        <w:pStyle w:val="Heading2"/>
      </w:pPr>
      <w:r>
        <w:t xml:space="preserve">5.1  Summary</w:t>
      </w:r>
    </w:p>
    <w:p>
      <w:pPr>
        <w:spacing w:after="120"/>
        <w:jc w:val="both"/>
      </w:pPr>
      <w:r>
        <w:t xml:space="preserve">The literature survey established MobileNetV2 fine-tuning, CRAFT + CRNN OCR, CLIP zero-shot classification and Grad-CAM as suitable building blocks, and identified six gaps that no existing tool addresses together. The methodology turns these into a guarded dual pipeline with leakage-free data preparation, calibrated thresholds and a configurable FSSAI rule engine. The design presents the system through architecture, data flow, use case, sequence, activity, module, data, interface and deployment views.</w:t>
      </w:r>
    </w:p>
    <w:p>
      <w:pPr>
        <w:pStyle w:val="Heading2"/>
      </w:pPr>
      <w:r>
        <w:t xml:space="preserve">5.2  Work Status</w:t>
      </w:r>
    </w:p>
    <w:p>
      <w:pPr>
        <w:keepNext/>
        <w:spacing w:before="200" w:after="100"/>
        <w:jc w:val="center"/>
      </w:pPr>
      <w:r>
        <w:rPr>
          <w:b/>
          <w:bCs/>
        </w:rPr>
        <w:t xml:space="preserve">Table 5.1: </w:t>
      </w:r>
      <w:r>
        <w:t xml:space="preserve">Status of project components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1661"/>
        <w:gridCol w:w="3323"/>
      </w:tblGrid>
      <w:tr>
        <w:trPr>
          <w:tblHeader/>
        </w:trPr>
        <w:tc>
          <w:tcPr>
            <w:tcW w:type="dxa" w:w="3322"/>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Component</w:t>
            </w:r>
          </w:p>
        </w:tc>
        <w:tc>
          <w:tcPr>
            <w:tcW w:type="dxa" w:w="1661"/>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Status</w:t>
            </w:r>
          </w:p>
        </w:tc>
        <w:tc>
          <w:tcPr>
            <w:tcW w:type="dxa" w:w="3323"/>
            <w:tcBorders>
              <w:top w:val="single" w:color="808080" w:sz="4"/>
              <w:left w:val="single" w:color="808080" w:sz="4"/>
              <w:bottom w:val="single" w:color="808080" w:sz="4"/>
              <w:right w:val="single" w:color="808080" w:sz="4"/>
            </w:tcBorders>
            <w:shd w:fill="DCEFE1" w:color="auto" w:val="clear"/>
            <w:tcMar>
              <w:top w:type="dxa" w:w="50"/>
              <w:left w:type="dxa" w:w="90"/>
              <w:bottom w:type="dxa" w:w="50"/>
              <w:right w:type="dxa" w:w="90"/>
            </w:tcMar>
            <w:vAlign w:val="center"/>
          </w:tcPr>
          <w:p>
            <w:pPr>
              <w:spacing w:line="250" w:after="0"/>
            </w:pPr>
            <w:r>
              <w:rPr>
                <w:b/>
                <w:bCs/>
                <w:sz w:val="21"/>
                <w:szCs w:val="21"/>
              </w:rPr>
              <w:t xml:space="preserve">Evidence</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Dataset preparation (leakage-free split)</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Completed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split_report.json</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Spoilage model (MobileNetV2)</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Completed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97.2 % test accuracy, 0 stale → SAFE</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Guardrails (CLIP, category, identity)</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Completed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0.4 % false rejection; 23 / 24 non-food caught at Stage 1</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OCR and FSSAI rule engine</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Completed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100 % on synthetic bench; 76 % of values on real labels</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Review module and optional expiry</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Completed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Unit tests</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Web application (light / dark themes)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Completed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Running application</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Testing</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Completed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49 unit tests passing; end-to-end scenarios</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Real-world test bench (own photos)</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Planned</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30–50 label photos and 50–100 produce photos</w:t>
            </w:r>
          </w:p>
        </w:tc>
      </w:tr>
      <w:tr>
        <w:trPr>
          <w:cantSplit/>
        </w:trPr>
        <w:tc>
          <w:tcPr>
            <w:tcW w:type="dxa" w:w="33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Verification of FSSAI limits against notification</w:t>
            </w:r>
          </w:p>
        </w:tc>
        <w:tc>
          <w:tcPr>
            <w:tcW w:type="dxa" w:w="16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Pending</w:t>
            </w:r>
          </w:p>
        </w:tc>
        <w:tc>
          <w:tcPr>
            <w:tcW w:type="dxa" w:w="33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line="250" w:after="0"/>
            </w:pPr>
            <w:r>
              <w:rPr>
                <w:b w:val="false"/>
                <w:bCs w:val="false"/>
                <w:sz w:val="21"/>
                <w:szCs w:val="21"/>
              </w:rPr>
              <w:t xml:space="preserve">Cite exact clause</w:t>
            </w:r>
          </w:p>
        </w:tc>
      </w:tr>
    </w:tbl>
    <w:p>
      <w:pPr>
        <w:spacing w:after="120"/>
      </w:pPr>
    </w:p>
    <w:p>
      <w:pPr>
        <w:pStyle w:val="Heading1"/>
        <w:pageBreakBefore/>
        <w:spacing w:after="360"/>
        <w:jc w:val="center"/>
      </w:pPr>
      <w:r>
        <w:t xml:space="preserve">REFERENCES</w:t>
      </w:r>
    </w:p>
    <w:p>
      <w:pPr>
        <w:tabs>
          <w:tab w:val="left" w:pos="567"/>
        </w:tabs>
        <w:spacing w:after="100" w:line="300"/>
        <w:ind w:left="567" w:hanging="567"/>
        <w:jc w:val="both"/>
      </w:pPr>
      <w:r>
        <w:rPr>
          <w:sz w:val="22"/>
          <w:szCs w:val="22"/>
        </w:rPr>
        <w:t xml:space="preserve">[1]	A. Krizhevsky, I. Sutskever and G. E. Hinton, "ImageNet Classification with Deep Convolutional Neural Networks," in Advances in Neural Information Processing Systems (NeurIPS), 2012.</w:t>
      </w:r>
    </w:p>
    <w:p>
      <w:pPr>
        <w:tabs>
          <w:tab w:val="left" w:pos="567"/>
        </w:tabs>
        <w:spacing w:after="100" w:line="300"/>
        <w:ind w:left="567" w:hanging="567"/>
        <w:jc w:val="both"/>
      </w:pPr>
      <w:r>
        <w:rPr>
          <w:sz w:val="22"/>
          <w:szCs w:val="22"/>
        </w:rPr>
        <w:t xml:space="preserve">[2]	J. Deng, W. Dong, R. Socher, L.-J. Li, K. Li and L. Fei-Fei, "ImageNet: A Large-Scale Hierarchical Image Database," in Proc. IEEE CVPR, 2009.</w:t>
      </w:r>
    </w:p>
    <w:p>
      <w:pPr>
        <w:tabs>
          <w:tab w:val="left" w:pos="567"/>
        </w:tabs>
        <w:spacing w:after="100" w:line="300"/>
        <w:ind w:left="567" w:hanging="567"/>
        <w:jc w:val="both"/>
      </w:pPr>
      <w:r>
        <w:rPr>
          <w:sz w:val="22"/>
          <w:szCs w:val="22"/>
        </w:rPr>
        <w:t xml:space="preserve">[3]	K. Simonyan and A. Zisserman, "Very Deep Convolutional Networks for Large-Scale Image Recognition," in Proc. ICLR, 2015.</w:t>
      </w:r>
    </w:p>
    <w:p>
      <w:pPr>
        <w:tabs>
          <w:tab w:val="left" w:pos="567"/>
        </w:tabs>
        <w:spacing w:after="100" w:line="300"/>
        <w:ind w:left="567" w:hanging="567"/>
        <w:jc w:val="both"/>
      </w:pPr>
      <w:r>
        <w:rPr>
          <w:sz w:val="22"/>
          <w:szCs w:val="22"/>
        </w:rPr>
        <w:t xml:space="preserve">[4]	K. He, X. Zhang, S. Ren and J. Sun, "Deep Residual Learning for Image Recognition," in Proc. IEEE CVPR, 2016, pp. 770–778.</w:t>
      </w:r>
    </w:p>
    <w:p>
      <w:pPr>
        <w:tabs>
          <w:tab w:val="left" w:pos="567"/>
        </w:tabs>
        <w:spacing w:after="100" w:line="300"/>
        <w:ind w:left="567" w:hanging="567"/>
        <w:jc w:val="both"/>
      </w:pPr>
      <w:r>
        <w:rPr>
          <w:sz w:val="22"/>
          <w:szCs w:val="22"/>
        </w:rPr>
        <w:t xml:space="preserve">[5]	A. G. Howard et al., "MobileNets: Efficient Convolutional Neural Networks for Mobile Vision Applications," arXiv:1704.04861, 2017.</w:t>
      </w:r>
    </w:p>
    <w:p>
      <w:pPr>
        <w:tabs>
          <w:tab w:val="left" w:pos="567"/>
        </w:tabs>
        <w:spacing w:after="100" w:line="300"/>
        <w:ind w:left="567" w:hanging="567"/>
        <w:jc w:val="both"/>
      </w:pPr>
      <w:r>
        <w:rPr>
          <w:sz w:val="22"/>
          <w:szCs w:val="22"/>
        </w:rPr>
        <w:t xml:space="preserve">[6]	M. Sandler, A. Howard, M. Zhu, A. Zhmoginov and L.-C. Chen, "MobileNetV2: Inverted Residuals and Linear Bottlenecks," in Proc. IEEE/CVF CVPR, 2018, pp. 4510–4520.</w:t>
      </w:r>
    </w:p>
    <w:p>
      <w:pPr>
        <w:tabs>
          <w:tab w:val="left" w:pos="567"/>
        </w:tabs>
        <w:spacing w:after="100" w:line="300"/>
        <w:ind w:left="567" w:hanging="567"/>
        <w:jc w:val="both"/>
      </w:pPr>
      <w:r>
        <w:rPr>
          <w:sz w:val="22"/>
          <w:szCs w:val="22"/>
        </w:rPr>
        <w:t xml:space="preserve">[7]	M. Tan and Q. V. Le, "EfficientNet: Rethinking Model Scaling for Convolutional Neural Networks," in Proc. ICML, 2019.</w:t>
      </w:r>
    </w:p>
    <w:p>
      <w:pPr>
        <w:tabs>
          <w:tab w:val="left" w:pos="567"/>
        </w:tabs>
        <w:spacing w:after="100" w:line="300"/>
        <w:ind w:left="567" w:hanging="567"/>
        <w:jc w:val="both"/>
      </w:pPr>
      <w:r>
        <w:rPr>
          <w:sz w:val="22"/>
          <w:szCs w:val="22"/>
        </w:rPr>
        <w:t xml:space="preserve">[8]	A. Dosovitskiy et al., "An Image is Worth 16x16 Words: Transformers for Image Recognition at Scale," in Proc. ICLR, 2021.</w:t>
      </w:r>
    </w:p>
    <w:p>
      <w:pPr>
        <w:tabs>
          <w:tab w:val="left" w:pos="567"/>
        </w:tabs>
        <w:spacing w:after="100" w:line="300"/>
        <w:ind w:left="567" w:hanging="567"/>
        <w:jc w:val="both"/>
      </w:pPr>
      <w:r>
        <w:rPr>
          <w:sz w:val="22"/>
          <w:szCs w:val="22"/>
        </w:rPr>
        <w:t xml:space="preserve">[9]	J. Yosinski, J. Clune, Y. Bengio and H. Lipson, "How Transferable Are Features in Deep Neural Networks?" in Advances in Neural Information Processing Systems (NeurIPS), 2014.</w:t>
      </w:r>
    </w:p>
    <w:p>
      <w:pPr>
        <w:tabs>
          <w:tab w:val="left" w:pos="567"/>
        </w:tabs>
        <w:spacing w:after="100" w:line="300"/>
        <w:ind w:left="567" w:hanging="567"/>
        <w:jc w:val="both"/>
      </w:pPr>
      <w:r>
        <w:rPr>
          <w:sz w:val="22"/>
          <w:szCs w:val="22"/>
        </w:rPr>
        <w:t xml:space="preserve">[10]	C. Shorten and T. M. Khoshgoftaar, "A Survey on Image Data Augmentation for Deep Learning," Journal of Big Data, vol. 6, art. 60, 2019.</w:t>
      </w:r>
    </w:p>
    <w:p>
      <w:pPr>
        <w:tabs>
          <w:tab w:val="left" w:pos="567"/>
        </w:tabs>
        <w:spacing w:after="100" w:line="300"/>
        <w:ind w:left="567" w:hanging="567"/>
        <w:jc w:val="both"/>
      </w:pPr>
      <w:r>
        <w:rPr>
          <w:sz w:val="22"/>
          <w:szCs w:val="22"/>
        </w:rPr>
        <w:t xml:space="preserve">[11]	A. Kamilaris and F. X. Prenafeta-Boldú, "Deep Learning in Agriculture: A Survey," Computers and Electronics in Agriculture, vol. 147, pp. 70–90, 2018.</w:t>
      </w:r>
    </w:p>
    <w:p>
      <w:pPr>
        <w:tabs>
          <w:tab w:val="left" w:pos="567"/>
        </w:tabs>
        <w:spacing w:after="100" w:line="300"/>
        <w:ind w:left="567" w:hanging="567"/>
        <w:jc w:val="both"/>
      </w:pPr>
      <w:r>
        <w:rPr>
          <w:sz w:val="22"/>
          <w:szCs w:val="22"/>
        </w:rPr>
        <w:t xml:space="preserve">[12]	A. Bhargava and A. Bansal, "Fruits and Vegetables Quality Evaluation Using Computer Vision: A Review," Journal of King Saud University – Computer and Information Sciences, vol. 33, no. 3, pp. 243–257, 2021.</w:t>
      </w:r>
    </w:p>
    <w:p>
      <w:pPr>
        <w:tabs>
          <w:tab w:val="left" w:pos="567"/>
        </w:tabs>
        <w:spacing w:after="100" w:line="300"/>
        <w:ind w:left="567" w:hanging="567"/>
        <w:jc w:val="both"/>
      </w:pPr>
      <w:r>
        <w:rPr>
          <w:sz w:val="22"/>
          <w:szCs w:val="22"/>
        </w:rPr>
        <w:t xml:space="preserve">[13]	H. Mureșan and M. Oltean, "Fruit Recognition from Images Using Deep Learning," Acta Universitatis Sapientiae, Informatica, vol. 10, no. 1, pp. 26–42, 2018.</w:t>
      </w:r>
    </w:p>
    <w:p>
      <w:pPr>
        <w:tabs>
          <w:tab w:val="left" w:pos="567"/>
        </w:tabs>
        <w:spacing w:after="100" w:line="300"/>
        <w:ind w:left="567" w:hanging="567"/>
        <w:jc w:val="both"/>
      </w:pPr>
      <w:r>
        <w:rPr>
          <w:sz w:val="22"/>
          <w:szCs w:val="22"/>
        </w:rPr>
        <w:t xml:space="preserve">[14]	M. S. Hossain, M. Al-Hammadi and G. Muhammad, "Automatic Fruit Classification Using Deep Learning for Industrial Applications," IEEE Transactions on Industrial Informatics, vol. 15, no. 2, pp. 1027–1034, 2019.</w:t>
      </w:r>
    </w:p>
    <w:p>
      <w:pPr>
        <w:tabs>
          <w:tab w:val="left" w:pos="567"/>
        </w:tabs>
        <w:spacing w:after="100" w:line="300"/>
        <w:ind w:left="567" w:hanging="567"/>
        <w:jc w:val="both"/>
      </w:pPr>
      <w:r>
        <w:rPr>
          <w:sz w:val="22"/>
          <w:szCs w:val="22"/>
        </w:rPr>
        <w:t xml:space="preserve">[15]	R. Potdar, "Fresh and Stale Images of Fruits and Vegetables," Kaggle dataset. [Online]. Available: https://www.kaggle.com/datasets/raghavrpotdar/fresh-and-stale-images-of-fruits-and-vegetables</w:t>
      </w:r>
    </w:p>
    <w:p>
      <w:pPr>
        <w:tabs>
          <w:tab w:val="left" w:pos="567"/>
        </w:tabs>
        <w:spacing w:after="100" w:line="300"/>
        <w:ind w:left="567" w:hanging="567"/>
        <w:jc w:val="both"/>
      </w:pPr>
      <w:r>
        <w:rPr>
          <w:sz w:val="22"/>
          <w:szCs w:val="22"/>
        </w:rPr>
        <w:t xml:space="preserve">[16]	S. Kaufman, S. Rosset, C. Perlich and O. Stitelman, "Leakage in Data Mining: Formulation, Detection, and Avoidance," ACM Transactions on Knowledge Discovery from Data, vol. 6, no. 4, 2012.</w:t>
      </w:r>
    </w:p>
    <w:p>
      <w:pPr>
        <w:tabs>
          <w:tab w:val="left" w:pos="567"/>
        </w:tabs>
        <w:spacing w:after="100" w:line="300"/>
        <w:ind w:left="567" w:hanging="567"/>
        <w:jc w:val="both"/>
      </w:pPr>
      <w:r>
        <w:rPr>
          <w:sz w:val="22"/>
          <w:szCs w:val="22"/>
        </w:rPr>
        <w:t xml:space="preserve">[17]	B. Zhou, A. Khosla, A. Lapedriza, A. Oliva and A. Torralba, "Learning Deep Features for Discriminative Localization," in Proc. IEEE CVPR, 2016.</w:t>
      </w:r>
    </w:p>
    <w:p>
      <w:pPr>
        <w:tabs>
          <w:tab w:val="left" w:pos="567"/>
        </w:tabs>
        <w:spacing w:after="100" w:line="300"/>
        <w:ind w:left="567" w:hanging="567"/>
        <w:jc w:val="both"/>
      </w:pPr>
      <w:r>
        <w:rPr>
          <w:sz w:val="22"/>
          <w:szCs w:val="22"/>
        </w:rPr>
        <w:t xml:space="preserve">[18]	R. R. Selvaraju, M. Cogswell, A. Das, R. Vedantam, D. Parikh and D. Batra, "Grad-CAM: Visual Explanations from Deep Networks via Gradient-Based Localization," in Proc. IEEE ICCV, 2017, pp. 618–626.</w:t>
      </w:r>
    </w:p>
    <w:p>
      <w:pPr>
        <w:tabs>
          <w:tab w:val="left" w:pos="567"/>
        </w:tabs>
        <w:spacing w:after="100" w:line="300"/>
        <w:ind w:left="567" w:hanging="567"/>
        <w:jc w:val="both"/>
      </w:pPr>
      <w:r>
        <w:rPr>
          <w:sz w:val="22"/>
          <w:szCs w:val="22"/>
        </w:rPr>
        <w:t xml:space="preserve">[19]	R. Smith, "An Overview of the Tesseract OCR Engine," in Proc. Int. Conf. Document Analysis and Recognition (ICDAR), 2007.</w:t>
      </w:r>
    </w:p>
    <w:p>
      <w:pPr>
        <w:tabs>
          <w:tab w:val="left" w:pos="567"/>
        </w:tabs>
        <w:spacing w:after="100" w:line="300"/>
        <w:ind w:left="567" w:hanging="567"/>
        <w:jc w:val="both"/>
      </w:pPr>
      <w:r>
        <w:rPr>
          <w:sz w:val="22"/>
          <w:szCs w:val="22"/>
        </w:rPr>
        <w:t xml:space="preserve">[20]	X. Zhou et al., "EAST: An Efficient and Accurate Scene Text Detector," in Proc. IEEE CVPR, 2017.</w:t>
      </w:r>
    </w:p>
    <w:p>
      <w:pPr>
        <w:tabs>
          <w:tab w:val="left" w:pos="567"/>
        </w:tabs>
        <w:spacing w:after="100" w:line="300"/>
        <w:ind w:left="567" w:hanging="567"/>
        <w:jc w:val="both"/>
      </w:pPr>
      <w:r>
        <w:rPr>
          <w:sz w:val="22"/>
          <w:szCs w:val="22"/>
        </w:rPr>
        <w:t xml:space="preserve">[21]	Y. Baek, B. Lee, D. Han, S. Yun and H. Lee, "Character Region Awareness for Text Detection," in Proc. IEEE/CVF CVPR, 2019.</w:t>
      </w:r>
    </w:p>
    <w:p>
      <w:pPr>
        <w:tabs>
          <w:tab w:val="left" w:pos="567"/>
        </w:tabs>
        <w:spacing w:after="100" w:line="300"/>
        <w:ind w:left="567" w:hanging="567"/>
        <w:jc w:val="both"/>
      </w:pPr>
      <w:r>
        <w:rPr>
          <w:sz w:val="22"/>
          <w:szCs w:val="22"/>
        </w:rPr>
        <w:t xml:space="preserve">[22]	A. Graves, S. Fernández, F. Gomez and J. Schmidhuber, "Connectionist Temporal Classification: Labelling Unsegmented Sequence Data with Recurrent Neural Networks," in Proc. ICML, 2006.</w:t>
      </w:r>
    </w:p>
    <w:p>
      <w:pPr>
        <w:tabs>
          <w:tab w:val="left" w:pos="567"/>
        </w:tabs>
        <w:spacing w:after="100" w:line="300"/>
        <w:ind w:left="567" w:hanging="567"/>
        <w:jc w:val="both"/>
      </w:pPr>
      <w:r>
        <w:rPr>
          <w:sz w:val="22"/>
          <w:szCs w:val="22"/>
        </w:rPr>
        <w:t xml:space="preserve">[23]	B. Shi, X. Bai and C. Yao, "An End-to-End Trainable Neural Network for Image-Based Sequence Recognition and Its Application to Scene Text Recognition," IEEE Transactions on Pattern Analysis and Machine Intelligence, vol. 39, no. 11, pp. 2298–2304, 2017.</w:t>
      </w:r>
    </w:p>
    <w:p>
      <w:pPr>
        <w:tabs>
          <w:tab w:val="left" w:pos="567"/>
        </w:tabs>
        <w:spacing w:after="100" w:line="300"/>
        <w:ind w:left="567" w:hanging="567"/>
        <w:jc w:val="both"/>
      </w:pPr>
      <w:r>
        <w:rPr>
          <w:sz w:val="22"/>
          <w:szCs w:val="22"/>
        </w:rPr>
        <w:t xml:space="preserve">[24]	S. Long, X. He and C. Yao, "Scene Text Detection and Recognition: The Deep Learning Era," International Journal of Computer Vision, vol. 129, pp. 161–184, 2021.</w:t>
      </w:r>
    </w:p>
    <w:p>
      <w:pPr>
        <w:tabs>
          <w:tab w:val="left" w:pos="567"/>
        </w:tabs>
        <w:spacing w:after="100" w:line="300"/>
        <w:ind w:left="567" w:hanging="567"/>
        <w:jc w:val="both"/>
      </w:pPr>
      <w:r>
        <w:rPr>
          <w:sz w:val="22"/>
          <w:szCs w:val="22"/>
        </w:rPr>
        <w:t xml:space="preserve">[25]	JaidedAI, "EasyOCR," GitHub repository. [Online]. Available: https://github.com/JaidedAI/EasyOCR</w:t>
      </w:r>
    </w:p>
    <w:p>
      <w:pPr>
        <w:tabs>
          <w:tab w:val="left" w:pos="567"/>
        </w:tabs>
        <w:spacing w:after="100" w:line="300"/>
        <w:ind w:left="567" w:hanging="567"/>
        <w:jc w:val="both"/>
      </w:pPr>
      <w:r>
        <w:rPr>
          <w:sz w:val="22"/>
          <w:szCs w:val="22"/>
        </w:rPr>
        <w:t xml:space="preserve">[26]	N. Otsu, "A Threshold Selection Method from Gray-Level Histograms," IEEE Transactions on Systems, Man, and Cybernetics, vol. 9, no. 1, pp. 62–66, 1979.</w:t>
      </w:r>
    </w:p>
    <w:p>
      <w:pPr>
        <w:tabs>
          <w:tab w:val="left" w:pos="567"/>
        </w:tabs>
        <w:spacing w:after="100" w:line="300"/>
        <w:ind w:left="567" w:hanging="567"/>
        <w:jc w:val="both"/>
      </w:pPr>
      <w:r>
        <w:rPr>
          <w:sz w:val="22"/>
          <w:szCs w:val="22"/>
        </w:rPr>
        <w:t xml:space="preserve">[27]	K. Zuiderveld, "Contrast Limited Adaptive Histogram Equalization," in Graphics Gems IV, Academic Press, 1994, pp. 474–485.</w:t>
      </w:r>
    </w:p>
    <w:p>
      <w:pPr>
        <w:tabs>
          <w:tab w:val="left" w:pos="567"/>
        </w:tabs>
        <w:spacing w:after="100" w:line="300"/>
        <w:ind w:left="567" w:hanging="567"/>
        <w:jc w:val="both"/>
      </w:pPr>
      <w:r>
        <w:rPr>
          <w:sz w:val="22"/>
          <w:szCs w:val="22"/>
        </w:rPr>
        <w:t xml:space="preserve">[28]	C. Guo, G. Pleiss, Y. Sun and K. Q. Weinberger, "On Calibration of Modern Neural Networks," in Proc. ICML, 2017.</w:t>
      </w:r>
    </w:p>
    <w:p>
      <w:pPr>
        <w:tabs>
          <w:tab w:val="left" w:pos="567"/>
        </w:tabs>
        <w:spacing w:after="100" w:line="300"/>
        <w:ind w:left="567" w:hanging="567"/>
        <w:jc w:val="both"/>
      </w:pPr>
      <w:r>
        <w:rPr>
          <w:sz w:val="22"/>
          <w:szCs w:val="22"/>
        </w:rPr>
        <w:t xml:space="preserve">[29]	D. Hendrycks and K. Gimpel, "A Baseline for Detecting Misclassified and Out-of-Distribution Examples in Neural Networks," in Proc. ICLR, 2017.</w:t>
      </w:r>
    </w:p>
    <w:p>
      <w:pPr>
        <w:tabs>
          <w:tab w:val="left" w:pos="567"/>
        </w:tabs>
        <w:spacing w:after="100" w:line="300"/>
        <w:ind w:left="567" w:hanging="567"/>
        <w:jc w:val="both"/>
      </w:pPr>
      <w:r>
        <w:rPr>
          <w:sz w:val="22"/>
          <w:szCs w:val="22"/>
        </w:rPr>
        <w:t xml:space="preserve">[30]	S. Liang, Y. Li and R. Srikant, "Enhancing the Reliability of Out-of-Distribution Image Detection in Neural Networks," in Proc. ICLR, 2018.</w:t>
      </w:r>
    </w:p>
    <w:p>
      <w:pPr>
        <w:tabs>
          <w:tab w:val="left" w:pos="567"/>
        </w:tabs>
        <w:spacing w:after="100" w:line="300"/>
        <w:ind w:left="567" w:hanging="567"/>
        <w:jc w:val="both"/>
      </w:pPr>
      <w:r>
        <w:rPr>
          <w:sz w:val="22"/>
          <w:szCs w:val="22"/>
        </w:rPr>
        <w:t xml:space="preserve">[31]	K. Lee, K. Lee, H. Lee and J. Shin, "A Simple Unified Framework for Detecting Out-of-Distribution Samples and Adversarial Attacks," in Advances in Neural Information Processing Systems (NeurIPS), 2018.</w:t>
      </w:r>
    </w:p>
    <w:p>
      <w:pPr>
        <w:tabs>
          <w:tab w:val="left" w:pos="567"/>
        </w:tabs>
        <w:spacing w:after="100" w:line="300"/>
        <w:ind w:left="567" w:hanging="567"/>
        <w:jc w:val="both"/>
      </w:pPr>
      <w:r>
        <w:rPr>
          <w:sz w:val="22"/>
          <w:szCs w:val="22"/>
        </w:rPr>
        <w:t xml:space="preserve">[32]	A. Radford et al., "Learning Transferable Visual Models From Natural Language Supervision," in Proc. ICML, 2021.</w:t>
      </w:r>
    </w:p>
    <w:p>
      <w:pPr>
        <w:tabs>
          <w:tab w:val="left" w:pos="567"/>
        </w:tabs>
        <w:spacing w:after="100" w:line="300"/>
        <w:ind w:left="567" w:hanging="567"/>
        <w:jc w:val="both"/>
      </w:pPr>
      <w:r>
        <w:rPr>
          <w:sz w:val="22"/>
          <w:szCs w:val="22"/>
        </w:rPr>
        <w:t xml:space="preserve">[33]	Y. Ming, Z. Cai, J. Gu, Y. Sun, W. Li and Y. Li, "Delving into Out-of-Distribution Detection with Vision-Language Representations," in Advances in Neural Information Processing Systems (NeurIPS), 2022.</w:t>
      </w:r>
    </w:p>
    <w:p>
      <w:pPr>
        <w:tabs>
          <w:tab w:val="left" w:pos="567"/>
        </w:tabs>
        <w:spacing w:after="100" w:line="300"/>
        <w:ind w:left="567" w:hanging="567"/>
        <w:jc w:val="both"/>
      </w:pPr>
      <w:r>
        <w:rPr>
          <w:sz w:val="22"/>
          <w:szCs w:val="22"/>
        </w:rPr>
        <w:t xml:space="preserve">[34]	Food Safety and Standards Authority of India, "Food Safety and Standards (Labelling and Display) Regulations, 2020." [Online]. Available: https://www.fssai.gov.in</w:t>
      </w:r>
    </w:p>
    <w:p>
      <w:pPr>
        <w:tabs>
          <w:tab w:val="left" w:pos="567"/>
        </w:tabs>
        <w:spacing w:after="100" w:line="300"/>
        <w:ind w:left="567" w:hanging="567"/>
        <w:jc w:val="both"/>
      </w:pPr>
      <w:r>
        <w:rPr>
          <w:sz w:val="22"/>
          <w:szCs w:val="22"/>
        </w:rPr>
        <w:t xml:space="preserve">[35]	Food Safety and Standards Authority of India, "Draft Food Safety and Standards (Labelling and Display) Amendment Regulations on front-of-pack nutrition labelling," 2022. [Online]. Available: https://www.fssai.gov.in</w:t>
      </w:r>
    </w:p>
    <w:p>
      <w:pPr>
        <w:tabs>
          <w:tab w:val="left" w:pos="567"/>
        </w:tabs>
        <w:spacing w:after="100" w:line="300"/>
        <w:ind w:left="567" w:hanging="567"/>
        <w:jc w:val="both"/>
      </w:pPr>
      <w:r>
        <w:rPr>
          <w:sz w:val="22"/>
          <w:szCs w:val="22"/>
        </w:rPr>
        <w:t xml:space="preserve">[36]	World Health Organization, "Guideline: Sugars Intake for Adults and Children," Geneva, 2015.</w:t>
      </w:r>
    </w:p>
    <w:p>
      <w:pPr>
        <w:tabs>
          <w:tab w:val="left" w:pos="567"/>
        </w:tabs>
        <w:spacing w:after="100" w:line="300"/>
        <w:ind w:left="567" w:hanging="567"/>
        <w:jc w:val="both"/>
      </w:pPr>
      <w:r>
        <w:rPr>
          <w:sz w:val="22"/>
          <w:szCs w:val="22"/>
        </w:rPr>
        <w:t xml:space="preserve">[37]	World Health Organization, "Guideline: Sodium Intake for Adults and Children," Geneva, 2012.</w:t>
      </w:r>
    </w:p>
    <w:p>
      <w:pPr>
        <w:tabs>
          <w:tab w:val="left" w:pos="567"/>
        </w:tabs>
        <w:spacing w:after="100" w:line="300"/>
        <w:ind w:left="567" w:hanging="567"/>
        <w:jc w:val="both"/>
      </w:pPr>
      <w:r>
        <w:rPr>
          <w:sz w:val="22"/>
          <w:szCs w:val="22"/>
        </w:rPr>
        <w:t xml:space="preserve">[38]	World Health Organization, "Saturated Fatty Acid and Trans-Fatty Acid Intake for Adults and Children: WHO Guideline," Geneva, 2023.</w:t>
      </w:r>
    </w:p>
    <w:p>
      <w:pPr>
        <w:tabs>
          <w:tab w:val="left" w:pos="567"/>
        </w:tabs>
        <w:spacing w:after="100" w:line="300"/>
        <w:ind w:left="567" w:hanging="567"/>
        <w:jc w:val="both"/>
      </w:pPr>
      <w:r>
        <w:rPr>
          <w:sz w:val="22"/>
          <w:szCs w:val="22"/>
        </w:rPr>
        <w:t xml:space="preserve">[39]	L. S. Taillie, M. Reyes, M. A. Colchero, B. Popkin and C. Corvalán, "An Evaluation of Chile's Law of Food Labeling and Advertising on Sugar-Sweetened Beverage Purchases from 2015 to 2017: A Before-and-After Study," PLOS Medicine, vol. 17, no. 2, e1003015, 2020.</w:t>
      </w:r>
    </w:p>
    <w:p>
      <w:pPr>
        <w:tabs>
          <w:tab w:val="left" w:pos="567"/>
        </w:tabs>
        <w:spacing w:after="100" w:line="300"/>
        <w:ind w:left="567" w:hanging="567"/>
        <w:jc w:val="both"/>
      </w:pPr>
      <w:r>
        <w:rPr>
          <w:sz w:val="22"/>
          <w:szCs w:val="22"/>
        </w:rPr>
        <w:t xml:space="preserve">[40]	C. Julia and S. Hercberg, "Development of a New Front-of-Pack Nutrition Label in France: The Five-Colour Nutri-Score," Public Health Panorama, vol. 3, no. 4, pp. 712–725, 2017.</w:t>
      </w:r>
    </w:p>
    <w:p>
      <w:pPr>
        <w:tabs>
          <w:tab w:val="left" w:pos="567"/>
        </w:tabs>
        <w:spacing w:after="100" w:line="300"/>
        <w:ind w:left="567" w:hanging="567"/>
        <w:jc w:val="both"/>
      </w:pPr>
      <w:r>
        <w:rPr>
          <w:sz w:val="22"/>
          <w:szCs w:val="22"/>
        </w:rPr>
        <w:t xml:space="preserve">[41]	Open Food Facts, "Open Food Facts: The Free Food Products Database." [Online]. Available: https://world.openfoodfacts.org</w:t>
      </w:r>
    </w:p>
    <w:p>
      <w:pPr>
        <w:tabs>
          <w:tab w:val="left" w:pos="567"/>
        </w:tabs>
        <w:spacing w:after="100" w:line="300"/>
        <w:ind w:left="567" w:hanging="567"/>
        <w:jc w:val="both"/>
      </w:pPr>
      <w:r>
        <w:rPr>
          <w:sz w:val="22"/>
          <w:szCs w:val="22"/>
        </w:rPr>
        <w:t xml:space="preserve">[42]	GS1, "GS1 General Specifications." [Online]. Available: https://www.gs1.org/standards/barcodes-epcrfid-id-keys/gs1-general-specifications</w:t>
      </w:r>
    </w:p>
    <w:p>
      <w:pPr>
        <w:tabs>
          <w:tab w:val="left" w:pos="567"/>
        </w:tabs>
        <w:spacing w:after="100" w:line="300"/>
        <w:ind w:left="567" w:hanging="567"/>
        <w:jc w:val="both"/>
      </w:pPr>
      <w:r>
        <w:rPr>
          <w:sz w:val="22"/>
          <w:szCs w:val="22"/>
        </w:rPr>
        <w:t xml:space="preserve">[43]	U.S. Department of Agriculture, Agricultural Research Service, "FoodData Central." [Online]. Available: https://fdc.nal.usda.gov</w:t>
      </w:r>
    </w:p>
    <w:p>
      <w:pPr>
        <w:tabs>
          <w:tab w:val="left" w:pos="567"/>
        </w:tabs>
        <w:spacing w:after="100" w:line="300"/>
        <w:ind w:left="567" w:hanging="567"/>
        <w:jc w:val="both"/>
      </w:pPr>
      <w:r>
        <w:rPr>
          <w:sz w:val="22"/>
          <w:szCs w:val="22"/>
        </w:rPr>
        <w:t xml:space="preserve">[44]	V. I. Levenshtein, "Binary Codes Capable of Correcting Deletions, Insertions, and Reversals," Soviet Physics Doklady, vol. 10, no. 8, pp. 707–710, 1966.</w:t>
      </w:r>
    </w:p>
    <w:p>
      <w:pPr>
        <w:tabs>
          <w:tab w:val="left" w:pos="567"/>
        </w:tabs>
        <w:spacing w:after="100" w:line="300"/>
        <w:ind w:left="567" w:hanging="567"/>
        <w:jc w:val="both"/>
      </w:pPr>
      <w:r>
        <w:rPr>
          <w:sz w:val="22"/>
          <w:szCs w:val="22"/>
        </w:rPr>
        <w:t xml:space="preserve">[45]	I. Loshchilov and F. Hutter, "Decoupled Weight Decay Regularization," in Proc. ICLR, 2019.</w:t>
      </w:r>
    </w:p>
    <w:p>
      <w:pPr>
        <w:tabs>
          <w:tab w:val="left" w:pos="567"/>
        </w:tabs>
        <w:spacing w:after="100" w:line="300"/>
        <w:ind w:left="567" w:hanging="567"/>
        <w:jc w:val="both"/>
      </w:pPr>
      <w:r>
        <w:rPr>
          <w:sz w:val="22"/>
          <w:szCs w:val="22"/>
        </w:rPr>
        <w:t xml:space="preserve">[46]	L. N. Smith and N. Topin, "Super-Convergence: Very Fast Training of Neural Networks Using Large Learning Rates," in Proc. SPIE Artificial Intelligence and Machine Learning for Multi-Domain Operations Applications, 2019.</w:t>
      </w:r>
    </w:p>
    <w:p>
      <w:pPr>
        <w:tabs>
          <w:tab w:val="left" w:pos="567"/>
        </w:tabs>
        <w:spacing w:after="100" w:line="300"/>
        <w:ind w:left="567" w:hanging="567"/>
        <w:jc w:val="both"/>
      </w:pPr>
      <w:r>
        <w:rPr>
          <w:sz w:val="22"/>
          <w:szCs w:val="22"/>
        </w:rPr>
        <w:t xml:space="preserve">[47]	P. Micikevicius et al., "Mixed Precision Training," in Proc. ICLR, 2018.</w:t>
      </w:r>
    </w:p>
    <w:p>
      <w:pPr>
        <w:tabs>
          <w:tab w:val="left" w:pos="567"/>
        </w:tabs>
        <w:spacing w:after="100" w:line="300"/>
        <w:ind w:left="567" w:hanging="567"/>
        <w:jc w:val="both"/>
      </w:pPr>
      <w:r>
        <w:rPr>
          <w:sz w:val="22"/>
          <w:szCs w:val="22"/>
        </w:rPr>
        <w:t xml:space="preserve">[48]	C. Szegedy, V. Vanhoucke, S. Ioffe, J. Shlens and Z. Wojna, "Rethinking the Inception Architecture for Computer Vision," in Proc. IEEE CVPR, 2016.</w:t>
      </w:r>
    </w:p>
    <w:sectPr>
      <w:headerReference w:type="default" r:id="rId11"/>
      <w:footerReference w:type="default" r:id="rId12"/>
      <w:pgSz w:w="11906" w:h="16838" w:orient="portrait"/>
      <w:pgMar w:top="1440" w:right="1440" w:bottom="1440" w:left="21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i/>
        <w:iCs/>
        <w:sz w:val="20"/>
        <w:szCs w:val="20"/>
      </w:rPr>
      <w:t xml:space="preserve">FoodGuard AI: Literature Survey, Methodology and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i/>
        <w:iCs/>
        <w:sz w:val="20"/>
        <w:szCs w:val="20"/>
      </w:rPr>
      <w:t xml:space="preserve">FoodGuard AI: Literature Survey, Methodology and Design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i/>
        <w:iCs/>
        <w:sz w:val="20"/>
        <w:szCs w:val="20"/>
      </w:rPr>
      <w:t xml:space="preserve">FoodGuard AI: Literature Survey, Methodology and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before="300" w:after="1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image" Target="media/daf9efb10d9759ef8b83fbf46ca43f01469819f9.png"/><Relationship Id="rId14" Type="http://schemas.openxmlformats.org/officeDocument/2006/relationships/image" Target="media/a8e449078f0cc01d63d649eb6a6eb621f1f2556b.png"/><Relationship Id="rId15" Type="http://schemas.openxmlformats.org/officeDocument/2006/relationships/image" Target="media/b290d96e2de452647193c2f6cb2aa05abf22a82c.png"/><Relationship Id="rId16" Type="http://schemas.openxmlformats.org/officeDocument/2006/relationships/image" Target="media/f9a364656b9f775ae147aa6dca9970d195a5f767.png"/><Relationship Id="rId17" Type="http://schemas.openxmlformats.org/officeDocument/2006/relationships/image" Target="media/51bfe6b4af8e54b2b5a4176a9bfb49705197fc5e.png"/><Relationship Id="rId18" Type="http://schemas.openxmlformats.org/officeDocument/2006/relationships/image" Target="media/bb921bb94d0951eb409b6e2adf724939fe3d3c64.png"/><Relationship Id="rId19" Type="http://schemas.openxmlformats.org/officeDocument/2006/relationships/image" Target="media/f6b8c9ac7360050e30714004634735d30fd3e141.png"/><Relationship Id="rId20" Type="http://schemas.openxmlformats.org/officeDocument/2006/relationships/image" Target="media/64b7340d27f8ce8c805d29c569f6f7acc0f52bf3.png"/><Relationship Id="rId21" Type="http://schemas.openxmlformats.org/officeDocument/2006/relationships/image" Target="media/36db844bbd370d71fc35b4c248d5ba568c890469.png"/><Relationship Id="rId22" Type="http://schemas.openxmlformats.org/officeDocument/2006/relationships/image" Target="media/6585d81aea0e121d4db3c5dbdc7684fe8da73bde.png"/><Relationship Id="rId23" Type="http://schemas.openxmlformats.org/officeDocument/2006/relationships/image" Target="media/6fe49450ef1918ea2b95f2c4296344483cb49ab9.png"/><Relationship Id="rId24" Type="http://schemas.openxmlformats.org/officeDocument/2006/relationships/image" Target="media/b8ce1e09732328eed67339ca6c2ce4735f25af14.png"/><Relationship Id="rId25" Type="http://schemas.openxmlformats.org/officeDocument/2006/relationships/image" Target="media/b74021f825d2cd9d07d404b74221cc404039d1a7.png"/><Relationship Id="rId26" Type="http://schemas.openxmlformats.org/officeDocument/2006/relationships/image" Target="media/22c6e44acabe737337ba1d8a1be8436625c4270c.png"/><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FoodGuard AI: Literature Survey, Methodology and System Design</dc:title>
  <dc:creator>[Student Name]</dc:creator>
  <dc:description>Project review document for FoodGuard AI</dc:description>
  <cp:lastModifiedBy>Un-named</cp:lastModifiedBy>
  <cp:revision>1</cp:revision>
  <dcterms:created xsi:type="dcterms:W3CDTF">2026-10-17T08:59:55.321Z</dcterms:created>
  <dcterms:modified xsi:type="dcterms:W3CDTF">2026-10-17T08:59:55.321Z</dcterms:modified>
</cp:coreProperties>
</file>

<file path=docProps/custom.xml><?xml version="1.0" encoding="utf-8"?>
<Properties xmlns="http://schemas.openxmlformats.org/officeDocument/2006/custom-properties" xmlns:vt="http://schemas.openxmlformats.org/officeDocument/2006/docPropsVTypes"/>
</file>